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shd w:fill="7A1F3D" w:val="clear"/>
            <w:tcMar>
              <w:top w:type="dxa" w:w="900"/>
              <w:left w:type="dxa" w:w="500"/>
              <w:bottom w:type="dxa" w:w="900"/>
              <w:right w:type="dxa" w:w="500"/>
            </w:tcMar>
          </w:tcPr>
          <w:p>
            <w:pPr>
              <w:spacing w:after="200"/>
              <w:jc w:val="center"/>
            </w:pPr>
            <w:r>
              <w:rPr>
                <w:rFonts w:ascii="Calibri" w:cs="Calibri" w:eastAsia="Calibri" w:hAnsi="Calibri"/>
                <w:color w:val="F3E3E9"/>
                <w:spacing w:val="20"/>
                <w:sz w:val="22"/>
                <w:szCs w:val="22"/>
              </w:rPr>
              <w:t xml:space="preserve">SERI BUKU AJAR OBSTETRI GINEKOLOGI SOSIAL</w:t>
            </w:r>
          </w:p>
          <w:p>
            <w:pPr>
              <w:spacing w:after="60"/>
              <w:jc w:val="center"/>
            </w:pPr>
            <w:r>
              <w:rPr>
                <w:rFonts w:ascii="Calibri" w:cs="Calibri" w:eastAsia="Calibri" w:hAnsi="Calibri"/>
                <w:b/>
                <w:bCs/>
                <w:color w:val="FFFFFF"/>
                <w:sz w:val="24"/>
                <w:szCs w:val="24"/>
              </w:rPr>
              <w:t xml:space="preserve">BUKU 4 DARI 14</w:t>
            </w:r>
          </w:p>
          <w:p>
            <w:pPr>
              <w:spacing w:after="200" w:before="400"/>
              <w:jc w:val="center"/>
            </w:pPr>
            <w:r>
              <w:rPr>
                <w:rFonts w:ascii="Calibri" w:cs="Calibri" w:eastAsia="Calibri" w:hAnsi="Calibri"/>
                <w:b/>
                <w:bCs/>
                <w:color w:val="FFFFFF"/>
                <w:sz w:val="56"/>
                <w:szCs w:val="56"/>
              </w:rPr>
              <w:t xml:space="preserve">Kesehatan Mental Perinatal</w:t>
            </w:r>
          </w:p>
          <w:p>
            <w:pPr>
              <w:spacing w:after="100"/>
              <w:jc w:val="center"/>
            </w:pPr>
            <w:r>
              <w:rPr>
                <w:rFonts w:ascii="Calibri" w:cs="Calibri" w:eastAsia="Calibri" w:hAnsi="Calibri"/>
                <w:i/>
                <w:iCs/>
                <w:color w:val="F3E3E9"/>
                <w:sz w:val="24"/>
                <w:szCs w:val="24"/>
              </w:rPr>
              <w:t xml:space="preserve">Deteksi Dini dan Tata Laksana Kolaboratif Gangguan Mental pada Kehamilan dan Nifas</w:t>
            </w:r>
          </w:p>
        </w:tc>
      </w:tr>
    </w:tbl>
    <w:p>
      <w:pPr>
        <w:spacing w:after="100" w:before="800"/>
        <w:jc w:val="center"/>
      </w:pPr>
      <w:r>
        <w:rPr>
          <w:rFonts w:ascii="Calibri" w:cs="Calibri" w:eastAsia="Calibri" w:hAnsi="Calibri"/>
          <w:b/>
          <w:bCs/>
          <w:color w:val="555555"/>
          <w:sz w:val="22"/>
          <w:szCs w:val="22"/>
        </w:rPr>
        <w:t xml:space="preserve">Penulis</w:t>
      </w:r>
    </w:p>
    <w:p>
      <w:pPr>
        <w:spacing w:after="400"/>
        <w:jc w:val="center"/>
      </w:pPr>
      <w:r>
        <w:rPr>
          <w:rFonts w:ascii="Calibri" w:cs="Calibri" w:eastAsia="Calibri" w:hAnsi="Calibri"/>
          <w:sz w:val="24"/>
          <w:szCs w:val="24"/>
        </w:rPr>
        <w:t xml:space="preserve">Dr.dr. Budi Siswanto, Sp.OG., Subsp.Obginsos., SH., S.Kom.</w:t>
      </w:r>
    </w:p>
    <w:p>
      <w:pPr>
        <w:spacing w:after="60"/>
        <w:jc w:val="center"/>
      </w:pPr>
      <w:r>
        <w:rPr>
          <w:rFonts w:ascii="Calibri" w:cs="Calibri" w:eastAsia="Calibri" w:hAnsi="Calibri"/>
          <w:b/>
          <w:bCs/>
          <w:color w:val="555555"/>
          <w:sz w:val="22"/>
          <w:szCs w:val="22"/>
        </w:rPr>
        <w:t xml:space="preserve">Penerbit</w:t>
      </w:r>
    </w:p>
    <w:p>
      <w:pPr>
        <w:spacing w:after="60"/>
        <w:jc w:val="center"/>
      </w:pPr>
      <w:r>
        <w:rPr>
          <w:rFonts w:ascii="Calibri" w:cs="Calibri" w:eastAsia="Calibri" w:hAnsi="Calibri"/>
          <w:sz w:val="24"/>
          <w:szCs w:val="24"/>
        </w:rPr>
        <w:t xml:space="preserve">Perpustakaan ABBA</w:t>
      </w:r>
    </w:p>
    <w:p>
      <w:pPr>
        <w:spacing w:after="400"/>
        <w:jc w:val="center"/>
      </w:pPr>
      <w:r>
        <w:rPr>
          <w:rFonts w:ascii="Calibri" w:cs="Calibri" w:eastAsia="Calibri" w:hAnsi="Calibri"/>
          <w:color w:val="555555"/>
          <w:sz w:val="22"/>
          <w:szCs w:val="22"/>
        </w:rPr>
        <w:t xml:space="preserve">Jl Danau Kerinci No 9 Malang</w:t>
      </w:r>
    </w:p>
    <w:p>
      <w:pPr>
        <w:spacing w:after="60"/>
        <w:jc w:val="center"/>
      </w:pPr>
      <w:r>
        <w:rPr>
          <w:rFonts w:ascii="Calibri" w:cs="Calibri" w:eastAsia="Calibri" w:hAnsi="Calibri"/>
          <w:sz w:val="22"/>
          <w:szCs w:val="22"/>
        </w:rPr>
        <w:t xml:space="preserve">2026</w:t>
      </w:r>
    </w:p>
    <w:p>
      <w:pPr>
        <w:spacing w:before="300"/>
        <w:jc w:val="center"/>
      </w:pPr>
      <w:r>
        <w:rPr>
          <w:rFonts w:ascii="Calibri" w:cs="Calibri" w:eastAsia="Calibri" w:hAnsi="Calibri"/>
          <w:i/>
          <w:iCs/>
          <w:color w:val="555555"/>
          <w:sz w:val="20"/>
          <w:szCs w:val="20"/>
        </w:rPr>
        <w:t xml:space="preserve">Disusun untuk Program Pendidikan Dokter Subspesialis Obstetri Ginekologi Sosial</w:t>
      </w:r>
    </w:p>
    <w:p>
      <w:r>
        <w:br w:type="page"/>
      </w:r>
    </w:p>
    <w:p>
      <w:pPr>
        <w:pStyle w:val="Heading1"/>
        <w:pBdr>
          <w:bottom w:val="single" w:color="7A1F3D" w:sz="12" w:space="6"/>
        </w:pBdr>
        <w:spacing w:after="240" w:before="400"/>
      </w:pPr>
      <w:r>
        <w:rPr>
          <w:rFonts w:ascii="Calibri" w:cs="Calibri" w:eastAsia="Calibri" w:hAnsi="Calibri"/>
          <w:b/>
          <w:bCs/>
          <w:color w:val="7A1F3D"/>
          <w:sz w:val="34"/>
          <w:szCs w:val="34"/>
        </w:rPr>
        <w:t xml:space="preserve">Kata Pengantar</w:t>
      </w:r>
    </w:p>
    <w:p>
      <w:pPr>
        <w:spacing w:after="200" w:line="300"/>
        <w:jc w:val="both"/>
      </w:pPr>
      <w:r>
        <w:rPr>
          <w:rFonts w:ascii="Calibri" w:cs="Calibri" w:eastAsia="Calibri" w:hAnsi="Calibri"/>
          <w:sz w:val="22"/>
          <w:szCs w:val="22"/>
        </w:rPr>
        <w:t xml:space="preserve">Buku "Kesehatan Mental Perinatal" ini disusun sebagai Buku 4 dari rangkaian 14 buku ajar Seri Obstetri Ginekologi Sosial, ditujukan bagi peserta Program Pendidikan Dokter Subspesialis Obstetri Ginekologi Sosial. Kesehatan mental perinatal merupakan salah satu pilar penting pendekatan biopsikososial yang menjadi ciri khas subspesialis ini — sebuah pengingat bahwa asuhan kepada perempuan hamil dan pascasalin tidak dapat direduksi menjadi persoalan biomedis semata, melainkan menuntut kepekaan terhadap dimensi psikologis, sosial, dan kultural yang menyertainya.</w:t>
      </w:r>
    </w:p>
    <w:p>
      <w:pPr>
        <w:spacing w:after="200" w:line="300"/>
        <w:jc w:val="both"/>
      </w:pPr>
      <w:r>
        <w:rPr>
          <w:rFonts w:ascii="Calibri" w:cs="Calibri" w:eastAsia="Calibri" w:hAnsi="Calibri"/>
          <w:sz w:val="22"/>
          <w:szCs w:val="22"/>
        </w:rPr>
        <w:t xml:space="preserve">Materi dalam buku ini disusun mengacu pada Standar Kompetensi Dokter Spesialis dan Subspesialis Bidang Obstetri dan Ginekologi yang ditetapkan Konsil Kesehatan Indonesia, dipadukan dengan rujukan standar internasional seperti Williams Obstetrics, Berek &amp; Novak's Gynecology, pedoman World Health Organization, dan American College of Obstetricians and Gynecologists. Setiap kali terdapat perbedaan antara standar internasional dan konteks hukum atau layanan kesehatan Indonesia, buku ini berupaya menuliskan kedua sisi secara eksplisit disertai catatan penerapan praktis di lapangan.</w:t>
      </w:r>
    </w:p>
    <w:p>
      <w:pPr>
        <w:spacing w:after="200" w:line="300"/>
        <w:jc w:val="both"/>
      </w:pPr>
      <w:r>
        <w:rPr>
          <w:rFonts w:ascii="Calibri" w:cs="Calibri" w:eastAsia="Calibri" w:hAnsi="Calibri"/>
          <w:sz w:val="22"/>
          <w:szCs w:val="22"/>
        </w:rPr>
        <w:t xml:space="preserve">Enam bab dalam buku ini disusun secara berurutan mengikuti alur klinis logis: mengenali spektrum gangguan mental perinatal, melakukan skrining sistematis, menilai risiko bunuh diri secara khusus, berkolaborasi dengan psikiatri dan psikologi klinis, memahami prinsip keamanan farmakoterapi, hingga melibatkan keluarga dalam pencegahan kekambuhan. Semoga buku ini bermanfaat sebagai rujukan praktis dan akademik bagi peserta didik, dosen, dan sejawat dokter spesialis Obstetri dan Ginekologi dalam memberikan asuhan yang utuh bagi kesehatan jiwa perempuan pada masa kehamilan dan nifas.</w:t>
      </w:r>
    </w:p>
    <w:p>
      <w:r>
        <w:br w:type="page"/>
      </w:r>
    </w:p>
    <w:p>
      <w:pPr>
        <w:pStyle w:val="Heading1"/>
        <w:pBdr>
          <w:bottom w:val="single" w:color="7A1F3D" w:sz="12" w:space="6"/>
        </w:pBdr>
        <w:spacing w:after="240" w:before="400"/>
      </w:pPr>
      <w:r>
        <w:rPr>
          <w:rFonts w:ascii="Calibri" w:cs="Calibri" w:eastAsia="Calibri" w:hAnsi="Calibri"/>
          <w:b/>
          <w:bCs/>
          <w:color w:val="7A1F3D"/>
          <w:sz w:val="34"/>
          <w:szCs w:val="34"/>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7A1F3D" w:sz="12" w:space="6"/>
        </w:pBdr>
        <w:spacing w:after="240" w:before="400"/>
      </w:pPr>
      <w:r>
        <w:rPr>
          <w:rFonts w:ascii="Calibri" w:cs="Calibri" w:eastAsia="Calibri" w:hAnsi="Calibri"/>
          <w:b/>
          <w:bCs/>
          <w:color w:val="7A1F3D"/>
          <w:sz w:val="34"/>
          <w:szCs w:val="34"/>
        </w:rPr>
        <w:t xml:space="preserve">Daftar Singkatan dan Istilah</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000"/>
        <w:gridCol w:w="7350"/>
      </w:tblGrid>
      <w:tr>
        <w:trPr>
          <w:tblHeader/>
        </w:trPr>
        <w:tc>
          <w:tcPr>
            <w:shd w:fill="7A1F3D" w:val="clear"/>
            <w:tcMar>
              <w:top w:type="dxa" w:w="120"/>
              <w:left w:type="dxa" w:w="150"/>
              <w:bottom w:type="dxa" w:w="120"/>
              <w:right w:type="dxa" w:w="150"/>
            </w:tcMar>
          </w:tcPr>
          <w:p>
            <w:r>
              <w:rPr>
                <w:rFonts w:ascii="Calibri" w:cs="Calibri" w:eastAsia="Calibri" w:hAnsi="Calibri"/>
                <w:b/>
                <w:bCs/>
                <w:color w:val="FFFFFF"/>
                <w:sz w:val="21"/>
                <w:szCs w:val="21"/>
              </w:rPr>
              <w:t xml:space="preserve">Singkatan</w:t>
            </w:r>
          </w:p>
        </w:tc>
        <w:tc>
          <w:tcPr>
            <w:shd w:fill="7A1F3D" w:val="clear"/>
            <w:tcMar>
              <w:top w:type="dxa" w:w="120"/>
              <w:left w:type="dxa" w:w="150"/>
              <w:bottom w:type="dxa" w:w="120"/>
              <w:right w:type="dxa" w:w="150"/>
            </w:tcMar>
          </w:tcPr>
          <w:p>
            <w:r>
              <w:rPr>
                <w:rFonts w:ascii="Calibri" w:cs="Calibri" w:eastAsia="Calibri" w:hAnsi="Calibri"/>
                <w:b/>
                <w:bCs/>
                <w:color w:val="FFFFFF"/>
                <w:sz w:val="21"/>
                <w:szCs w:val="21"/>
              </w:rPr>
              <w:t xml:space="preserve">Kepanjangan</w:t>
            </w:r>
          </w:p>
        </w:tc>
      </w:tr>
      <w:tr>
        <w:tc>
          <w:tcPr>
            <w:shd w:fill="FFFFFF" w:val="clear"/>
            <w:tcMar>
              <w:top w:type="dxa" w:w="100"/>
              <w:left w:type="dxa" w:w="150"/>
              <w:bottom w:type="dxa" w:w="100"/>
              <w:right w:type="dxa" w:w="150"/>
            </w:tcMar>
          </w:tcPr>
          <w:p>
            <w:r>
              <w:rPr>
                <w:rFonts w:ascii="Calibri" w:cs="Calibri" w:eastAsia="Calibri" w:hAnsi="Calibri"/>
                <w:b/>
                <w:bCs/>
                <w:sz w:val="21"/>
                <w:szCs w:val="21"/>
              </w:rPr>
              <w:t xml:space="preserve">ACOG</w:t>
            </w:r>
          </w:p>
        </w:tc>
        <w:tc>
          <w:tcPr>
            <w:shd w:fill="FFFFFF" w:val="clear"/>
            <w:tcMar>
              <w:top w:type="dxa" w:w="100"/>
              <w:left w:type="dxa" w:w="150"/>
              <w:bottom w:type="dxa" w:w="100"/>
              <w:right w:type="dxa" w:w="150"/>
            </w:tcMar>
          </w:tcPr>
          <w:p>
            <w:r>
              <w:rPr>
                <w:rFonts w:ascii="Calibri" w:cs="Calibri" w:eastAsia="Calibri" w:hAnsi="Calibri"/>
                <w:sz w:val="21"/>
                <w:szCs w:val="21"/>
              </w:rPr>
              <w:t xml:space="preserve">American College of Obstetricians and Gynecologists</w:t>
            </w:r>
          </w:p>
        </w:tc>
      </w:tr>
      <w:tr>
        <w:tc>
          <w:tcPr>
            <w:shd w:fill="F7EEF1" w:val="clear"/>
            <w:tcMar>
              <w:top w:type="dxa" w:w="100"/>
              <w:left w:type="dxa" w:w="150"/>
              <w:bottom w:type="dxa" w:w="100"/>
              <w:right w:type="dxa" w:w="150"/>
            </w:tcMar>
          </w:tcPr>
          <w:p>
            <w:r>
              <w:rPr>
                <w:rFonts w:ascii="Calibri" w:cs="Calibri" w:eastAsia="Calibri" w:hAnsi="Calibri"/>
                <w:b/>
                <w:bCs/>
                <w:sz w:val="21"/>
                <w:szCs w:val="21"/>
              </w:rPr>
              <w:t xml:space="preserve">EPDS</w:t>
            </w:r>
          </w:p>
        </w:tc>
        <w:tc>
          <w:tcPr>
            <w:shd w:fill="F7EEF1" w:val="clear"/>
            <w:tcMar>
              <w:top w:type="dxa" w:w="100"/>
              <w:left w:type="dxa" w:w="150"/>
              <w:bottom w:type="dxa" w:w="100"/>
              <w:right w:type="dxa" w:w="150"/>
            </w:tcMar>
          </w:tcPr>
          <w:p>
            <w:r>
              <w:rPr>
                <w:rFonts w:ascii="Calibri" w:cs="Calibri" w:eastAsia="Calibri" w:hAnsi="Calibri"/>
                <w:sz w:val="21"/>
                <w:szCs w:val="21"/>
              </w:rPr>
              <w:t xml:space="preserve">Edinburgh Postnatal Depression Scale</w:t>
            </w:r>
          </w:p>
        </w:tc>
      </w:tr>
      <w:tr>
        <w:tc>
          <w:tcPr>
            <w:shd w:fill="FFFFFF" w:val="clear"/>
            <w:tcMar>
              <w:top w:type="dxa" w:w="100"/>
              <w:left w:type="dxa" w:w="150"/>
              <w:bottom w:type="dxa" w:w="100"/>
              <w:right w:type="dxa" w:w="150"/>
            </w:tcMar>
          </w:tcPr>
          <w:p>
            <w:r>
              <w:rPr>
                <w:rFonts w:ascii="Calibri" w:cs="Calibri" w:eastAsia="Calibri" w:hAnsi="Calibri"/>
                <w:b/>
                <w:bCs/>
                <w:sz w:val="21"/>
                <w:szCs w:val="21"/>
              </w:rPr>
              <w:t xml:space="preserve">GAD-7</w:t>
            </w:r>
          </w:p>
        </w:tc>
        <w:tc>
          <w:tcPr>
            <w:shd w:fill="FFFFFF" w:val="clear"/>
            <w:tcMar>
              <w:top w:type="dxa" w:w="100"/>
              <w:left w:type="dxa" w:w="150"/>
              <w:bottom w:type="dxa" w:w="100"/>
              <w:right w:type="dxa" w:w="150"/>
            </w:tcMar>
          </w:tcPr>
          <w:p>
            <w:r>
              <w:rPr>
                <w:rFonts w:ascii="Calibri" w:cs="Calibri" w:eastAsia="Calibri" w:hAnsi="Calibri"/>
                <w:sz w:val="21"/>
                <w:szCs w:val="21"/>
              </w:rPr>
              <w:t xml:space="preserve">Generalized Anxiety Disorder-7</w:t>
            </w:r>
          </w:p>
        </w:tc>
      </w:tr>
      <w:tr>
        <w:tc>
          <w:tcPr>
            <w:shd w:fill="F7EEF1" w:val="clear"/>
            <w:tcMar>
              <w:top w:type="dxa" w:w="100"/>
              <w:left w:type="dxa" w:w="150"/>
              <w:bottom w:type="dxa" w:w="100"/>
              <w:right w:type="dxa" w:w="150"/>
            </w:tcMar>
          </w:tcPr>
          <w:p>
            <w:r>
              <w:rPr>
                <w:rFonts w:ascii="Calibri" w:cs="Calibri" w:eastAsia="Calibri" w:hAnsi="Calibri"/>
                <w:b/>
                <w:bCs/>
                <w:sz w:val="21"/>
                <w:szCs w:val="21"/>
              </w:rPr>
              <w:t xml:space="preserve">KDRT</w:t>
            </w:r>
          </w:p>
        </w:tc>
        <w:tc>
          <w:tcPr>
            <w:shd w:fill="F7EEF1" w:val="clear"/>
            <w:tcMar>
              <w:top w:type="dxa" w:w="100"/>
              <w:left w:type="dxa" w:w="150"/>
              <w:bottom w:type="dxa" w:w="100"/>
              <w:right w:type="dxa" w:w="150"/>
            </w:tcMar>
          </w:tcPr>
          <w:p>
            <w:r>
              <w:rPr>
                <w:rFonts w:ascii="Calibri" w:cs="Calibri" w:eastAsia="Calibri" w:hAnsi="Calibri"/>
                <w:sz w:val="21"/>
                <w:szCs w:val="21"/>
              </w:rPr>
              <w:t xml:space="preserve">Kekerasan Dalam Rumah Tangga</w:t>
            </w:r>
          </w:p>
        </w:tc>
      </w:tr>
      <w:tr>
        <w:tc>
          <w:tcPr>
            <w:shd w:fill="FFFFFF" w:val="clear"/>
            <w:tcMar>
              <w:top w:type="dxa" w:w="100"/>
              <w:left w:type="dxa" w:w="150"/>
              <w:bottom w:type="dxa" w:w="100"/>
              <w:right w:type="dxa" w:w="150"/>
            </w:tcMar>
          </w:tcPr>
          <w:p>
            <w:r>
              <w:rPr>
                <w:rFonts w:ascii="Calibri" w:cs="Calibri" w:eastAsia="Calibri" w:hAnsi="Calibri"/>
                <w:b/>
                <w:bCs/>
                <w:sz w:val="21"/>
                <w:szCs w:val="21"/>
              </w:rPr>
              <w:t xml:space="preserve">KTD</w:t>
            </w:r>
          </w:p>
        </w:tc>
        <w:tc>
          <w:tcPr>
            <w:shd w:fill="FFFFFF" w:val="clear"/>
            <w:tcMar>
              <w:top w:type="dxa" w:w="100"/>
              <w:left w:type="dxa" w:w="150"/>
              <w:bottom w:type="dxa" w:w="100"/>
              <w:right w:type="dxa" w:w="150"/>
            </w:tcMar>
          </w:tcPr>
          <w:p>
            <w:r>
              <w:rPr>
                <w:rFonts w:ascii="Calibri" w:cs="Calibri" w:eastAsia="Calibri" w:hAnsi="Calibri"/>
                <w:sz w:val="21"/>
                <w:szCs w:val="21"/>
              </w:rPr>
              <w:t xml:space="preserve">Kehamilan Tidak Diinginkan</w:t>
            </w:r>
          </w:p>
        </w:tc>
      </w:tr>
      <w:tr>
        <w:tc>
          <w:tcPr>
            <w:shd w:fill="F7EEF1" w:val="clear"/>
            <w:tcMar>
              <w:top w:type="dxa" w:w="100"/>
              <w:left w:type="dxa" w:w="150"/>
              <w:bottom w:type="dxa" w:w="100"/>
              <w:right w:type="dxa" w:w="150"/>
            </w:tcMar>
          </w:tcPr>
          <w:p>
            <w:r>
              <w:rPr>
                <w:rFonts w:ascii="Calibri" w:cs="Calibri" w:eastAsia="Calibri" w:hAnsi="Calibri"/>
                <w:b/>
                <w:bCs/>
                <w:sz w:val="21"/>
                <w:szCs w:val="21"/>
              </w:rPr>
              <w:t xml:space="preserve">mhGAP</w:t>
            </w:r>
          </w:p>
        </w:tc>
        <w:tc>
          <w:tcPr>
            <w:shd w:fill="F7EEF1" w:val="clear"/>
            <w:tcMar>
              <w:top w:type="dxa" w:w="100"/>
              <w:left w:type="dxa" w:w="150"/>
              <w:bottom w:type="dxa" w:w="100"/>
              <w:right w:type="dxa" w:w="150"/>
            </w:tcMar>
          </w:tcPr>
          <w:p>
            <w:r>
              <w:rPr>
                <w:rFonts w:ascii="Calibri" w:cs="Calibri" w:eastAsia="Calibri" w:hAnsi="Calibri"/>
                <w:sz w:val="21"/>
                <w:szCs w:val="21"/>
              </w:rPr>
              <w:t xml:space="preserve">Mental Health Gap Action Programme</w:t>
            </w:r>
          </w:p>
        </w:tc>
      </w:tr>
      <w:tr>
        <w:tc>
          <w:tcPr>
            <w:shd w:fill="FFFFFF" w:val="clear"/>
            <w:tcMar>
              <w:top w:type="dxa" w:w="100"/>
              <w:left w:type="dxa" w:w="150"/>
              <w:bottom w:type="dxa" w:w="100"/>
              <w:right w:type="dxa" w:w="150"/>
            </w:tcMar>
          </w:tcPr>
          <w:p>
            <w:r>
              <w:rPr>
                <w:rFonts w:ascii="Calibri" w:cs="Calibri" w:eastAsia="Calibri" w:hAnsi="Calibri"/>
                <w:b/>
                <w:bCs/>
                <w:sz w:val="21"/>
                <w:szCs w:val="21"/>
              </w:rPr>
              <w:t xml:space="preserve">Obginsos</w:t>
            </w:r>
          </w:p>
        </w:tc>
        <w:tc>
          <w:tcPr>
            <w:shd w:fill="FFFFFF" w:val="clear"/>
            <w:tcMar>
              <w:top w:type="dxa" w:w="100"/>
              <w:left w:type="dxa" w:w="150"/>
              <w:bottom w:type="dxa" w:w="100"/>
              <w:right w:type="dxa" w:w="150"/>
            </w:tcMar>
          </w:tcPr>
          <w:p>
            <w:r>
              <w:rPr>
                <w:rFonts w:ascii="Calibri" w:cs="Calibri" w:eastAsia="Calibri" w:hAnsi="Calibri"/>
                <w:sz w:val="21"/>
                <w:szCs w:val="21"/>
              </w:rPr>
              <w:t xml:space="preserve">Obstetri Ginekologi Sosial</w:t>
            </w:r>
          </w:p>
        </w:tc>
      </w:tr>
      <w:tr>
        <w:tc>
          <w:tcPr>
            <w:shd w:fill="F7EEF1" w:val="clear"/>
            <w:tcMar>
              <w:top w:type="dxa" w:w="100"/>
              <w:left w:type="dxa" w:w="150"/>
              <w:bottom w:type="dxa" w:w="100"/>
              <w:right w:type="dxa" w:w="150"/>
            </w:tcMar>
          </w:tcPr>
          <w:p>
            <w:r>
              <w:rPr>
                <w:rFonts w:ascii="Calibri" w:cs="Calibri" w:eastAsia="Calibri" w:hAnsi="Calibri"/>
                <w:b/>
                <w:bCs/>
                <w:sz w:val="21"/>
                <w:szCs w:val="21"/>
              </w:rPr>
              <w:t xml:space="preserve">PHQ-9</w:t>
            </w:r>
          </w:p>
        </w:tc>
        <w:tc>
          <w:tcPr>
            <w:shd w:fill="F7EEF1" w:val="clear"/>
            <w:tcMar>
              <w:top w:type="dxa" w:w="100"/>
              <w:left w:type="dxa" w:w="150"/>
              <w:bottom w:type="dxa" w:w="100"/>
              <w:right w:type="dxa" w:w="150"/>
            </w:tcMar>
          </w:tcPr>
          <w:p>
            <w:r>
              <w:rPr>
                <w:rFonts w:ascii="Calibri" w:cs="Calibri" w:eastAsia="Calibri" w:hAnsi="Calibri"/>
                <w:sz w:val="21"/>
                <w:szCs w:val="21"/>
              </w:rPr>
              <w:t xml:space="preserve">Patient Health Questionnaire-9</w:t>
            </w:r>
          </w:p>
        </w:tc>
      </w:tr>
      <w:tr>
        <w:tc>
          <w:tcPr>
            <w:shd w:fill="FFFFFF" w:val="clear"/>
            <w:tcMar>
              <w:top w:type="dxa" w:w="100"/>
              <w:left w:type="dxa" w:w="150"/>
              <w:bottom w:type="dxa" w:w="100"/>
              <w:right w:type="dxa" w:w="150"/>
            </w:tcMar>
          </w:tcPr>
          <w:p>
            <w:r>
              <w:rPr>
                <w:rFonts w:ascii="Calibri" w:cs="Calibri" w:eastAsia="Calibri" w:hAnsi="Calibri"/>
                <w:b/>
                <w:bCs/>
                <w:sz w:val="21"/>
                <w:szCs w:val="21"/>
              </w:rPr>
              <w:t xml:space="preserve">PKDRT</w:t>
            </w:r>
          </w:p>
        </w:tc>
        <w:tc>
          <w:tcPr>
            <w:shd w:fill="FFFFFF" w:val="clear"/>
            <w:tcMar>
              <w:top w:type="dxa" w:w="100"/>
              <w:left w:type="dxa" w:w="150"/>
              <w:bottom w:type="dxa" w:w="100"/>
              <w:right w:type="dxa" w:w="150"/>
            </w:tcMar>
          </w:tcPr>
          <w:p>
            <w:r>
              <w:rPr>
                <w:rFonts w:ascii="Calibri" w:cs="Calibri" w:eastAsia="Calibri" w:hAnsi="Calibri"/>
                <w:sz w:val="21"/>
                <w:szCs w:val="21"/>
              </w:rPr>
              <w:t xml:space="preserve">Penghapusan Kekerasan Dalam Rumah Tangga</w:t>
            </w:r>
          </w:p>
        </w:tc>
      </w:tr>
      <w:tr>
        <w:tc>
          <w:tcPr>
            <w:shd w:fill="F7EEF1" w:val="clear"/>
            <w:tcMar>
              <w:top w:type="dxa" w:w="100"/>
              <w:left w:type="dxa" w:w="150"/>
              <w:bottom w:type="dxa" w:w="100"/>
              <w:right w:type="dxa" w:w="150"/>
            </w:tcMar>
          </w:tcPr>
          <w:p>
            <w:r>
              <w:rPr>
                <w:rFonts w:ascii="Calibri" w:cs="Calibri" w:eastAsia="Calibri" w:hAnsi="Calibri"/>
                <w:b/>
                <w:bCs/>
                <w:sz w:val="21"/>
                <w:szCs w:val="21"/>
              </w:rPr>
              <w:t xml:space="preserve">POGI</w:t>
            </w:r>
          </w:p>
        </w:tc>
        <w:tc>
          <w:tcPr>
            <w:shd w:fill="F7EEF1" w:val="clear"/>
            <w:tcMar>
              <w:top w:type="dxa" w:w="100"/>
              <w:left w:type="dxa" w:w="150"/>
              <w:bottom w:type="dxa" w:w="100"/>
              <w:right w:type="dxa" w:w="150"/>
            </w:tcMar>
          </w:tcPr>
          <w:p>
            <w:r>
              <w:rPr>
                <w:rFonts w:ascii="Calibri" w:cs="Calibri" w:eastAsia="Calibri" w:hAnsi="Calibri"/>
                <w:sz w:val="21"/>
                <w:szCs w:val="21"/>
              </w:rPr>
              <w:t xml:space="preserve">Perkumpulan Obstetri dan Ginekologi Indonesia</w:t>
            </w:r>
          </w:p>
        </w:tc>
      </w:tr>
      <w:tr>
        <w:tc>
          <w:tcPr>
            <w:shd w:fill="FFFFFF" w:val="clear"/>
            <w:tcMar>
              <w:top w:type="dxa" w:w="100"/>
              <w:left w:type="dxa" w:w="150"/>
              <w:bottom w:type="dxa" w:w="100"/>
              <w:right w:type="dxa" w:w="150"/>
            </w:tcMar>
          </w:tcPr>
          <w:p>
            <w:r>
              <w:rPr>
                <w:rFonts w:ascii="Calibri" w:cs="Calibri" w:eastAsia="Calibri" w:hAnsi="Calibri"/>
                <w:b/>
                <w:bCs/>
                <w:sz w:val="21"/>
                <w:szCs w:val="21"/>
              </w:rPr>
              <w:t xml:space="preserve">SNRI</w:t>
            </w:r>
          </w:p>
        </w:tc>
        <w:tc>
          <w:tcPr>
            <w:shd w:fill="FFFFFF" w:val="clear"/>
            <w:tcMar>
              <w:top w:type="dxa" w:w="100"/>
              <w:left w:type="dxa" w:w="150"/>
              <w:bottom w:type="dxa" w:w="100"/>
              <w:right w:type="dxa" w:w="150"/>
            </w:tcMar>
          </w:tcPr>
          <w:p>
            <w:r>
              <w:rPr>
                <w:rFonts w:ascii="Calibri" w:cs="Calibri" w:eastAsia="Calibri" w:hAnsi="Calibri"/>
                <w:sz w:val="21"/>
                <w:szCs w:val="21"/>
              </w:rPr>
              <w:t xml:space="preserve">Serotonin-Norepinephrine Reuptake Inhibitor</w:t>
            </w:r>
          </w:p>
        </w:tc>
      </w:tr>
      <w:tr>
        <w:tc>
          <w:tcPr>
            <w:shd w:fill="F7EEF1" w:val="clear"/>
            <w:tcMar>
              <w:top w:type="dxa" w:w="100"/>
              <w:left w:type="dxa" w:w="150"/>
              <w:bottom w:type="dxa" w:w="100"/>
              <w:right w:type="dxa" w:w="150"/>
            </w:tcMar>
          </w:tcPr>
          <w:p>
            <w:r>
              <w:rPr>
                <w:rFonts w:ascii="Calibri" w:cs="Calibri" w:eastAsia="Calibri" w:hAnsi="Calibri"/>
                <w:b/>
                <w:bCs/>
                <w:sz w:val="21"/>
                <w:szCs w:val="21"/>
              </w:rPr>
              <w:t xml:space="preserve">SSRI</w:t>
            </w:r>
          </w:p>
        </w:tc>
        <w:tc>
          <w:tcPr>
            <w:shd w:fill="F7EEF1" w:val="clear"/>
            <w:tcMar>
              <w:top w:type="dxa" w:w="100"/>
              <w:left w:type="dxa" w:w="150"/>
              <w:bottom w:type="dxa" w:w="100"/>
              <w:right w:type="dxa" w:w="150"/>
            </w:tcMar>
          </w:tcPr>
          <w:p>
            <w:r>
              <w:rPr>
                <w:rFonts w:ascii="Calibri" w:cs="Calibri" w:eastAsia="Calibri" w:hAnsi="Calibri"/>
                <w:sz w:val="21"/>
                <w:szCs w:val="21"/>
              </w:rPr>
              <w:t xml:space="preserve">Selective Serotonin Reuptake Inhibitor</w:t>
            </w:r>
          </w:p>
        </w:tc>
      </w:tr>
      <w:tr>
        <w:tc>
          <w:tcPr>
            <w:shd w:fill="FFFFFF" w:val="clear"/>
            <w:tcMar>
              <w:top w:type="dxa" w:w="100"/>
              <w:left w:type="dxa" w:w="150"/>
              <w:bottom w:type="dxa" w:w="100"/>
              <w:right w:type="dxa" w:w="150"/>
            </w:tcMar>
          </w:tcPr>
          <w:p>
            <w:r>
              <w:rPr>
                <w:rFonts w:ascii="Calibri" w:cs="Calibri" w:eastAsia="Calibri" w:hAnsi="Calibri"/>
                <w:b/>
                <w:bCs/>
                <w:sz w:val="21"/>
                <w:szCs w:val="21"/>
              </w:rPr>
              <w:t xml:space="preserve">TPKS</w:t>
            </w:r>
          </w:p>
        </w:tc>
        <w:tc>
          <w:tcPr>
            <w:shd w:fill="FFFFFF" w:val="clear"/>
            <w:tcMar>
              <w:top w:type="dxa" w:w="100"/>
              <w:left w:type="dxa" w:w="150"/>
              <w:bottom w:type="dxa" w:w="100"/>
              <w:right w:type="dxa" w:w="150"/>
            </w:tcMar>
          </w:tcPr>
          <w:p>
            <w:r>
              <w:rPr>
                <w:rFonts w:ascii="Calibri" w:cs="Calibri" w:eastAsia="Calibri" w:hAnsi="Calibri"/>
                <w:sz w:val="21"/>
                <w:szCs w:val="21"/>
              </w:rPr>
              <w:t xml:space="preserve">Tindak Pidana Kekerasan Seksual</w:t>
            </w:r>
          </w:p>
        </w:tc>
      </w:tr>
      <w:tr>
        <w:tc>
          <w:tcPr>
            <w:shd w:fill="F7EEF1" w:val="clear"/>
            <w:tcMar>
              <w:top w:type="dxa" w:w="100"/>
              <w:left w:type="dxa" w:w="150"/>
              <w:bottom w:type="dxa" w:w="100"/>
              <w:right w:type="dxa" w:w="150"/>
            </w:tcMar>
          </w:tcPr>
          <w:p>
            <w:r>
              <w:rPr>
                <w:rFonts w:ascii="Calibri" w:cs="Calibri" w:eastAsia="Calibri" w:hAnsi="Calibri"/>
                <w:b/>
                <w:bCs/>
                <w:sz w:val="21"/>
                <w:szCs w:val="21"/>
              </w:rPr>
              <w:t xml:space="preserve">WHO</w:t>
            </w:r>
          </w:p>
        </w:tc>
        <w:tc>
          <w:tcPr>
            <w:shd w:fill="F7EEF1" w:val="clear"/>
            <w:tcMar>
              <w:top w:type="dxa" w:w="100"/>
              <w:left w:type="dxa" w:w="150"/>
              <w:bottom w:type="dxa" w:w="100"/>
              <w:right w:type="dxa" w:w="150"/>
            </w:tcMar>
          </w:tcPr>
          <w:p>
            <w:r>
              <w:rPr>
                <w:rFonts w:ascii="Calibri" w:cs="Calibri" w:eastAsia="Calibri" w:hAnsi="Calibri"/>
                <w:sz w:val="21"/>
                <w:szCs w:val="21"/>
              </w:rPr>
              <w:t xml:space="preserve">World Health Organization</w:t>
            </w:r>
          </w:p>
        </w:tc>
      </w:tr>
    </w:tbl>
    <w:p>
      <w:r>
        <w:br w:type="page"/>
      </w:r>
    </w:p>
    <w:p>
      <w:pPr>
        <w:pStyle w:val="Heading1"/>
        <w:pageBreakBefore/>
        <w:spacing w:after="60" w:before="0"/>
      </w:pPr>
      <w:r>
        <w:rPr>
          <w:rFonts w:ascii="Calibri" w:cs="Calibri" w:eastAsia="Calibri" w:hAnsi="Calibri"/>
          <w:b/>
          <w:bCs/>
          <w:color w:val="7A1F3D"/>
          <w:sz w:val="22"/>
          <w:szCs w:val="22"/>
        </w:rPr>
        <w:t xml:space="preserve">BAB 1</w:t>
      </w:r>
    </w:p>
    <w:p>
      <w:pPr>
        <w:pBdr>
          <w:bottom w:val="single" w:color="7A1F3D" w:sz="16" w:space="6"/>
        </w:pBdr>
        <w:spacing w:after="300"/>
      </w:pPr>
      <w:r>
        <w:rPr>
          <w:rFonts w:ascii="Calibri" w:cs="Calibri" w:eastAsia="Calibri" w:hAnsi="Calibri"/>
          <w:b/>
          <w:bCs/>
          <w:color w:val="7A1F3D"/>
          <w:sz w:val="40"/>
          <w:szCs w:val="40"/>
        </w:rPr>
        <w:t xml:space="preserve">Spektrum Gangguan Mental Perinatal</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Tujuan Pembelajaran Bab</w:t>
            </w:r>
          </w:p>
          <w:p>
            <w:pPr>
              <w:spacing w:after="80" w:line="280"/>
            </w:pPr>
            <w:r>
              <w:rPr>
                <w:rFonts w:ascii="Calibri" w:cs="Calibri" w:eastAsia="Calibri" w:hAnsi="Calibri"/>
                <w:sz w:val="22"/>
                <w:szCs w:val="22"/>
              </w:rPr>
              <w:t xml:space="preserve">1. Menjelaskan definisi dan batasan kesehatan mental perinatal dalam konteks obstetri ginekologi sosial.</w:t>
            </w:r>
          </w:p>
          <w:p>
            <w:pPr>
              <w:spacing w:after="80" w:line="280"/>
            </w:pPr>
            <w:r>
              <w:rPr>
                <w:rFonts w:ascii="Calibri" w:cs="Calibri" w:eastAsia="Calibri" w:hAnsi="Calibri"/>
                <w:sz w:val="22"/>
                <w:szCs w:val="22"/>
              </w:rPr>
              <w:t xml:space="preserve">2. Membedakan secara klinis baby blues, depresi postpartum, dan psikosis postpartum berdasarkan onset, durasi, dan urgensi penanganan.</w:t>
            </w:r>
          </w:p>
          <w:p>
            <w:pPr>
              <w:spacing w:after="80" w:line="280"/>
            </w:pPr>
            <w:r>
              <w:rPr>
                <w:rFonts w:ascii="Calibri" w:cs="Calibri" w:eastAsia="Calibri" w:hAnsi="Calibri"/>
                <w:sz w:val="22"/>
                <w:szCs w:val="22"/>
              </w:rPr>
              <w:t xml:space="preserve">3. Mengidentifikasi faktor risiko biopsikososial yang memengaruhi kejadian gangguan mental perinatal di Indonesia.</w:t>
            </w:r>
          </w:p>
          <w:p>
            <w:pPr>
              <w:spacing w:after="80" w:line="280"/>
            </w:pPr>
            <w:r>
              <w:rPr>
                <w:rFonts w:ascii="Calibri" w:cs="Calibri" w:eastAsia="Calibri" w:hAnsi="Calibri"/>
                <w:sz w:val="22"/>
                <w:szCs w:val="22"/>
              </w:rPr>
              <w:t xml:space="preserve">4. Menjelaskan dampak gangguan mental perinatal yang tidak tertangani terhadap ibu, bayi, dan keluarga.</w:t>
            </w:r>
          </w:p>
        </w:tc>
      </w:tr>
    </w:tbl>
    <w:p>
      <w:pPr>
        <w:spacing w:after="200"/>
      </w:pPr>
    </w:p>
    <w:p>
      <w:pPr>
        <w:pStyle w:val="Heading2"/>
        <w:spacing w:after="160" w:before="320"/>
      </w:pPr>
      <w:r>
        <w:rPr>
          <w:rFonts w:ascii="Calibri" w:cs="Calibri" w:eastAsia="Calibri" w:hAnsi="Calibri"/>
          <w:b/>
          <w:bCs/>
          <w:color w:val="7A1F3D"/>
          <w:sz w:val="26"/>
          <w:szCs w:val="26"/>
        </w:rPr>
        <w:t xml:space="preserve">1.1 Definisi dan Batasan Kesehatan Mental Perinatal</w:t>
      </w:r>
    </w:p>
    <w:p>
      <w:pPr>
        <w:spacing w:after="200" w:line="300"/>
        <w:jc w:val="both"/>
      </w:pPr>
      <w:r>
        <w:rPr>
          <w:rFonts w:ascii="Calibri" w:cs="Calibri" w:eastAsia="Calibri" w:hAnsi="Calibri"/>
          <w:sz w:val="22"/>
          <w:szCs w:val="22"/>
        </w:rPr>
        <w:t xml:space="preserve">Kesehatan mental perinatal merujuk pada kondisi kesejahteraan psikologis perempuan sejak masa konsepsi hingga kurang lebih satu tahun pascasalin, mencakup spektrum gangguan yang berkisar dari perubahan suasana hati ringan dan sementara hingga episode psikiatrik berat yang mengancam jiwa. Periode perinatal merupakan masa transisi biologis, psikologis, dan sosial yang unik: perubahan hormonal drastis pascamelahirkan, penyesuaian identitas menjadi ibu, perubahan dinamika rumah tangga, serta beban ekonomi dan sosial baru berpadu membentuk kerentanan tersendiri yang tidak dijumpai pada populasi umum. Dokter subspesialis Obstetri Ginekologi Sosial berperan penting sebagai lini pertama yang berkontak langsung dengan perempuan pada masa ini, sehingga kompetensi mengenali spektrum gangguan mental perinatal menjadi bagian tidak terpisahkan dari asuhan biopsikososial yang komprehensif.</w:t>
      </w:r>
    </w:p>
    <w:p>
      <w:pPr>
        <w:spacing w:after="200" w:line="300"/>
        <w:jc w:val="both"/>
      </w:pPr>
      <w:r>
        <w:rPr>
          <w:rFonts w:ascii="Calibri" w:cs="Calibri" w:eastAsia="Calibri" w:hAnsi="Calibri"/>
          <w:sz w:val="22"/>
          <w:szCs w:val="22"/>
        </w:rPr>
        <w:t xml:space="preserve">Secara konseptual, gangguan mental perinatal tidak berdiri sendiri sebagai entitas psikiatri semata, melainkan berinteraksi dua arah dengan luaran obstetri. Depresi antenatal yang tidak tertangani berhubungan dengan peningkatan risiko preeklamsia, kelahiran prematur, dan berat badan lahir rendah, sementara komplikasi obstetri berat seperti perdarahan pascasalin atau kehilangan janin dapat menjadi pencetus gangguan mental berat. Pendekatan biopsikososial menuntut dokter memandang kedua ranah ini sebagai satu kesatuan asuhan, bukan dua bidang yang ditangani secara terpisah dan berurutan.</w:t>
      </w:r>
    </w:p>
    <w:p>
      <w:pPr>
        <w:spacing w:after="200" w:line="300"/>
        <w:jc w:val="both"/>
      </w:pPr>
      <w:r>
        <w:rPr>
          <w:rFonts w:ascii="Calibri" w:cs="Calibri" w:eastAsia="Calibri" w:hAnsi="Calibri"/>
          <w:sz w:val="22"/>
          <w:szCs w:val="22"/>
        </w:rPr>
        <w:t xml:space="preserve">Standar Kompetensi Dokter Spesialis dan Subspesialis Bidang Obstetri dan Ginekologi yang ditetapkan Konsil Kesehatan Indonesia (Keputusan Ketua Konsil Kesehatan Indonesia Nomor HK.01.02/KKI/1318/2026) secara eksplisit mencantumkan gangguan mental pada kehamilan sebagai komponen kompetensi ke-9 pada Tabel 19 (Kompetensi Penatalaksanaan Klinis Subspesialis Obstetri Ginekologi Sosial), mencakup identifikasi gangguan depresi, ansietas, kondisi psikotik, dan bipolar, anamnesis riwayat psikiatri secara komprehensif, serta penilaian risiko bunuh diri dan dampaknya terhadap kehamilan. Kriteria kinerja minimal yang ditetapkan bersifat spesifik dan terukur: 100% pasien yang dicurigai mengalami gangguan mental wajib mendapatkan asesmen psikiatri, dengan target angka deteksi dini depresi/ansietas sekurang-kurangnya 80%, serta volume kasus minimal berupa 2 kasus gangguan mental pada kehamilan yang ditangani atau didiskusikan selama masa pendidikan. Standar yang sama, pada Tabel 25 (Kompetensi Prosedur Klinis) komponen ke-2, juga mewajibkan 100% ibu nifas menjalani skrining biopsikososial dan sekurang-kurangnya 80% kasus depresi postpartum yang teridentifikasi mendapat rujukan ke psikiatri/psikologi klinis, dengan volume kasus minimal 10 kasus ibu nifas dengan masalah biopsikososial yang ditangani. Ketentuan-ketentuan ini menegaskan bahwa deteksi dini bukan sekadar praktik baik, melainkan standar pelayanan yang terukur dan dapat diaudit.</w:t>
      </w:r>
    </w:p>
    <w:p>
      <w:pPr>
        <w:spacing w:after="200" w:line="300"/>
        <w:jc w:val="both"/>
      </w:pPr>
      <w:r>
        <w:rPr>
          <w:rFonts w:ascii="Calibri" w:cs="Calibri" w:eastAsia="Calibri" w:hAnsi="Calibri"/>
          <w:sz w:val="22"/>
          <w:szCs w:val="22"/>
        </w:rPr>
        <w:t xml:space="preserve">Batasan waktu perinatal yang digunakan dalam buku ini mengikuti konvensi WHO dan American College of Obstetricians and Gynecologists (ACOG), yaitu mencakup periode kehamilan (antenatal) hingga 12 bulan pascasalin (postpartum/postnatal). Batasan ini penting secara praktis karena banyak gejala gangguan mental — terutama episode depresi dan ansietas — dapat muncul pertama kali jauh setelah persalinan, bukan hanya pada minggu-minggu awal nifas sebagaimana sering diasumsikan secara awam.</w:t>
      </w:r>
    </w:p>
    <w:p>
      <w:pPr>
        <w:pStyle w:val="Heading2"/>
        <w:spacing w:after="160" w:before="320"/>
      </w:pPr>
      <w:r>
        <w:rPr>
          <w:rFonts w:ascii="Calibri" w:cs="Calibri" w:eastAsia="Calibri" w:hAnsi="Calibri"/>
          <w:b/>
          <w:bCs/>
          <w:color w:val="7A1F3D"/>
          <w:sz w:val="26"/>
          <w:szCs w:val="26"/>
        </w:rPr>
        <w:t xml:space="preserve">1.2 Baby Blues</w:t>
      </w:r>
    </w:p>
    <w:p>
      <w:pPr>
        <w:spacing w:after="200" w:line="300"/>
        <w:jc w:val="both"/>
      </w:pPr>
      <w:r>
        <w:rPr>
          <w:rFonts w:ascii="Calibri" w:cs="Calibri" w:eastAsia="Calibri" w:hAnsi="Calibri"/>
          <w:sz w:val="22"/>
          <w:szCs w:val="22"/>
        </w:rPr>
        <w:t xml:space="preserve">Baby blues, atau disebut juga postpartum blues, adalah kondisi perubahan suasana hati ringan yang bersifat transien dan self-limiting, dialami oleh sebagian besar perempuan pascasalin. Gejala meliputi labilitas emosi, episode menangis tanpa pemicu jelas, iritabilitas, kecemasan ringan, kesulitan tidur yang tidak sebanding dengan tuntutan merawat bayi, dan perasaan kewalahan. Kondisi ini dianggap sebagai respons adaptif fisiologis terhadap perubahan hormonal pascasalin yang drastis, terutama penurunan tajam estrogen dan progesteron, dikombinasikan dengan kelelahan fisik dan penyesuaian peran baru.</w:t>
      </w:r>
    </w:p>
    <w:p>
      <w:pPr>
        <w:spacing w:after="200" w:line="300"/>
        <w:jc w:val="both"/>
      </w:pPr>
      <w:r>
        <w:rPr>
          <w:rFonts w:ascii="Calibri" w:cs="Calibri" w:eastAsia="Calibri" w:hAnsi="Calibri"/>
          <w:sz w:val="22"/>
          <w:szCs w:val="22"/>
        </w:rPr>
        <w:t xml:space="preserve">Ciri khas baby blues yang membedakannya dari gangguan mental perinatal lain adalah onset dini — umumnya muncul dalam 2 sampai 5 hari pascasalin — dan durasi terbatas, biasanya mereda spontan dalam waktu kurang dari dua minggu tanpa memerlukan intervensi farmakologis maupun psikoterapi formal. Fungsi keseharian ibu, termasuk kemampuan merawat bayi dan menjalankan aktivitas dasar, pada umumnya tetap dapat dipertahankan meski dengan usaha ekstra.</w:t>
      </w:r>
    </w:p>
    <w:p>
      <w:pPr>
        <w:spacing w:after="200" w:line="300"/>
        <w:jc w:val="both"/>
      </w:pPr>
      <w:r>
        <w:rPr>
          <w:rFonts w:ascii="Calibri" w:cs="Calibri" w:eastAsia="Calibri" w:hAnsi="Calibri"/>
          <w:sz w:val="22"/>
          <w:szCs w:val="22"/>
        </w:rPr>
        <w:t xml:space="preserve">Tata laksana baby blues bersifat suportif: edukasi kepada ibu dan keluarga bahwa kondisi ini normal dan tidak menandakan kegagalan menjadi ibu, dukungan praktis untuk istirahat dan pembagian tugas perawatan bayi, serta pemantauan berkala untuk memastikan gejala benar-benar mereda sesuai perjalanan alamiahnya. Dokter perlu waspada bahwa baby blues yang menetap melampaui dua minggu, memberat, atau disertai gangguan fungsi yang signifikan bukan lagi baby blues sederhana, melainkan kemungkinan awal dari depresi postpartum yang memerlukan skrining lebih lanjut menggunakan instrumen baku sebagaimana dibahas pada Bab 2.</w:t>
      </w:r>
    </w:p>
    <w:p>
      <w:pPr>
        <w:pStyle w:val="Heading2"/>
        <w:spacing w:after="160" w:before="320"/>
      </w:pPr>
      <w:r>
        <w:rPr>
          <w:rFonts w:ascii="Calibri" w:cs="Calibri" w:eastAsia="Calibri" w:hAnsi="Calibri"/>
          <w:b/>
          <w:bCs/>
          <w:color w:val="7A1F3D"/>
          <w:sz w:val="26"/>
          <w:szCs w:val="26"/>
        </w:rPr>
        <w:t xml:space="preserve">1.3 Depresi Postpartum</w:t>
      </w:r>
    </w:p>
    <w:p>
      <w:pPr>
        <w:spacing w:after="200" w:line="300"/>
        <w:jc w:val="both"/>
      </w:pPr>
      <w:r>
        <w:rPr>
          <w:rFonts w:ascii="Calibri" w:cs="Calibri" w:eastAsia="Calibri" w:hAnsi="Calibri"/>
          <w:sz w:val="22"/>
          <w:szCs w:val="22"/>
        </w:rPr>
        <w:t xml:space="preserve">Depresi postpartum adalah episode depresi mayor yang onsetnya terjadi selama kehamilan atau dalam beberapa minggu hingga bulan pascasalin, dengan gejala yang lebih berat, lebih menetap, dan lebih mengganggu fungsi dibandingkan baby blues. Gambaran klinisnya sejalan dengan kriteria episode depresi mayor pada umumnya — suasana hati tertekan atau kehilangan minat yang menetap hampir sepanjang hari, hampir setiap hari, selama sekurangnya dua minggu — namun dengan tema spesifik perinatal seperti perasaan bersalah berlebihan terkait kemampuan mengasuh bayi, kecemasan berlebihan terhadap kesehatan bayi, ambivalensi atau keterputusan emosional terhadap bayi, serta gangguan tidur dan nafsu makan yang sulit dibedakan dari perubahan fisiologis nifas itu sendiri.</w:t>
      </w:r>
    </w:p>
    <w:p>
      <w:pPr>
        <w:spacing w:after="200" w:line="300"/>
        <w:jc w:val="both"/>
      </w:pPr>
      <w:r>
        <w:rPr>
          <w:rFonts w:ascii="Calibri" w:cs="Calibri" w:eastAsia="Calibri" w:hAnsi="Calibri"/>
          <w:sz w:val="22"/>
          <w:szCs w:val="22"/>
        </w:rPr>
        <w:t xml:space="preserve">Berbeda dari baby blues, depresi postpartum menetap lebih dari dua minggu, cenderung memberat tanpa intervensi, dan secara bermakna mengganggu kemampuan ibu menjalankan fungsi harian termasuk interaksi dengan bayi. Onsetnya juga tidak selalu terbatas pada masa nifas dini; banyak kasus baru terdeteksi pada bulan ketiga hingga keenam pascasalin, sehingga skrining sistematis perlu dilakukan berulang sepanjang tahun pertama, bukan hanya pada kunjungan nifas pertama.</w:t>
      </w:r>
    </w:p>
    <w:p>
      <w:pPr>
        <w:spacing w:after="200" w:line="300"/>
        <w:jc w:val="both"/>
      </w:pPr>
      <w:r>
        <w:rPr>
          <w:rFonts w:ascii="Calibri" w:cs="Calibri" w:eastAsia="Calibri" w:hAnsi="Calibri"/>
          <w:sz w:val="22"/>
          <w:szCs w:val="22"/>
        </w:rPr>
        <w:t xml:space="preserve">Dampak depresi postpartum yang tidak tertangani bersifat multidimensi: pada ibu, meningkatkan risiko kronisitas gangguan mood, gangguan fungsi psikososial, dan pada kasus berat risiko bunuh diri (dibahas rinci pada Bab 3); pada bayi, berhubungan dengan gangguan ikatan (bonding) ibu-anak, keterlambatan perkembangan kognitif dan emosional, serta pola asuh yang kurang responsif; pada keluarga, meningkatkan beban psikososial pasangan dan risiko konflik rumah tangga. Urgensi penanganan bersifat sedang hingga tinggi tergantung derajat keparahan, dan pada prinsipnya memerlukan kombinasi psikoedukasi, psikoterapi terstruktur (misalnya terapi kognitif perilaku atau terapi interpersonal), serta pertimbangan farmakoterapi pada kasus sedang-berat sebagaimana dibahas pada Bab 5.</w:t>
      </w:r>
    </w:p>
    <w:p>
      <w:pPr>
        <w:pStyle w:val="Heading2"/>
        <w:spacing w:after="160" w:before="320"/>
      </w:pPr>
      <w:r>
        <w:rPr>
          <w:rFonts w:ascii="Calibri" w:cs="Calibri" w:eastAsia="Calibri" w:hAnsi="Calibri"/>
          <w:b/>
          <w:bCs/>
          <w:color w:val="7A1F3D"/>
          <w:sz w:val="26"/>
          <w:szCs w:val="26"/>
        </w:rPr>
        <w:t xml:space="preserve">1.4 Psikosis Postpartum</w:t>
      </w:r>
    </w:p>
    <w:p>
      <w:pPr>
        <w:spacing w:after="200" w:line="300"/>
        <w:jc w:val="both"/>
      </w:pPr>
      <w:r>
        <w:rPr>
          <w:rFonts w:ascii="Calibri" w:cs="Calibri" w:eastAsia="Calibri" w:hAnsi="Calibri"/>
          <w:sz w:val="22"/>
          <w:szCs w:val="22"/>
        </w:rPr>
        <w:t xml:space="preserve">Psikosis postpartum adalah kegawatdaruratan psikiatri yang relatif jarang namun memiliki risiko morbiditas dan mortalitas tertinggi di antara seluruh spektrum gangguan mental perinatal, baik bagi ibu maupun bayi. Onsetnya khas: sangat akut dan dini, umumnya muncul dalam 48 jam hingga dua minggu pertama pascasalin, dengan perjalanan gejala yang dapat memburuk dalam hitungan jam. Gambaran klinis meliputi disorganisasi pikiran, waham (sering bertema bayi — misalnya keyakinan bahwa bayi memiliki kekuatan jahat atau sebaliknya kekuatan suci istimewa), halusinasi, perubahan mood ekstrem yang fluktuatif antara elasi dan depresi berat, insomnia berat, kebingungan, serta perilaku yang tidak terduga dan berpotensi membahayakan diri maupun bayi.</w:t>
      </w:r>
    </w:p>
    <w:p>
      <w:pPr>
        <w:spacing w:after="200" w:line="300"/>
        <w:jc w:val="both"/>
      </w:pPr>
      <w:r>
        <w:rPr>
          <w:rFonts w:ascii="Calibri" w:cs="Calibri" w:eastAsia="Calibri" w:hAnsi="Calibri"/>
          <w:sz w:val="22"/>
          <w:szCs w:val="22"/>
        </w:rPr>
        <w:t xml:space="preserve">Psikosis postpartum secara etiologis sering berkaitan erat dengan gangguan bipolar yang mendasarinya, sehingga riwayat gangguan bipolar atau riwayat psikosis postpartum pada kehamilan sebelumnya merupakan faktor risiko mayor yang wajib digali secara aktif pada anamnesis antenatal, bukan menunggu gejala muncul.</w:t>
      </w:r>
    </w:p>
    <w:p>
      <w:pPr>
        <w:spacing w:after="200" w:line="300"/>
        <w:jc w:val="both"/>
      </w:pPr>
      <w:r>
        <w:rPr>
          <w:rFonts w:ascii="Calibri" w:cs="Calibri" w:eastAsia="Calibri" w:hAnsi="Calibri"/>
          <w:sz w:val="22"/>
          <w:szCs w:val="22"/>
        </w:rPr>
        <w:t xml:space="preserve">Berbeda tegas dari baby blues dan depresi postpartum, psikosis postpartum WAJIB dipandang sebagai kegawatdaruratan medis yang memerlukan rujukan segera dan rawat inap psikiatri, karena risiko bunuh diri dan risiko membahayakan bayi (infantisida) meningkat bermakna pada kondisi ini. Dokter Obstetri Ginekologi Sosial yang menjumpai tanda dan gejala di atas tidak boleh menunda rujukan untuk observasi lebih lanjut di layanan primer; keterlambatan rujukan pada psikosis postpartum berhubungan langsung dengan luaran fatal yang dapat dicegah.</w:t>
      </w:r>
    </w:p>
    <w:p>
      <w:pPr>
        <w:spacing w:after="200" w:line="300"/>
        <w:jc w:val="both"/>
      </w:pPr>
      <w:r>
        <w:rPr>
          <w:rFonts w:ascii="Calibri" w:cs="Calibri" w:eastAsia="Calibri" w:hAnsi="Calibri"/>
          <w:sz w:val="22"/>
          <w:szCs w:val="22"/>
        </w:rPr>
        <w:t xml:space="preserve">Tabel 1.1 pada subbab berikut merangkum perbedaan ketiga kondisi ini secara berdampingan untuk memudahkan diagnosis banding cepat di layanan klinis.</w:t>
      </w:r>
    </w:p>
    <w:p>
      <w:pPr>
        <w:pStyle w:val="Heading2"/>
        <w:spacing w:after="160" w:before="320"/>
      </w:pPr>
      <w:r>
        <w:rPr>
          <w:rFonts w:ascii="Calibri" w:cs="Calibri" w:eastAsia="Calibri" w:hAnsi="Calibri"/>
          <w:b/>
          <w:bCs/>
          <w:color w:val="7A1F3D"/>
          <w:sz w:val="26"/>
          <w:szCs w:val="26"/>
        </w:rPr>
        <w:t xml:space="preserve">1.5 Tabel Perbandingan Baby Blues, Depresi Postpartum, dan Psikosis Postpartum</w:t>
      </w:r>
    </w:p>
    <w:p>
      <w:pPr>
        <w:spacing w:after="200" w:line="300"/>
        <w:jc w:val="both"/>
      </w:pPr>
      <w:r>
        <w:rPr>
          <w:rFonts w:ascii="Calibri" w:cs="Calibri" w:eastAsia="Calibri" w:hAnsi="Calibri"/>
          <w:sz w:val="22"/>
          <w:szCs w:val="22"/>
        </w:rPr>
        <w:t xml:space="preserve">Untuk memudahkan diagnosis banding di layanan klinis, karakteristik onset, durasi, gambaran klinis dominan, dan urgensi penanganan ketiga kondisi tersebut dirangkum secara berdampingan pada Tabel 1.1 berikut.</w:t>
      </w:r>
    </w:p>
    <w:p>
      <w:pPr>
        <w:spacing w:after="120" w:before="200"/>
      </w:pPr>
      <w:r>
        <w:rPr>
          <w:rFonts w:ascii="Calibri" w:cs="Calibri" w:eastAsia="Calibri" w:hAnsi="Calibri"/>
          <w:b/>
          <w:bCs/>
          <w:i/>
          <w:iCs/>
          <w:color w:val="555555"/>
          <w:sz w:val="20"/>
          <w:szCs w:val="20"/>
        </w:rPr>
        <w:t xml:space="preserve">Tabel 1.1 Perbandingan Baby Blues, Depresi Postpartum, dan Psikosis Postpartum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shd w:fill="7A1F3D" w:val="clear"/>
            <w:tcMar>
              <w:top w:type="dxa" w:w="120"/>
              <w:left w:type="dxa" w:w="120"/>
              <w:bottom w:type="dxa" w:w="120"/>
              <w:right w:type="dxa" w:w="120"/>
            </w:tcMar>
            <w:vAlign w:val="center"/>
          </w:tcPr>
          <w:p>
            <w:r>
              <w:rPr>
                <w:rFonts w:ascii="Calibri" w:cs="Calibri" w:eastAsia="Calibri" w:hAnsi="Calibri"/>
                <w:b/>
                <w:bCs/>
                <w:color w:val="FFFFFF"/>
                <w:sz w:val="20"/>
                <w:szCs w:val="20"/>
              </w:rPr>
              <w:t xml:space="preserve">Aspek</w:t>
            </w:r>
          </w:p>
        </w:tc>
        <w:tc>
          <w:tcPr>
            <w:shd w:fill="7A1F3D" w:val="clear"/>
            <w:tcMar>
              <w:top w:type="dxa" w:w="120"/>
              <w:left w:type="dxa" w:w="120"/>
              <w:bottom w:type="dxa" w:w="120"/>
              <w:right w:type="dxa" w:w="120"/>
            </w:tcMar>
            <w:vAlign w:val="center"/>
          </w:tcPr>
          <w:p>
            <w:r>
              <w:rPr>
                <w:rFonts w:ascii="Calibri" w:cs="Calibri" w:eastAsia="Calibri" w:hAnsi="Calibri"/>
                <w:b/>
                <w:bCs/>
                <w:color w:val="FFFFFF"/>
                <w:sz w:val="20"/>
                <w:szCs w:val="20"/>
              </w:rPr>
              <w:t xml:space="preserve">Baby Blues</w:t>
            </w:r>
          </w:p>
        </w:tc>
        <w:tc>
          <w:tcPr>
            <w:shd w:fill="7A1F3D" w:val="clear"/>
            <w:tcMar>
              <w:top w:type="dxa" w:w="120"/>
              <w:left w:type="dxa" w:w="120"/>
              <w:bottom w:type="dxa" w:w="120"/>
              <w:right w:type="dxa" w:w="120"/>
            </w:tcMar>
            <w:vAlign w:val="center"/>
          </w:tcPr>
          <w:p>
            <w:r>
              <w:rPr>
                <w:rFonts w:ascii="Calibri" w:cs="Calibri" w:eastAsia="Calibri" w:hAnsi="Calibri"/>
                <w:b/>
                <w:bCs/>
                <w:color w:val="FFFFFF"/>
                <w:sz w:val="20"/>
                <w:szCs w:val="20"/>
              </w:rPr>
              <w:t xml:space="preserve">Depresi Postpartum</w:t>
            </w:r>
          </w:p>
        </w:tc>
        <w:tc>
          <w:tcPr>
            <w:shd w:fill="7A1F3D" w:val="clear"/>
            <w:tcMar>
              <w:top w:type="dxa" w:w="120"/>
              <w:left w:type="dxa" w:w="120"/>
              <w:bottom w:type="dxa" w:w="120"/>
              <w:right w:type="dxa" w:w="120"/>
            </w:tcMar>
            <w:vAlign w:val="center"/>
          </w:tcPr>
          <w:p>
            <w:r>
              <w:rPr>
                <w:rFonts w:ascii="Calibri" w:cs="Calibri" w:eastAsia="Calibri" w:hAnsi="Calibri"/>
                <w:b/>
                <w:bCs/>
                <w:color w:val="FFFFFF"/>
                <w:sz w:val="20"/>
                <w:szCs w:val="20"/>
              </w:rPr>
              <w:t xml:space="preserve">Psikosis Postpartum</w:t>
            </w:r>
          </w:p>
        </w:tc>
      </w:tr>
      <w:tr>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Onset</w:t>
            </w:r>
          </w:p>
        </w:tc>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2–5 hari pascasalin</w:t>
            </w:r>
          </w:p>
        </w:tc>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Dapat terjadi pada kehamilan hingga 12 bulan pascasalin</w:t>
            </w:r>
          </w:p>
        </w:tc>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48 jam–2 minggu pascasalin (sangat akut)</w:t>
            </w:r>
          </w:p>
        </w:tc>
      </w:tr>
      <w:tr>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Durasi</w:t>
            </w:r>
          </w:p>
        </w:tc>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&lt; 2 minggu, self-limiting</w:t>
            </w:r>
          </w:p>
        </w:tc>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&gt; 2 minggu, dapat kronis bila tak ditangani</w:t>
            </w:r>
          </w:p>
        </w:tc>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Bervariasi; memerlukan rawat inap segera</w:t>
            </w:r>
          </w:p>
        </w:tc>
      </w:tr>
      <w:tr>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Gambaran klinis dominan</w:t>
            </w:r>
          </w:p>
        </w:tc>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Labilitas mood ringan, mudah menangis, cemas ringan</w:t>
            </w:r>
          </w:p>
        </w:tc>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Mood tertekan menetap, rasa bersalah, gangguan bonding, anhedonia</w:t>
            </w:r>
          </w:p>
        </w:tc>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Waham, halusinasi, disorganisasi pikiran, mood ekstrem fluktuatif</w:t>
            </w:r>
          </w:p>
        </w:tc>
      </w:tr>
      <w:tr>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Fungsi harian</w:t>
            </w:r>
          </w:p>
        </w:tc>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Umumnya tetap terjaga</w:t>
            </w:r>
          </w:p>
        </w:tc>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Terganggu bermakna</w:t>
            </w:r>
          </w:p>
        </w:tc>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Terganggu berat, sering tidak dapat merawat diri/bayi</w:t>
            </w:r>
          </w:p>
        </w:tc>
      </w:tr>
      <w:tr>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Risiko bunuh diri/bahaya bayi</w:t>
            </w:r>
          </w:p>
        </w:tc>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Sangat rendah</w:t>
            </w:r>
          </w:p>
        </w:tc>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Meningkat, perlu skrining aktif (Bab 3)</w:t>
            </w:r>
          </w:p>
        </w:tc>
        <w:tc>
          <w:tcPr>
            <w:shd w:fill="FFFFFF" w:val="clear"/>
            <w:tcMar>
              <w:top w:type="dxa" w:w="100"/>
              <w:left w:type="dxa" w:w="120"/>
              <w:bottom w:type="dxa" w:w="100"/>
              <w:right w:type="dxa" w:w="120"/>
            </w:tcMar>
          </w:tcPr>
          <w:p>
            <w:pPr>
              <w:spacing w:line="260"/>
            </w:pPr>
            <w:r>
              <w:rPr>
                <w:rFonts w:ascii="Calibri" w:cs="Calibri" w:eastAsia="Calibri" w:hAnsi="Calibri"/>
                <w:sz w:val="19"/>
                <w:szCs w:val="19"/>
              </w:rPr>
              <w:t xml:space="preserve">Tinggi — kegawatdaruratan psikiatri</w:t>
            </w:r>
          </w:p>
        </w:tc>
      </w:tr>
      <w:tr>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Urgensi penanganan</w:t>
            </w:r>
          </w:p>
        </w:tc>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Suportif, edukasi</w:t>
            </w:r>
          </w:p>
        </w:tc>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Sedang–tinggi, terjadwal hingga segera tergantung derajat</w:t>
            </w:r>
          </w:p>
        </w:tc>
        <w:tc>
          <w:tcPr>
            <w:shd w:fill="F7EEF1" w:val="clear"/>
            <w:tcMar>
              <w:top w:type="dxa" w:w="100"/>
              <w:left w:type="dxa" w:w="120"/>
              <w:bottom w:type="dxa" w:w="100"/>
              <w:right w:type="dxa" w:w="120"/>
            </w:tcMar>
          </w:tcPr>
          <w:p>
            <w:pPr>
              <w:spacing w:line="260"/>
            </w:pPr>
            <w:r>
              <w:rPr>
                <w:rFonts w:ascii="Calibri" w:cs="Calibri" w:eastAsia="Calibri" w:hAnsi="Calibri"/>
                <w:sz w:val="19"/>
                <w:szCs w:val="19"/>
              </w:rPr>
              <w:t xml:space="preserve">SEGERA — rujukan dan rawat inap psikiatri</w:t>
            </w:r>
          </w:p>
        </w:tc>
      </w:tr>
    </w:tbl>
    <w:p>
      <w:pPr>
        <w:spacing w:after="200"/>
      </w:pPr>
    </w:p>
    <w:p>
      <w:pPr>
        <w:pStyle w:val="Heading2"/>
        <w:spacing w:after="160" w:before="320"/>
      </w:pPr>
      <w:r>
        <w:rPr>
          <w:rFonts w:ascii="Calibri" w:cs="Calibri" w:eastAsia="Calibri" w:hAnsi="Calibri"/>
          <w:b/>
          <w:bCs/>
          <w:color w:val="7A1F3D"/>
          <w:sz w:val="26"/>
          <w:szCs w:val="26"/>
        </w:rPr>
        <w:t xml:space="preserve">1.6 Epidemiologi dan Faktor Risiko di Indonesia</w:t>
      </w:r>
    </w:p>
    <w:p>
      <w:pPr>
        <w:spacing w:after="200" w:line="300"/>
        <w:jc w:val="both"/>
      </w:pPr>
      <w:r>
        <w:rPr>
          <w:rFonts w:ascii="Calibri" w:cs="Calibri" w:eastAsia="Calibri" w:hAnsi="Calibri"/>
          <w:sz w:val="22"/>
          <w:szCs w:val="22"/>
        </w:rPr>
        <w:t xml:space="preserve">Data epidemiologi gangguan mental perinatal di Indonesia masih terbatas dan bervariasi antarwilayah, dipengaruhi oleh perbedaan instrumen skrining yang digunakan, ambang batas yang diterapkan, serta akses layanan kesehatan mental yang tidak merata antara wilayah perkotaan dan pedesaan. Meski demikian, telaah pustaka konsisten menunjukkan bahwa depresi dan ansietas perinatal merupakan masalah kesehatan masyarakat yang bermakna, dengan proporsi kasus yang terdeteksi jauh lebih rendah dibandingkan estimasi prevalensi sesungguhnya — mencerminkan kesenjangan deteksi (detection gap) yang menjadi salah satu alasan utama Standar Kompetensi Konsil Kesehatan Indonesia mewajibkan skrining sistematis pada seluruh pasien berisiko.</w:t>
      </w:r>
    </w:p>
    <w:p>
      <w:pPr>
        <w:spacing w:after="200" w:line="300"/>
        <w:jc w:val="both"/>
      </w:pPr>
      <w:r>
        <w:rPr>
          <w:rFonts w:ascii="Calibri" w:cs="Calibri" w:eastAsia="Calibri" w:hAnsi="Calibri"/>
          <w:sz w:val="22"/>
          <w:szCs w:val="22"/>
        </w:rPr>
        <w:t xml:space="preserve">Faktor risiko gangguan mental perinatal bersifat multidimensi dan saling berinteraksi. Pada ranah biologis, riwayat gangguan mental sebelumnya (termasuk episode depresi atau bipolar prakehamilan), riwayat gangguan mental perinatal pada kehamilan sebelumnya, dan komplikasi obstetri berat merupakan prediktor kuat. Pada ranah psikologis, kehamilan tidak diinginkan, ambivalensi terhadap kehamilan, dan riwayat trauma atau kekerasan meningkatkan kerentanan secara bermakna. Pada ranah sosial dan ekonomi, kemiskinan, kurangnya dukungan pasangan atau keluarga besar, isolasi sosial, serta beban kerja ganda (domestik dan ekonomi) merupakan faktor risiko yang secara khas menonjol dalam konteks sosial-budaya Indonesia, di mana peran perempuan sebagai pengasuh utama sering kali tidak diimbangi dengan dukungan struktural yang memadai.</w:t>
      </w:r>
    </w:p>
    <w:p>
      <w:pPr>
        <w:spacing w:after="200" w:line="300"/>
        <w:jc w:val="both"/>
      </w:pPr>
      <w:r>
        <w:rPr>
          <w:rFonts w:ascii="Calibri" w:cs="Calibri" w:eastAsia="Calibri" w:hAnsi="Calibri"/>
          <w:sz w:val="22"/>
          <w:szCs w:val="22"/>
        </w:rPr>
        <w:t xml:space="preserve">Faktor budaya turut berperan ganda: di satu sisi, tradisi dukungan keluarga besar pascasalin (misalnya praktik pantang dan perawatan bersama oleh keluarga besar) dapat menjadi faktor protektif; di sisi lain, stigma terhadap gangguan mental dan ekspektasi budaya bahwa menjadi ibu harus selalu membawa kebahagiaan dapat menghambat perempuan mengungkapkan gejala yang dialaminya, memperbesar detection gap tersebut. Dokter Obstetri Ginekologi Sosial perlu memahami dinamika ini agar pendekatan skrining dan edukasi yang diterapkan sensitif secara budaya, bukan sekadar mengadopsi instrumen internasional tanpa penyesuaian konteks.</w:t>
      </w:r>
    </w:p>
    <w:p>
      <w:pPr>
        <w:spacing w:after="200" w:before="200"/>
      </w:pP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6F8"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Poin Kunci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Kesehatan mental perinatal mencakup periode kehamilan hingga 12 bulan pascasalin dan berinteraksi dua arah dengan luaran obstetri.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Baby blues bersifat ringan, onset 2–5 hari, mereda spontan dalam &lt; 2 minggu tanpa memerlukan terapi formal.</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Depresi postpartum menetap &gt; 2 minggu, mengganggu fungsi bermakna, dan dapat berdampak pada bonding ibu-bayi.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Psikosis postpartum adalah kegawatdaruratan psikiatri dengan onset sangat akut (48 jam–2 minggu) dan risiko bunuh diri/infantisida tinggi, memerlukan rujukan segera.</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Standar Kompetensi Konsil Kesehatan Indonesia mewajibkan 100% asesmen psikiatri pada pasien yang dicurigai gangguan mental perinatal, dengan target angka deteksi dini depresi/ansietas ≥80% (Tabel 19) dan ≥80% kasus depresi postpartum dirujuk ke psikiatri/psikologi (Tabel 25).</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Detection gap gangguan mental perinatal di Indonesia dipengaruhi stigma budaya dan keterbatasan akses layanan kesehatan mental.</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Faktor risiko bersifat biopsikososial: riwayat psikiatri, kehamilan tidak diinginkan, kemiskinan, kurang dukungan sosial, dan stigma budaya.</w:t>
            </w:r>
          </w:p>
        </w:tc>
      </w:tr>
    </w:tbl>
    <w:p>
      <w:pPr>
        <w:pBdr>
          <w:top w:val="single" w:color="CCCCCC" w:sz="4" w:space="4"/>
        </w:pBdr>
        <w:spacing w:after="120" w:before="300"/>
      </w:pPr>
      <w:r>
        <w:rPr>
          <w:rFonts w:ascii="Calibri" w:cs="Calibri" w:eastAsia="Calibri" w:hAnsi="Calibri"/>
          <w:b/>
          <w:bCs/>
          <w:color w:val="555555"/>
          <w:sz w:val="22"/>
          <w:szCs w:val="22"/>
        </w:rPr>
        <w:t xml:space="preserve">Referensi Bab 1</w:t>
      </w:r>
    </w:p>
    <w:p>
      <w:pPr>
        <w:spacing w:after="100" w:line="26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 Tabel 19 dan Tabel 25 Subspesialis Obstetri Ginekologi Sosial.</w:t>
      </w:r>
    </w:p>
    <w:p>
      <w:pPr>
        <w:spacing w:after="100" w:line="26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Cunningham FG, Leveno KJ, Dashe JS, et al., editors. Williams Obstetrics. 26th ed. New York: McGraw Hill; 2022.</w:t>
      </w:r>
    </w:p>
    <w:p>
      <w:pPr>
        <w:spacing w:after="100" w:line="26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American College of Obstetricians and Gynecologists (ACOG). Screening and Diagnosis of Mental Health Conditions During Pregnancy and Postpartum: ACOG Clinical Practice Guideline No. 4. Obstet Gynecol. 2023;141(6):1232-1261. doi:10.1097/AOG.0000000000005200.</w:t>
      </w:r>
    </w:p>
    <w:p>
      <w:pPr>
        <w:spacing w:after="100" w:line="260"/>
        <w:ind w:left="360" w:hanging="360"/>
      </w:pPr>
      <w:r>
        <w:rPr>
          <w:rFonts w:ascii="Calibri" w:cs="Calibri" w:eastAsia="Calibri" w:hAnsi="Calibri"/>
          <w:color w:val="555555"/>
          <w:sz w:val="20"/>
          <w:szCs w:val="20"/>
        </w:rPr>
        <w:t xml:space="preserve">4. </w:t>
      </w:r>
      <w:r>
        <w:rPr>
          <w:rFonts w:ascii="Calibri" w:cs="Calibri" w:eastAsia="Calibri" w:hAnsi="Calibri"/>
          <w:color w:val="555555"/>
          <w:sz w:val="20"/>
          <w:szCs w:val="20"/>
        </w:rPr>
        <w:t xml:space="preserve">Berek JS, Berek DL, editors. Berek &amp; Novak's Gynecology. 17th ed. Philadelphia: Wolters Kluwer; 2023.</w:t>
      </w:r>
    </w:p>
    <w:p>
      <w:pPr>
        <w:pStyle w:val="Heading1"/>
        <w:pageBreakBefore/>
        <w:spacing w:after="60" w:before="0"/>
      </w:pPr>
      <w:r>
        <w:rPr>
          <w:rFonts w:ascii="Calibri" w:cs="Calibri" w:eastAsia="Calibri" w:hAnsi="Calibri"/>
          <w:b/>
          <w:bCs/>
          <w:color w:val="7A1F3D"/>
          <w:sz w:val="22"/>
          <w:szCs w:val="22"/>
        </w:rPr>
        <w:t xml:space="preserve">BAB 2</w:t>
      </w:r>
    </w:p>
    <w:p>
      <w:pPr>
        <w:pBdr>
          <w:bottom w:val="single" w:color="7A1F3D" w:sz="16" w:space="6"/>
        </w:pBdr>
        <w:spacing w:after="300"/>
      </w:pPr>
      <w:r>
        <w:rPr>
          <w:rFonts w:ascii="Calibri" w:cs="Calibri" w:eastAsia="Calibri" w:hAnsi="Calibri"/>
          <w:b/>
          <w:bCs/>
          <w:color w:val="7A1F3D"/>
          <w:sz w:val="40"/>
          <w:szCs w:val="40"/>
        </w:rPr>
        <w:t xml:space="preserve">Instrumen Skrining Depresi dan Ansietas Perinatal</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Tujuan Pembelajaran Bab</w:t>
            </w:r>
          </w:p>
          <w:p>
            <w:pPr>
              <w:spacing w:after="80" w:line="280"/>
            </w:pPr>
            <w:r>
              <w:rPr>
                <w:rFonts w:ascii="Calibri" w:cs="Calibri" w:eastAsia="Calibri" w:hAnsi="Calibri"/>
                <w:sz w:val="22"/>
                <w:szCs w:val="22"/>
              </w:rPr>
              <w:t xml:space="preserve">1. Menjelaskan prinsip umum skrining kesehatan mental dalam layanan antenatal dan postnatal rutin.</w:t>
            </w:r>
          </w:p>
          <w:p>
            <w:pPr>
              <w:spacing w:after="80" w:line="280"/>
            </w:pPr>
            <w:r>
              <w:rPr>
                <w:rFonts w:ascii="Calibri" w:cs="Calibri" w:eastAsia="Calibri" w:hAnsi="Calibri"/>
                <w:sz w:val="22"/>
                <w:szCs w:val="22"/>
              </w:rPr>
              <w:t xml:space="preserve">2. Menguraikan Edinburgh Postnatal Depression Scale (EPDS) beserta ambang skor rujukan baku.</w:t>
            </w:r>
          </w:p>
          <w:p>
            <w:pPr>
              <w:spacing w:after="80" w:line="280"/>
            </w:pPr>
            <w:r>
              <w:rPr>
                <w:rFonts w:ascii="Calibri" w:cs="Calibri" w:eastAsia="Calibri" w:hAnsi="Calibri"/>
                <w:sz w:val="22"/>
                <w:szCs w:val="22"/>
              </w:rPr>
              <w:t xml:space="preserve">3. Menguraikan Generalized Anxiety Disorder-7 (GAD-7) sebagai instrumen skrining ansietas perinatal.</w:t>
            </w:r>
          </w:p>
          <w:p>
            <w:pPr>
              <w:spacing w:after="80" w:line="280"/>
            </w:pPr>
            <w:r>
              <w:rPr>
                <w:rFonts w:ascii="Calibri" w:cs="Calibri" w:eastAsia="Calibri" w:hAnsi="Calibri"/>
                <w:sz w:val="22"/>
                <w:szCs w:val="22"/>
              </w:rPr>
              <w:t xml:space="preserve">4. Menentukan waktu dan alur skrining yang tepat dalam kunjungan antenatal dan postnatal.</w:t>
            </w:r>
          </w:p>
        </w:tc>
      </w:tr>
    </w:tbl>
    <w:p>
      <w:pPr>
        <w:spacing w:after="200"/>
      </w:pPr>
    </w:p>
    <w:p>
      <w:pPr>
        <w:pStyle w:val="Heading2"/>
        <w:spacing w:after="160" w:before="320"/>
      </w:pPr>
      <w:r>
        <w:rPr>
          <w:rFonts w:ascii="Calibri" w:cs="Calibri" w:eastAsia="Calibri" w:hAnsi="Calibri"/>
          <w:b/>
          <w:bCs/>
          <w:color w:val="7A1F3D"/>
          <w:sz w:val="26"/>
          <w:szCs w:val="26"/>
        </w:rPr>
        <w:t xml:space="preserve">2.1 Prinsip Skrining Kesehatan Mental Perinatal</w:t>
      </w:r>
    </w:p>
    <w:p>
      <w:pPr>
        <w:spacing w:after="200" w:line="300"/>
        <w:jc w:val="both"/>
      </w:pPr>
      <w:r>
        <w:rPr>
          <w:rFonts w:ascii="Calibri" w:cs="Calibri" w:eastAsia="Calibri" w:hAnsi="Calibri"/>
          <w:sz w:val="22"/>
          <w:szCs w:val="22"/>
        </w:rPr>
        <w:t xml:space="preserve">Skrining kesehatan mental perinatal adalah proses sistematis menggunakan instrumen terstandar untuk mengidentifikasi perempuan yang berisiko atau kemungkinan mengalami gangguan mental, sebagai langkah awal sebelum asesmen diagnostik lebih lanjut oleh tenaga psikiatri atau psikologi klinis. Prinsip dasar yang perlu dipegang adalah bahwa instrumen skrining bukan alat diagnostik; skor tinggi pada suatu instrumen menunjukkan kemungkinan (probability), bukan kepastian, adanya gangguan, sehingga hasil positif wajib ditindaklanjuti dengan asesmen klinis, bukan langsung dijadikan dasar diagnosis atau terapi.</w:t>
      </w:r>
    </w:p>
    <w:p>
      <w:pPr>
        <w:spacing w:after="200" w:line="300"/>
        <w:jc w:val="both"/>
      </w:pPr>
      <w:r>
        <w:rPr>
          <w:rFonts w:ascii="Calibri" w:cs="Calibri" w:eastAsia="Calibri" w:hAnsi="Calibri"/>
          <w:sz w:val="22"/>
          <w:szCs w:val="22"/>
        </w:rPr>
        <w:t xml:space="preserve">Standar Kompetensi Konsil Kesehatan Indonesia (Tabel 19 komponen ke-9, Subspesialis Obstetri Ginekologi Sosial) menetapkan bahwa 100% pasien yang dicurigai mengalami gangguan mental wajib mendapat asesmen psikiatri, dengan target angka deteksi dini depresi/ansietas sekurang-kurangnya 80%. Ketentuan ini menegaskan bahwa skrining bersifat universal (dilakukan pada seluruh pasien, bukan hanya yang tampak bergejala), bukan skrining selektif berdasarkan kesan klinis semata — karena banyak perempuan dengan gangguan mental perinatal tidak menunjukkan tanda yang kentara pada pemeriksaan fisik rutin. Sejalan dengan hal ini, ACOG Clinical Practice Guideline No. 4 (2023) merekomendasikan agar setiap perempuan yang menjalani layanan well-woman, prakehamilan, antenatal, dan pascasalin diskrining untuk depresi dan ansietas menggunakan instrumen baku dan tervalidasi, dilaksanakan pada kunjungan antenatal awal, pada masa kehamilan lanjut, dan pada kunjungan pascasalin, disertai sistem yang memastikan akses tepat waktu terhadap asesmen, tata laksana, dan pemantauan lanjutan sesuai derajat keparahan.</w:t>
      </w:r>
    </w:p>
    <w:p>
      <w:pPr>
        <w:spacing w:after="200" w:line="300"/>
        <w:jc w:val="both"/>
      </w:pPr>
      <w:r>
        <w:rPr>
          <w:rFonts w:ascii="Calibri" w:cs="Calibri" w:eastAsia="Calibri" w:hAnsi="Calibri"/>
          <w:sz w:val="22"/>
          <w:szCs w:val="22"/>
        </w:rPr>
        <w:t xml:space="preserve">Agar skrining efektif, instrumen yang dipilih harus tervalidasi dalam Bahasa Indonesia, mudah diisi mandiri oleh pasien dalam waktu singkat (idealnya kurang dari 10 menit), memiliki ambang skor (cut-off) yang jelas dan telah diuji pada populasi lokal, serta diikuti alur tindak lanjut yang terstruktur — karena skrining tanpa alur tindak lanjut yang jelas hanya akan menghasilkan data tanpa manfaat klinis nyata bagi pasien.</w:t>
      </w:r>
    </w:p>
    <w:p>
      <w:pPr>
        <w:pStyle w:val="Heading2"/>
        <w:spacing w:after="160" w:before="320"/>
      </w:pPr>
      <w:r>
        <w:rPr>
          <w:rFonts w:ascii="Calibri" w:cs="Calibri" w:eastAsia="Calibri" w:hAnsi="Calibri"/>
          <w:b/>
          <w:bCs/>
          <w:color w:val="7A1F3D"/>
          <w:sz w:val="26"/>
          <w:szCs w:val="26"/>
        </w:rPr>
        <w:t xml:space="preserve">2.2 Edinburgh Postnatal Depression Scale (EPDS)</w:t>
      </w:r>
    </w:p>
    <w:p>
      <w:pPr>
        <w:spacing w:after="200" w:line="300"/>
        <w:jc w:val="both"/>
      </w:pPr>
      <w:r>
        <w:rPr>
          <w:rFonts w:ascii="Calibri" w:cs="Calibri" w:eastAsia="Calibri" w:hAnsi="Calibri"/>
          <w:sz w:val="22"/>
          <w:szCs w:val="22"/>
        </w:rPr>
        <w:t xml:space="preserve">Edinburgh Postnatal Depression Scale (EPDS) adalah instrumen skrining swalapor (self-report) yang paling banyak digunakan secara global untuk mendeteksi kemungkinan depresi pada masa kehamilan dan pascasalin. Instrumen ini terdiri atas 10 butir pernyataan yang menilai gejala afektif dalam tujuh hari terakhir, mencakup domain seperti kemampuan tertawa dan melihat sisi positif situasi, rasa cemas atau khawatir tanpa alasan jelas, rasa takut atau panik berlebihan, kesulitan tidur akibat kesedihan, perasaan sedih atau menyesal, serta pada butir terakhir secara spesifik menanyakan pikiran untuk menyakiti diri sendiri — butir yang akan dibahas lebih rinci pada Bab 3 sebagai komponen skrining risiko bunuh diri.</w:t>
      </w:r>
    </w:p>
    <w:p>
      <w:pPr>
        <w:spacing w:after="200" w:line="300"/>
        <w:jc w:val="both"/>
      </w:pPr>
      <w:r>
        <w:rPr>
          <w:rFonts w:ascii="Calibri" w:cs="Calibri" w:eastAsia="Calibri" w:hAnsi="Calibri"/>
          <w:sz w:val="22"/>
          <w:szCs w:val="22"/>
        </w:rPr>
        <w:t xml:space="preserve">EPDS pertama kali dikembangkan dan divalidasi oleh Cox, Holden, dan Sagovsky pada tahun 1987 di Livingston dan Edinburgh, Skotlandia, dan dipublikasikan dalam British Journal of Psychiatry. Setiap butir EPDS diberi skor 0 hingga 3 sehingga total skor berkisar antara 0 dan 30. Studi validasi awal menetapkan ambang skor 12/13 (yaitu skor 13 ke atas) sebagai titik potong optimal untuk kemungkinan episode depresi mayor maupun minor, dengan sensitivitas 86% dan spesifisitas 78%; dalam praktik klinis kontemporer, skor 10 ke atas lazim digunakan sebagai ambang yang lebih longgar untuk menjaring kemungkinan gejala depresi yang memerlukan asesmen lebih lanjut, sedangkan skor 13 ke atas mengindikasikan kemungkinan yang lebih tinggi terhadap episode depresi yang bermakna secara klinis. Ambang ini bersifat indikatif dan dapat disesuaikan berdasarkan validasi lokal serta konteks budaya setempat; skor EPDS tidak boleh menggantikan penilaian klinis, dan pengembang instrumen sendiri menegaskan perlunya asesmen klinis lanjutan untuk memastikan diagnosis pada kasus dengan skor meragukan.</w:t>
      </w:r>
    </w:p>
    <w:p>
      <w:pPr>
        <w:spacing w:after="200" w:line="300"/>
        <w:jc w:val="both"/>
      </w:pPr>
      <w:r>
        <w:rPr>
          <w:rFonts w:ascii="Calibri" w:cs="Calibri" w:eastAsia="Calibri" w:hAnsi="Calibri"/>
          <w:sz w:val="22"/>
          <w:szCs w:val="22"/>
        </w:rPr>
        <w:t xml:space="preserve">Keunggulan utama EPDS dibandingkan instrumen depresi umum lainnya adalah fokusnya yang dirancang khusus untuk konteks perinatal — misalnya tidak menyertakan butir tentang gangguan tidur dan nafsu makan yang tumpang tindih secara alamiah dengan perubahan fisiologis nifas — sehingga hasil skrining lebih spesifik mencerminkan gejala afektif dibandingkan instrumen depresi generik. EPDS dapat digunakan baik pada masa antenatal maupun postnatal, dengan kata pengantar instrumen yang perlu disesuaikan konteks waktunya (tujuh hari terakhir kehamilan atau tujuh hari terakhir pascasalin).</w:t>
      </w:r>
    </w:p>
    <w:p>
      <w:pPr>
        <w:spacing w:after="200" w:line="300"/>
        <w:jc w:val="both"/>
      </w:pPr>
      <w:r>
        <w:rPr>
          <w:rFonts w:ascii="Calibri" w:cs="Calibri" w:eastAsia="Calibri" w:hAnsi="Calibri"/>
          <w:sz w:val="22"/>
          <w:szCs w:val="22"/>
        </w:rPr>
        <w:t xml:space="preserve">Skor total tinggi pada EPDS, terlepas dari jawaban butir 10, tetap memerlukan tindak lanjut berupa wawancara klinis terstruktur untuk memastikan diagnosis, menyingkirkan diagnosis banding seperti gangguan ansietas primer atau gangguan bipolar, dan menentukan derajat keparahan serta rencana tata laksana yang sesuai.</w:t>
      </w:r>
    </w:p>
    <w:p>
      <w:pPr>
        <w:pStyle w:val="Heading2"/>
        <w:spacing w:after="160" w:before="320"/>
      </w:pPr>
      <w:r>
        <w:rPr>
          <w:rFonts w:ascii="Calibri" w:cs="Calibri" w:eastAsia="Calibri" w:hAnsi="Calibri"/>
          <w:b/>
          <w:bCs/>
          <w:color w:val="7A1F3D"/>
          <w:sz w:val="26"/>
          <w:szCs w:val="26"/>
        </w:rPr>
        <w:t xml:space="preserve">2.3 Generalized Anxiety Disorder-7 (GAD-7)</w:t>
      </w:r>
    </w:p>
    <w:p>
      <w:pPr>
        <w:spacing w:after="200" w:line="300"/>
        <w:jc w:val="both"/>
      </w:pPr>
      <w:r>
        <w:rPr>
          <w:rFonts w:ascii="Calibri" w:cs="Calibri" w:eastAsia="Calibri" w:hAnsi="Calibri"/>
          <w:sz w:val="22"/>
          <w:szCs w:val="22"/>
        </w:rPr>
        <w:t xml:space="preserve">Ansietas perinatal sering luput dari perhatian klinis karena secara historis skrining kesehatan mental perinatal lebih berfokus pada depresi, padahal gangguan ansietas — termasuk gangguan ansietas menyeluruh, gangguan panik, dan ansietas spesifik terkait kehamilan atau persalinan — memiliki prevalensi yang sebanding atau bahkan lebih tinggi dibandingkan depresi pada populasi perinatal, dan sering muncul bersamaan (komorbid) dengan depresi. Generalized Anxiety Disorder-7 (GAD-7) adalah instrumen skrining swalapor yang dikembangkan untuk menilai gejala ansietas menyeluruh dalam dua minggu terakhir, dan telah banyak diadaptasi serta digunakan pula pada populasi perinatal meskipun awalnya bukan dirancang khusus untuk konteks tersebut.</w:t>
      </w:r>
    </w:p>
    <w:p>
      <w:pPr>
        <w:spacing w:after="200" w:line="300"/>
        <w:jc w:val="both"/>
      </w:pPr>
      <w:r>
        <w:rPr>
          <w:rFonts w:ascii="Calibri" w:cs="Calibri" w:eastAsia="Calibri" w:hAnsi="Calibri"/>
          <w:sz w:val="22"/>
          <w:szCs w:val="22"/>
        </w:rPr>
        <w:t xml:space="preserve">GAD-7 dikembangkan dan divalidasi oleh Spitzer, Kroenke, Williams, dan Löwe pada tahun 2006 dan dipublikasikan dalam Archives of Internal Medicine. Instrumen ini terdiri atas 7 butir pernyataan yang menilai gejala seperti perasaan gugup atau tegang, ketidakmampuan mengendalikan kekhawatiran, kekhawatiran berlebihan terhadap berbagai hal, kesulitan untuk rileks, kegelisahan yang membuat sulit diam, mudah marah atau tersinggung, serta perasaan takut seakan sesuatu buruk akan terjadi. Setiap butir diberi skor 0 hingga 3, dengan total skor berkisar 0 hingga 21. Studi validasi asli menetapkan ambang skor 10 ke atas sebagai titik potong optimal untuk kemungkinan gangguan ansietas menyeluruh, dengan sensitivitas 89% dan spesifisitas 82%; secara umum skor 5–9 dikategorikan ansietas ringan, 10–14 ansietas sedang, dan skor 15 ke atas ansietas berat, dengan skor 10 ke atas umumnya dijadikan ambang rujukan untuk asesmen klinis lebih lanjut.</w:t>
      </w:r>
    </w:p>
    <w:p>
      <w:pPr>
        <w:spacing w:after="200" w:line="300"/>
        <w:jc w:val="both"/>
      </w:pPr>
      <w:r>
        <w:rPr>
          <w:rFonts w:ascii="Calibri" w:cs="Calibri" w:eastAsia="Calibri" w:hAnsi="Calibri"/>
          <w:sz w:val="22"/>
          <w:szCs w:val="22"/>
        </w:rPr>
        <w:t xml:space="preserve">Pada praktik klinis Obstetri Ginekologi Sosial, GAD-7 idealnya digunakan berdampingan dengan EPDS, bukan sebagai pengganti, mengingat tingginya komorbiditas depresi-ansietas perinatal. Pasien dengan skor EPDS di bawah ambang namun skor GAD-7 tinggi tetap memerlukan tindak lanjut, karena ansietas perinatal yang tidak tertangani berhubungan dengan luaran obstetri yang merugikan serupa dengan depresi, termasuk peningkatan risiko persalinan preterm dan gangguan interaksi ibu-bayi pascasalin.</w:t>
      </w:r>
    </w:p>
    <w:p>
      <w:pPr>
        <w:pStyle w:val="Heading2"/>
        <w:spacing w:after="160" w:before="320"/>
      </w:pPr>
      <w:r>
        <w:rPr>
          <w:rFonts w:ascii="Calibri" w:cs="Calibri" w:eastAsia="Calibri" w:hAnsi="Calibri"/>
          <w:b/>
          <w:bCs/>
          <w:color w:val="7A1F3D"/>
          <w:sz w:val="26"/>
          <w:szCs w:val="26"/>
        </w:rPr>
        <w:t xml:space="preserve">2.4 Waktu dan Alur Skrining dalam Layanan Antenatal-Postnatal</w:t>
      </w:r>
    </w:p>
    <w:p>
      <w:pPr>
        <w:spacing w:after="200" w:line="300"/>
        <w:jc w:val="both"/>
      </w:pPr>
      <w:r>
        <w:rPr>
          <w:rFonts w:ascii="Calibri" w:cs="Calibri" w:eastAsia="Calibri" w:hAnsi="Calibri"/>
          <w:sz w:val="22"/>
          <w:szCs w:val="22"/>
        </w:rPr>
        <w:t xml:space="preserve">Skrining kesehatan mental perinatal idealnya dilakukan pada beberapa titik waktu, bukan hanya sekali, mengingat gejala dapat muncul kapan saja sepanjang periode perinatal. Titik waktu yang direkomendasikan mencakup kunjungan antenatal pertama (untuk menapis riwayat gangguan mental sebelumnya dan gejala yang sudah ada sejak awal kehamilan), trimester ketiga (mendekati persalinan, ketika ansietas terkait persalinan meningkat), kunjungan nifas dini (dalam 1–2 minggu pascasalin, untuk membedakan baby blues dari tanda awal depresi/psikosis), serta kunjungan nifas lanjut pada bulan ketiga dan keenam pascasalin, mengingat banyak kasus depresi postpartum baru muncul atau baru terdeteksi pada periode tersebut.</w:t>
      </w:r>
    </w:p>
    <w:p>
      <w:pPr>
        <w:spacing w:after="200" w:line="300"/>
        <w:jc w:val="both"/>
      </w:pPr>
      <w:r>
        <w:rPr>
          <w:rFonts w:ascii="Calibri" w:cs="Calibri" w:eastAsia="Calibri" w:hAnsi="Calibri"/>
          <w:sz w:val="22"/>
          <w:szCs w:val="22"/>
        </w:rPr>
        <w:t xml:space="preserve">Alur tindak lanjut skrining perlu terstruktur dan telah disepakati sebelumnya oleh fasilitas layanan, mencakup: siapa yang melakukan skrining (dapat didelegasikan kepada bidan atau perawat terlatih dengan supervisi), bagaimana hasil dikomunikasikan kepada dokter penanggung jawab, langkah asesmen lanjutan bagi pasien dengan skor di atas ambang, serta jalur rujukan ke psikiatri atau psikologi klinis yang jelas dan dapat diakses. Skrining tanpa alur tindak lanjut yang jelas berisiko menimbulkan kesenjangan antara deteksi dan penanganan, yang justru dapat menimbulkan masalah etik tersendiri karena pasien telah diidentifikasi berisiko namun tidak mendapatkan penanganan yang semestinya.</w:t>
      </w:r>
    </w:p>
    <w:p>
      <w:pPr>
        <w:spacing w:after="200" w:line="300"/>
        <w:jc w:val="both"/>
      </w:pPr>
      <w:r>
        <w:rPr>
          <w:rFonts w:ascii="Calibri" w:cs="Calibri" w:eastAsia="Calibri" w:hAnsi="Calibri"/>
          <w:sz w:val="22"/>
          <w:szCs w:val="22"/>
        </w:rPr>
        <w:t xml:space="preserve">Dokumentasi hasil skrining perlu dilakukan secara konsisten dalam rekam medis, termasuk skor total, tanggal pelaksanaan, dan tindak lanjut yang dilakukan, sebagai bagian dari audit mutu layanan sekaligus dokumentasi medikolegal — terutama penting pada kasus dengan skor tinggi pada butir risiko bunuh diri sebagaimana dibahas pada Bab 3.</w:t>
      </w:r>
    </w:p>
    <w:p>
      <w:pPr>
        <w:pStyle w:val="Heading2"/>
        <w:spacing w:after="160" w:before="320"/>
      </w:pPr>
      <w:r>
        <w:rPr>
          <w:rFonts w:ascii="Calibri" w:cs="Calibri" w:eastAsia="Calibri" w:hAnsi="Calibri"/>
          <w:b/>
          <w:bCs/>
          <w:color w:val="7A1F3D"/>
          <w:sz w:val="26"/>
          <w:szCs w:val="26"/>
        </w:rPr>
        <w:t xml:space="preserve">2.5 Instrumen Tambahan dan Pertimbangan Budaya</w:t>
      </w:r>
    </w:p>
    <w:p>
      <w:pPr>
        <w:spacing w:after="200" w:line="300"/>
        <w:jc w:val="both"/>
      </w:pPr>
      <w:r>
        <w:rPr>
          <w:rFonts w:ascii="Calibri" w:cs="Calibri" w:eastAsia="Calibri" w:hAnsi="Calibri"/>
          <w:sz w:val="22"/>
          <w:szCs w:val="22"/>
        </w:rPr>
        <w:t xml:space="preserve">Selain EPDS dan GAD-7, terdapat instrumen tambahan yang dapat digunakan sesuai kebutuhan dan ketersediaan sumber daya, seperti Patient Health Questionnaire-9 (PHQ-9) yang juga disebutkan dalam Standar Kompetensi Konsil Kesehatan Indonesia sebagai alternatif instrumen skrining depresi, serta instrumen skrining trauma atau kekerasan bagi pasien dengan riwayat atau kecurigaan kekerasan berbasis gender (dibahas lebih rinci pada buku tematik terkait kekerasan gender dan medikolegal dalam seri ini). Pemilihan instrumen sebaiknya disesuaikan dengan ketersediaan versi tervalidasi Bahasa Indonesia serta familiaritas tenaga kesehatan setempat, dengan prinsip konsistensi penggunaan instrumen yang sama pada satu fasilitas layanan untuk memudahkan pemantauan tren dari waktu ke waktu.</w:t>
      </w:r>
    </w:p>
    <w:p>
      <w:pPr>
        <w:spacing w:after="200" w:line="300"/>
        <w:jc w:val="both"/>
      </w:pPr>
      <w:r>
        <w:rPr>
          <w:rFonts w:ascii="Calibri" w:cs="Calibri" w:eastAsia="Calibri" w:hAnsi="Calibri"/>
          <w:sz w:val="22"/>
          <w:szCs w:val="22"/>
        </w:rPr>
        <w:t xml:space="preserve">Pertimbangan budaya menjadi krusial dalam penerapan instrumen skrining di Indonesia. Ekspresi distres psikologis pada banyak budaya Nusantara cenderung termanifestasi secara somatik (misalnya keluhan fisik seperti pusing, lemas, atau nyeri tanpa penyebab organik jelas) dibandingkan ekspresi afektif langsung, sehingga interpretasi hasil skrining perlu mempertimbangkan pola ekspresi ini agar tidak terjadi under-detection. Selain itu, stigma terhadap gangguan mental dapat mendorong pasien memberikan jawaban yang meminimalkan gejala sesungguhnya (social desirability bias), sehingga cara penyampaian instrumen — termasuk penjelasan bahwa jawaban bersifat rahasia dan bertujuan membantu, bukan menghakimi — turut memengaruhi validitas hasil skrining di lapangan.</w:t>
      </w:r>
    </w:p>
    <w:p>
      <w:pPr>
        <w:spacing w:after="200" w:line="300"/>
        <w:jc w:val="both"/>
      </w:pPr>
      <w:r>
        <w:rPr>
          <w:rFonts w:ascii="Calibri" w:cs="Calibri" w:eastAsia="Calibri" w:hAnsi="Calibri"/>
          <w:sz w:val="22"/>
          <w:szCs w:val="22"/>
        </w:rPr>
        <w:t xml:space="preserve">Dokter perlu pula peka terhadap variasi bahasa dan tingkat literasi pasien; instrumen tertulis swalapor perlu didampingi opsi wawancara terpandu bagi pasien dengan keterbatasan baca-tulis, agar skrining tetap inklusif dan tidak menimbulkan kesenjangan akses berdasarkan tingkat pendidikan.</w:t>
      </w:r>
    </w:p>
    <w:p>
      <w:pPr>
        <w:spacing w:after="200" w:before="200"/>
      </w:pP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6F8"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Poin Kunci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Instrumen skrining bukan alat diagnostik; hasil positif wajib ditindaklanjuti dengan asesmen klinis oleh psikiatri/psikologi klinis.</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EPDS terdiri atas 10 butir (skor 0–30); ambang skor ≥10 mengindikasikan kemungkinan depresi, ≥13 kemungkinan lebih tinggi bermakna klinis.</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Butir 10 EPDS secara spesifik menilai pikiran menyakiti diri sendiri dan menjadi dasar skrining risiko bunuh diri (Bab 3).</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GAD-7 terdiri atas 7 butir (skor 0–21); ambang skor ≥10 umum digunakan sebagai indikasi rujukan asesmen ansietas.</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Skrining idealnya dilakukan berulang pada beberapa titik waktu: antenatal awal, trimester tiga, nifas dini, serta bulan ketiga dan keenam pascasalin.</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Ekspresi distres di Indonesia sering bersifat somatik; interpretasi skrining perlu peka budaya untuk menghindari under-detection.</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Standar Kompetensi Konsil Kesehatan Indonesia mewajibkan skrining universal dengan target angka deteksi dini yang terukur.</w:t>
            </w:r>
          </w:p>
        </w:tc>
      </w:tr>
    </w:tbl>
    <w:p>
      <w:pPr>
        <w:pBdr>
          <w:top w:val="single" w:color="CCCCCC" w:sz="4" w:space="4"/>
        </w:pBdr>
        <w:spacing w:after="120" w:before="300"/>
      </w:pPr>
      <w:r>
        <w:rPr>
          <w:rFonts w:ascii="Calibri" w:cs="Calibri" w:eastAsia="Calibri" w:hAnsi="Calibri"/>
          <w:b/>
          <w:bCs/>
          <w:color w:val="555555"/>
          <w:sz w:val="22"/>
          <w:szCs w:val="22"/>
        </w:rPr>
        <w:t xml:space="preserve">Referensi Bab 2</w:t>
      </w:r>
    </w:p>
    <w:p>
      <w:pPr>
        <w:spacing w:after="100" w:line="26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 Tabel 19 Subspesialis Obstetri Ginekologi Sosial.</w:t>
      </w:r>
    </w:p>
    <w:p>
      <w:pPr>
        <w:spacing w:after="100" w:line="26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American College of Obstetricians and Gynecologists (ACOG). Screening and Diagnosis of Mental Health Conditions During Pregnancy and Postpartum: ACOG Clinical Practice Guideline No. 4. Obstet Gynecol. 2023;141(6):1232-1261. doi:10.1097/AOG.0000000000005200.</w:t>
      </w:r>
    </w:p>
    <w:p>
      <w:pPr>
        <w:spacing w:after="100" w:line="26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Cox JL, Holden JM, Sagovsky R. Detection of postnatal depression: development of the 10-item Edinburgh Postnatal Depression Scale. Br J Psychiatry. 1987;150:782-786. doi:10.1192/bjp.150.6.782.</w:t>
      </w:r>
    </w:p>
    <w:p>
      <w:pPr>
        <w:spacing w:after="100" w:line="260"/>
        <w:ind w:left="360" w:hanging="360"/>
      </w:pPr>
      <w:r>
        <w:rPr>
          <w:rFonts w:ascii="Calibri" w:cs="Calibri" w:eastAsia="Calibri" w:hAnsi="Calibri"/>
          <w:color w:val="555555"/>
          <w:sz w:val="20"/>
          <w:szCs w:val="20"/>
        </w:rPr>
        <w:t xml:space="preserve">4. </w:t>
      </w:r>
      <w:r>
        <w:rPr>
          <w:rFonts w:ascii="Calibri" w:cs="Calibri" w:eastAsia="Calibri" w:hAnsi="Calibri"/>
          <w:color w:val="555555"/>
          <w:sz w:val="20"/>
          <w:szCs w:val="20"/>
        </w:rPr>
        <w:t xml:space="preserve">Spitzer RL, Kroenke K, Williams JBW, Löwe B. A brief measure for assessing generalized anxiety disorder: the GAD-7. Arch Intern Med. 2006;166(10):1092-1097. doi:10.1001/archinte.166.10.1092.</w:t>
      </w:r>
    </w:p>
    <w:p>
      <w:pPr>
        <w:pStyle w:val="Heading1"/>
        <w:pageBreakBefore/>
        <w:spacing w:after="60" w:before="0"/>
      </w:pPr>
      <w:r>
        <w:rPr>
          <w:rFonts w:ascii="Calibri" w:cs="Calibri" w:eastAsia="Calibri" w:hAnsi="Calibri"/>
          <w:b/>
          <w:bCs/>
          <w:color w:val="7A1F3D"/>
          <w:sz w:val="22"/>
          <w:szCs w:val="22"/>
        </w:rPr>
        <w:t xml:space="preserve">BAB 3</w:t>
      </w:r>
    </w:p>
    <w:p>
      <w:pPr>
        <w:pBdr>
          <w:bottom w:val="single" w:color="7A1F3D" w:sz="16" w:space="6"/>
        </w:pBdr>
        <w:spacing w:after="300"/>
      </w:pPr>
      <w:r>
        <w:rPr>
          <w:rFonts w:ascii="Calibri" w:cs="Calibri" w:eastAsia="Calibri" w:hAnsi="Calibri"/>
          <w:b/>
          <w:bCs/>
          <w:color w:val="7A1F3D"/>
          <w:sz w:val="40"/>
          <w:szCs w:val="40"/>
        </w:rPr>
        <w:t xml:space="preserve">Penilaian Risiko Bunuh Diri pada Kehamilan dan Nifas</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Tujuan Pembelajaran Bab</w:t>
            </w:r>
          </w:p>
          <w:p>
            <w:pPr>
              <w:spacing w:after="80" w:line="280"/>
            </w:pPr>
            <w:r>
              <w:rPr>
                <w:rFonts w:ascii="Calibri" w:cs="Calibri" w:eastAsia="Calibri" w:hAnsi="Calibri"/>
                <w:sz w:val="22"/>
                <w:szCs w:val="22"/>
              </w:rPr>
              <w:t xml:space="preserve">1. Menjelaskan epidemiologi dan faktor risiko bunuh diri pada masa kehamilan dan nifas.</w:t>
            </w:r>
          </w:p>
          <w:p>
            <w:pPr>
              <w:spacing w:after="80" w:line="280"/>
            </w:pPr>
            <w:r>
              <w:rPr>
                <w:rFonts w:ascii="Calibri" w:cs="Calibri" w:eastAsia="Calibri" w:hAnsi="Calibri"/>
                <w:sz w:val="22"/>
                <w:szCs w:val="22"/>
              </w:rPr>
              <w:t xml:space="preserve">2. Menguraikan penggunaan butir 10 EPDS sebagai skrining risiko bunuh diri dan keterbatasannya.</w:t>
            </w:r>
          </w:p>
          <w:p>
            <w:pPr>
              <w:spacing w:after="80" w:line="280"/>
            </w:pPr>
            <w:r>
              <w:rPr>
                <w:rFonts w:ascii="Calibri" w:cs="Calibri" w:eastAsia="Calibri" w:hAnsi="Calibri"/>
                <w:sz w:val="22"/>
                <w:szCs w:val="22"/>
              </w:rPr>
              <w:t xml:space="preserve">3. Menyusun algoritma eskalasi segera berjenjang bagi pasien dengan hasil skrining positif.</w:t>
            </w:r>
          </w:p>
          <w:p>
            <w:pPr>
              <w:spacing w:after="80" w:line="280"/>
            </w:pPr>
            <w:r>
              <w:rPr>
                <w:rFonts w:ascii="Calibri" w:cs="Calibri" w:eastAsia="Calibri" w:hAnsi="Calibri"/>
                <w:sz w:val="22"/>
                <w:szCs w:val="22"/>
              </w:rPr>
              <w:t xml:space="preserve">4. Menjelaskan peran tim multidisiplin dan aspek dokumentasi medikolegal dalam penanganan krisis.</w:t>
            </w:r>
          </w:p>
        </w:tc>
      </w:tr>
    </w:tbl>
    <w:p>
      <w:pPr>
        <w:spacing w:after="200"/>
      </w:pPr>
    </w:p>
    <w:p>
      <w:pPr>
        <w:pStyle w:val="Heading2"/>
        <w:spacing w:after="160" w:before="320"/>
      </w:pPr>
      <w:r>
        <w:rPr>
          <w:rFonts w:ascii="Calibri" w:cs="Calibri" w:eastAsia="Calibri" w:hAnsi="Calibri"/>
          <w:b/>
          <w:bCs/>
          <w:color w:val="7A1F3D"/>
          <w:sz w:val="26"/>
          <w:szCs w:val="26"/>
        </w:rPr>
        <w:t xml:space="preserve">3.1 Epidemiologi dan Faktor Risiko Bunuh Diri Perinatal</w:t>
      </w:r>
    </w:p>
    <w:p>
      <w:pPr>
        <w:spacing w:after="200" w:line="300"/>
        <w:jc w:val="both"/>
      </w:pPr>
      <w:r>
        <w:rPr>
          <w:rFonts w:ascii="Calibri" w:cs="Calibri" w:eastAsia="Calibri" w:hAnsi="Calibri"/>
          <w:sz w:val="22"/>
          <w:szCs w:val="22"/>
        </w:rPr>
        <w:t xml:space="preserve">Bunuh diri merupakan salah satu penyebab kematian ibu yang secara historis kurang diperhatikan dalam audit kematian maternal konvensional, karena sistem pencatatan kematian ibu di banyak negara termasuk Indonesia secara tradisional berfokus pada penyebab obstetri langsung (perdarahan, preeklamsia, infeksi) dan kurang menelusuri kematian akibat sebab psikiatri yang terjadi selama periode kehamilan hingga satu tahun pascasalin. Kajian di berbagai negara dengan sistem surveilans kematian maternal yang lebih komprehensif secara konsisten menemukan bahwa bunuh diri menyumbang proporsi bermakna dari seluruh kematian maternal, terutama pada periode akhir kehamilan hingga bulan-bulan awal pascasalin, menegaskan perlunya kewaspadaan aktif dokter Obstetri Ginekologi Sosial terhadap risiko ini.</w:t>
      </w:r>
    </w:p>
    <w:p>
      <w:pPr>
        <w:spacing w:after="200" w:line="300"/>
        <w:jc w:val="both"/>
      </w:pPr>
      <w:r>
        <w:rPr>
          <w:rFonts w:ascii="Calibri" w:cs="Calibri" w:eastAsia="Calibri" w:hAnsi="Calibri"/>
          <w:sz w:val="22"/>
          <w:szCs w:val="22"/>
        </w:rPr>
        <w:t xml:space="preserve">Faktor risiko bunuh diri perinatal meliputi riwayat gangguan mental sebelumnya (terutama gangguan depresi berat, bipolar, dan riwayat upaya bunuh diri sebelumnya), depresi postpartum atau psikosis postpartum yang tidak tertangani, kehamilan tidak diinginkan, riwayat kekerasan berbasis gender, isolasi sosial dan kurangnya dukungan pasangan/keluarga, kehilangan janin atau bayi, serta kondisi ekonomi yang sangat terbatas. Kombinasi beberapa faktor risiko ini meningkatkan kerentanan secara bermakna, sehingga anamnesis antenatal yang komprehensif perlu secara aktif menggali riwayat psikiatri dan faktor psikososial ini, bukan menunggu pasien mengungkapkannya secara spontan.</w:t>
      </w:r>
    </w:p>
    <w:p>
      <w:pPr>
        <w:spacing w:after="200" w:line="300"/>
        <w:jc w:val="both"/>
      </w:pPr>
      <w:r>
        <w:rPr>
          <w:rFonts w:ascii="Calibri" w:cs="Calibri" w:eastAsia="Calibri" w:hAnsi="Calibri"/>
          <w:sz w:val="22"/>
          <w:szCs w:val="22"/>
        </w:rPr>
        <w:t xml:space="preserve">Kewaspadaan khusus perlu diberikan pada periode transisi kritis: minggu-minggu terakhir kehamilan, periode segera pascasalin, serta momen-momen kehilangan seperti keguguran atau kematian perinatal, karena risiko dapat meningkat tajam pada periode-periode ini meski sebelumnya pasien tidak menunjukkan tanda gangguan mental yang jelas.</w:t>
      </w:r>
    </w:p>
    <w:p>
      <w:pPr>
        <w:pStyle w:val="Heading2"/>
        <w:spacing w:after="160" w:before="320"/>
      </w:pPr>
      <w:r>
        <w:rPr>
          <w:rFonts w:ascii="Calibri" w:cs="Calibri" w:eastAsia="Calibri" w:hAnsi="Calibri"/>
          <w:b/>
          <w:bCs/>
          <w:color w:val="7A1F3D"/>
          <w:sz w:val="26"/>
          <w:szCs w:val="26"/>
        </w:rPr>
        <w:t xml:space="preserve">3.2 Item 10 EPDS sebagai Skrining Risiko Bunuh Diri</w:t>
      </w:r>
    </w:p>
    <w:p>
      <w:pPr>
        <w:spacing w:after="200" w:line="300"/>
        <w:jc w:val="both"/>
      </w:pPr>
      <w:r>
        <w:rPr>
          <w:rFonts w:ascii="Calibri" w:cs="Calibri" w:eastAsia="Calibri" w:hAnsi="Calibri"/>
          <w:sz w:val="22"/>
          <w:szCs w:val="22"/>
        </w:rPr>
        <w:t xml:space="preserve">Sebagaimana disebutkan pada Bab 2, butir ke-10 EPDS secara spesifik menanyakan apakah pasien memiliki pikiran untuk menyakiti diri sendiri dalam tujuh hari terakhir, dengan pilihan jawaban berjenjang dari tidak pernah sama sekali hingga cukup sering. Butir ini berfungsi sebagai skrining awal risiko bunuh diri yang terintegrasi dalam instrumen skrining depresi rutin, sehingga tidak memerlukan instrumen terpisah untuk penapisan awal risiko ini pada seluruh pasien yang menjalani skrining EPDS.</w:t>
      </w:r>
    </w:p>
    <w:p>
      <w:pPr>
        <w:spacing w:after="200" w:line="300"/>
        <w:jc w:val="both"/>
      </w:pPr>
      <w:r>
        <w:rPr>
          <w:rFonts w:ascii="Calibri" w:cs="Calibri" w:eastAsia="Calibri" w:hAnsi="Calibri"/>
          <w:sz w:val="22"/>
          <w:szCs w:val="22"/>
        </w:rPr>
        <w:t xml:space="preserve">Prinsip klinis yang sangat penting untuk ditegaskan: jawaban positif pada butir 10, pada tingkat apa pun (bukan hanya jawaban paling ekstrem), WAJIB ditindaklanjuti dengan penilaian klinis lebih lanjut secara segera, tanpa menunggu hasil skor total EPDS secara keseluruhan. Dengan kata lain, seorang pasien dapat memiliki skor total EPDS di bawah ambang rujukan namun tetap menunjukkan jawaban positif pada butir 10 — kondisi ini tetap harus dianggap sebagai temuan bermakna yang memerlukan tindak lanjut segera, bukan diabaikan hanya karena skor total belum mencapai ambang. Prinsip ini sejalan dengan rekomendasi ACOG Clinical Practice Guideline No. 4 (2023), yang menegaskan bahwa ketika seseorang menjawab pertanyaan mengenai menyakiti diri atau bunuh diri secara afirmatif, klinisi wajib segera menilai kemungkinan, keakutan, dan keparahan risiko bunuh diri, kemudian mengatur tata laksana yang disesuaikan dengan tingkat risiko tersebut — serta menegaskan bahwa psikosis postpartum memerlukan penanganan medis segera.</w:t>
      </w:r>
    </w:p>
    <w:p>
      <w:pPr>
        <w:spacing w:after="200" w:line="300"/>
        <w:jc w:val="both"/>
      </w:pPr>
      <w:r>
        <w:rPr>
          <w:rFonts w:ascii="Calibri" w:cs="Calibri" w:eastAsia="Calibri" w:hAnsi="Calibri"/>
          <w:sz w:val="22"/>
          <w:szCs w:val="22"/>
        </w:rPr>
        <w:t xml:space="preserve">Keterbatasan penting yang perlu dipahami dokter adalah bahwa butir 10 EPDS merupakan alat skrining, bukan alat penilaian risiko yang komprehensif. Jawaban negatif pada butir ini tidak menyingkirkan sepenuhnya kemungkinan risiko bunuh diri, terutama bila terdapat kecurigaan klinis lain berdasarkan observasi perilaku, faktor risiko yang menonjol, atau laporan dari keluarga. Penilaian klinis menyeluruh oleh tenaga terlatih tetap diperlukan pada setiap kecurigaan, terlepas dari hasil skrining kuantitatif semata.</w:t>
      </w:r>
    </w:p>
    <w:p>
      <w:pPr>
        <w:pStyle w:val="Heading2"/>
        <w:spacing w:after="160" w:before="320"/>
      </w:pPr>
      <w:r>
        <w:rPr>
          <w:rFonts w:ascii="Calibri" w:cs="Calibri" w:eastAsia="Calibri" w:hAnsi="Calibri"/>
          <w:b/>
          <w:bCs/>
          <w:color w:val="7A1F3D"/>
          <w:sz w:val="26"/>
          <w:szCs w:val="26"/>
        </w:rPr>
        <w:t xml:space="preserve">3.3 Algoritma Eskalasi Segera</w:t>
      </w:r>
    </w:p>
    <w:p>
      <w:pPr>
        <w:spacing w:after="200" w:line="300"/>
        <w:jc w:val="both"/>
      </w:pPr>
      <w:r>
        <w:rPr>
          <w:rFonts w:ascii="Calibri" w:cs="Calibri" w:eastAsia="Calibri" w:hAnsi="Calibri"/>
          <w:sz w:val="22"/>
          <w:szCs w:val="22"/>
        </w:rPr>
        <w:t xml:space="preserve">Ketika hasil skrining menunjukkan indikasi risiko bunuh diri — baik melalui jawaban positif butir 10 EPDS maupun temuan klinis lain yang mengarah pada kecurigaan tersebut — fasilitas layanan wajib memiliki protokol eskalasi berjenjang yang jelas dan telah dilatihkan kepada seluruh tenaga kesehatan terkait, agar respons dapat diberikan segera tanpa penundaan administratif. Diagram alur berikut merangkum langkah demi langkah kerangka umum yang perlu disesuaikan dengan sumber daya dan struktur rujukan setempat.</w:t>
      </w:r>
    </w:p>
    <w:tbl>
      <w:tblPr>
        <w:tblW w:type="dxa" w:w="935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7A1F3D" w:val="clear"/>
            <w:tcMar>
              <w:top w:type="dxa" w:w="160"/>
              <w:left w:type="dxa" w:w="220"/>
              <w:bottom w:type="dxa" w:w="160"/>
              <w:right w:type="dxa" w:w="220"/>
            </w:tcMar>
          </w:tcPr>
          <w:p>
            <w:pPr>
              <w:spacing w:line="280"/>
            </w:pPr>
            <w:r>
              <w:rPr>
                <w:rFonts w:ascii="Calibri" w:cs="Calibri" w:eastAsia="Calibri" w:hAnsi="Calibri"/>
                <w:b/>
                <w:bCs/>
                <w:color w:val="FFFFFF"/>
                <w:sz w:val="18"/>
                <w:szCs w:val="18"/>
              </w:rPr>
              <w:t xml:space="preserve">LANGKAH 1</w:t>
            </w:r>
          </w:p>
          <w:p>
            <w:pPr>
              <w:spacing w:after="0" w:line="280"/>
            </w:pPr>
            <w:r>
              <w:rPr>
                <w:rFonts w:ascii="Calibri" w:cs="Calibri" w:eastAsia="Calibri" w:hAnsi="Calibri"/>
                <w:color w:val="FFFFFF"/>
                <w:sz w:val="21"/>
                <w:szCs w:val="21"/>
              </w:rPr>
              <w:t xml:space="preserve">Amankan situasi segera — pastikan pasien tidak ditinggalkan sendirian sejak jawaban positif teridentifikasi; tenaga kesehatan tetap mendampingi secara langsung dan tenang.</w:t>
            </w:r>
          </w:p>
        </w:tc>
      </w:tr>
    </w:tbl>
    <w:p>
      <w:pPr>
        <w:spacing w:after="40" w:before="40"/>
        <w:jc w:val="center"/>
      </w:pPr>
      <w:r>
        <w:rPr>
          <w:rFonts w:ascii="Calibri" w:cs="Calibri" w:eastAsia="Calibri" w:hAnsi="Calibri"/>
          <w:b/>
          <w:bCs/>
          <w:color w:val="7A1F3D"/>
          <w:sz w:val="32"/>
          <w:szCs w:val="32"/>
        </w:rPr>
        <w:t xml:space="preserve">↓</w:t>
      </w:r>
    </w:p>
    <w:tbl>
      <w:tblPr>
        <w:tblW w:type="dxa" w:w="935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6F8" w:val="clear"/>
            <w:tcMar>
              <w:top w:type="dxa" w:w="160"/>
              <w:left w:type="dxa" w:w="220"/>
              <w:bottom w:type="dxa" w:w="160"/>
              <w:right w:type="dxa" w:w="220"/>
            </w:tcMar>
          </w:tcPr>
          <w:p>
            <w:pPr>
              <w:spacing w:line="280"/>
            </w:pPr>
            <w:r>
              <w:rPr>
                <w:rFonts w:ascii="Calibri" w:cs="Calibri" w:eastAsia="Calibri" w:hAnsi="Calibri"/>
                <w:b/>
                <w:bCs/>
                <w:color w:val="7A1F3D"/>
                <w:sz w:val="18"/>
                <w:szCs w:val="18"/>
              </w:rPr>
              <w:t xml:space="preserve">LANGKAH 2</w:t>
            </w:r>
          </w:p>
          <w:p>
            <w:pPr>
              <w:spacing w:after="0" w:line="280"/>
            </w:pPr>
            <w:r>
              <w:rPr>
                <w:rFonts w:ascii="Calibri" w:cs="Calibri" w:eastAsia="Calibri" w:hAnsi="Calibri"/>
                <w:color w:val="1A1A1A"/>
                <w:sz w:val="21"/>
                <w:szCs w:val="21"/>
              </w:rPr>
              <w:t xml:space="preserve">Lakukan penilaian klinis awal secara empatik dan tidak menghakimi — gali derajat keparahan pikiran, ada/tidaknya rencana spesifik, dan tingkat urgensi melalui komunikasi terbuka dan suportif.</w:t>
            </w:r>
          </w:p>
        </w:tc>
      </w:tr>
    </w:tbl>
    <w:p>
      <w:pPr>
        <w:spacing w:after="40" w:before="40"/>
        <w:jc w:val="center"/>
      </w:pPr>
      <w:r>
        <w:rPr>
          <w:rFonts w:ascii="Calibri" w:cs="Calibri" w:eastAsia="Calibri" w:hAnsi="Calibri"/>
          <w:b/>
          <w:bCs/>
          <w:color w:val="7A1F3D"/>
          <w:sz w:val="32"/>
          <w:szCs w:val="32"/>
        </w:rPr>
        <w:t xml:space="preserve">↓</w:t>
      </w:r>
    </w:p>
    <w:tbl>
      <w:tblPr>
        <w:tblW w:type="dxa" w:w="935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6F8" w:val="clear"/>
            <w:tcMar>
              <w:top w:type="dxa" w:w="160"/>
              <w:left w:type="dxa" w:w="220"/>
              <w:bottom w:type="dxa" w:w="160"/>
              <w:right w:type="dxa" w:w="220"/>
            </w:tcMar>
          </w:tcPr>
          <w:p>
            <w:pPr>
              <w:spacing w:line="280"/>
            </w:pPr>
            <w:r>
              <w:rPr>
                <w:rFonts w:ascii="Calibri" w:cs="Calibri" w:eastAsia="Calibri" w:hAnsi="Calibri"/>
                <w:b/>
                <w:bCs/>
                <w:color w:val="7A1F3D"/>
                <w:sz w:val="18"/>
                <w:szCs w:val="18"/>
              </w:rPr>
              <w:t xml:space="preserve">LANGKAH 3</w:t>
            </w:r>
          </w:p>
          <w:p>
            <w:pPr>
              <w:spacing w:after="0" w:line="280"/>
            </w:pPr>
            <w:r>
              <w:rPr>
                <w:rFonts w:ascii="Calibri" w:cs="Calibri" w:eastAsia="Calibri" w:hAnsi="Calibri"/>
                <w:color w:val="1A1A1A"/>
                <w:sz w:val="21"/>
                <w:szCs w:val="21"/>
              </w:rPr>
              <w:t xml:space="preserve">Eskalasi segera ke psikiatri — konsultasi psikiatri pada hari yang sama (bukan rujukan terjadwal), melalui jalur darurat yang disepakati, termasuk telepon atau telemedicine bila perlu.</w:t>
            </w:r>
          </w:p>
        </w:tc>
      </w:tr>
    </w:tbl>
    <w:p>
      <w:pPr>
        <w:spacing w:after="40" w:before="40"/>
        <w:jc w:val="center"/>
      </w:pPr>
      <w:r>
        <w:rPr>
          <w:rFonts w:ascii="Calibri" w:cs="Calibri" w:eastAsia="Calibri" w:hAnsi="Calibri"/>
          <w:b/>
          <w:bCs/>
          <w:color w:val="7A1F3D"/>
          <w:sz w:val="32"/>
          <w:szCs w:val="32"/>
        </w:rPr>
        <w:t xml:space="preserve">↓</w:t>
      </w:r>
    </w:p>
    <w:tbl>
      <w:tblPr>
        <w:tblW w:type="dxa" w:w="935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6F8" w:val="clear"/>
            <w:tcMar>
              <w:top w:type="dxa" w:w="160"/>
              <w:left w:type="dxa" w:w="220"/>
              <w:bottom w:type="dxa" w:w="160"/>
              <w:right w:type="dxa" w:w="220"/>
            </w:tcMar>
          </w:tcPr>
          <w:p>
            <w:pPr>
              <w:spacing w:line="280"/>
            </w:pPr>
            <w:r>
              <w:rPr>
                <w:rFonts w:ascii="Calibri" w:cs="Calibri" w:eastAsia="Calibri" w:hAnsi="Calibri"/>
                <w:b/>
                <w:bCs/>
                <w:color w:val="7A1F3D"/>
                <w:sz w:val="18"/>
                <w:szCs w:val="18"/>
              </w:rPr>
              <w:t xml:space="preserve">LANGKAH 4</w:t>
            </w:r>
          </w:p>
          <w:p>
            <w:pPr>
              <w:spacing w:after="0" w:line="280"/>
            </w:pPr>
            <w:r>
              <w:rPr>
                <w:rFonts w:ascii="Calibri" w:cs="Calibri" w:eastAsia="Calibri" w:hAnsi="Calibri"/>
                <w:color w:val="1A1A1A"/>
                <w:sz w:val="21"/>
                <w:szCs w:val="21"/>
              </w:rPr>
              <w:t xml:space="preserve">Pastikan pengawasan berkelanjutan selama masa tunggu rujukan — bila rujukan tidak dapat dilakukan seketika, pasien tetap dalam pengawasan tenaga kesehatan atau keluarga yang telah diberi penjelasan.</w:t>
            </w:r>
          </w:p>
        </w:tc>
      </w:tr>
    </w:tbl>
    <w:p>
      <w:pPr>
        <w:spacing w:after="40" w:before="40"/>
        <w:jc w:val="center"/>
      </w:pPr>
      <w:r>
        <w:rPr>
          <w:rFonts w:ascii="Calibri" w:cs="Calibri" w:eastAsia="Calibri" w:hAnsi="Calibri"/>
          <w:b/>
          <w:bCs/>
          <w:color w:val="7A1F3D"/>
          <w:sz w:val="32"/>
          <w:szCs w:val="32"/>
        </w:rPr>
        <w:t xml:space="preserve">↓</w:t>
      </w:r>
    </w:p>
    <w:tbl>
      <w:tblPr>
        <w:tblW w:type="dxa" w:w="935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6F8" w:val="clear"/>
            <w:tcMar>
              <w:top w:type="dxa" w:w="160"/>
              <w:left w:type="dxa" w:w="220"/>
              <w:bottom w:type="dxa" w:w="160"/>
              <w:right w:type="dxa" w:w="220"/>
            </w:tcMar>
          </w:tcPr>
          <w:p>
            <w:pPr>
              <w:spacing w:line="280"/>
            </w:pPr>
            <w:r>
              <w:rPr>
                <w:rFonts w:ascii="Calibri" w:cs="Calibri" w:eastAsia="Calibri" w:hAnsi="Calibri"/>
                <w:b/>
                <w:bCs/>
                <w:color w:val="7A1F3D"/>
                <w:sz w:val="18"/>
                <w:szCs w:val="18"/>
              </w:rPr>
              <w:t xml:space="preserve">LANGKAH 5</w:t>
            </w:r>
          </w:p>
          <w:p>
            <w:pPr>
              <w:spacing w:after="0" w:line="280"/>
            </w:pPr>
            <w:r>
              <w:rPr>
                <w:rFonts w:ascii="Calibri" w:cs="Calibri" w:eastAsia="Calibri" w:hAnsi="Calibri"/>
                <w:color w:val="1A1A1A"/>
                <w:sz w:val="21"/>
                <w:szCs w:val="21"/>
              </w:rPr>
              <w:t xml:space="preserve">Libatkan keluarga/pendamping dengan persetujuan pasien — melibatkan pihak tepercaya dalam rencana pengawasan dan dukungan, sambil menjaga martabat dan privasi pasien.</w:t>
            </w:r>
          </w:p>
        </w:tc>
      </w:tr>
    </w:tbl>
    <w:p>
      <w:pPr>
        <w:spacing w:after="40" w:before="40"/>
        <w:jc w:val="center"/>
      </w:pPr>
      <w:r>
        <w:rPr>
          <w:rFonts w:ascii="Calibri" w:cs="Calibri" w:eastAsia="Calibri" w:hAnsi="Calibri"/>
          <w:b/>
          <w:bCs/>
          <w:color w:val="7A1F3D"/>
          <w:sz w:val="32"/>
          <w:szCs w:val="32"/>
        </w:rPr>
        <w:t xml:space="preserve">↓</w:t>
      </w:r>
    </w:p>
    <w:tbl>
      <w:tblPr>
        <w:tblW w:type="dxa" w:w="935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160"/>
              <w:left w:type="dxa" w:w="220"/>
              <w:bottom w:type="dxa" w:w="160"/>
              <w:right w:type="dxa" w:w="220"/>
            </w:tcMar>
          </w:tcPr>
          <w:p>
            <w:pPr>
              <w:spacing w:line="280"/>
            </w:pPr>
            <w:r>
              <w:rPr>
                <w:rFonts w:ascii="Calibri" w:cs="Calibri" w:eastAsia="Calibri" w:hAnsi="Calibri"/>
                <w:b/>
                <w:bCs/>
                <w:color w:val="7A1F3D"/>
                <w:sz w:val="18"/>
                <w:szCs w:val="18"/>
              </w:rPr>
              <w:t xml:space="preserve">LANGKAH 6</w:t>
            </w:r>
          </w:p>
          <w:p>
            <w:pPr>
              <w:spacing w:after="0" w:line="280"/>
            </w:pPr>
            <w:r>
              <w:rPr>
                <w:rFonts w:ascii="Calibri" w:cs="Calibri" w:eastAsia="Calibri" w:hAnsi="Calibri"/>
                <w:color w:val="1A1A1A"/>
                <w:sz w:val="21"/>
                <w:szCs w:val="21"/>
              </w:rPr>
              <w:t xml:space="preserve">Dokumentasikan dan rencanakan tindak lanjut terstruktur — seluruh proses, keputusan, dan komunikasi dicatat rinci, disertai rencana kontak ulang dan pemantauan pascarujukan.</w:t>
            </w:r>
          </w:p>
        </w:tc>
      </w:tr>
    </w:tbl>
    <w:p>
      <w:pPr>
        <w:pStyle w:val="Heading2"/>
        <w:spacing w:after="160" w:before="320"/>
      </w:pPr>
      <w:r>
        <w:rPr>
          <w:rFonts w:ascii="Calibri" w:cs="Calibri" w:eastAsia="Calibri" w:hAnsi="Calibri"/>
          <w:b/>
          <w:bCs/>
          <w:color w:val="7A1F3D"/>
          <w:sz w:val="26"/>
          <w:szCs w:val="26"/>
        </w:rPr>
        <w:t xml:space="preserve">3.4 Peran Tim Multidisiplin dalam Krisis</w:t>
      </w:r>
    </w:p>
    <w:p>
      <w:pPr>
        <w:spacing w:after="200" w:line="300"/>
        <w:jc w:val="both"/>
      </w:pPr>
      <w:r>
        <w:rPr>
          <w:rFonts w:ascii="Calibri" w:cs="Calibri" w:eastAsia="Calibri" w:hAnsi="Calibri"/>
          <w:sz w:val="22"/>
          <w:szCs w:val="22"/>
        </w:rPr>
        <w:t xml:space="preserve">Penanganan krisis risiko bunuh diri perinatal secara inheren bersifat lintas profesi dan tidak dapat ditangani secara memadai oleh satu disiplin ilmu saja. Dokter Obstetri Ginekologi Sosial berperan sebagai koordinator awal yang mengidentifikasi risiko dan memastikan keamanan segera, psikiater berperan dalam asesmen diagnostik definitif dan penentuan tata laksana psikiatri termasuk pertimbangan rawat inap, psikolog klinis berperan dalam intervensi psikoterapeutik krisis dan dukungan berkelanjutan, sementara pekerja sosial berperan penting dalam menilai dan memobilisasi dukungan sosial-ekonomi keluarga serta menghubungkan pasien dengan sumber daya komunitas yang relevan.</w:t>
      </w:r>
    </w:p>
    <w:p>
      <w:pPr>
        <w:spacing w:after="200" w:line="300"/>
        <w:jc w:val="both"/>
      </w:pPr>
      <w:r>
        <w:rPr>
          <w:rFonts w:ascii="Calibri" w:cs="Calibri" w:eastAsia="Calibri" w:hAnsi="Calibri"/>
          <w:sz w:val="22"/>
          <w:szCs w:val="22"/>
        </w:rPr>
        <w:t xml:space="preserve">Pada kasus dengan latar belakang kekerasan berbasis gender atau kehamilan tidak diinginkan yang berkontribusi terhadap risiko bunuh diri, koordinasi dengan aparat penegak hukum atau lembaga perlindungan perempuan dan anak dapat diperlukan, dengan tetap memperhatikan persetujuan pasien dan ketentuan kerahasiaan sesuai peraturan perundang-undangan yang berlaku, kecuali dalam situasi yang menuntut pelaporan wajib berdasarkan hukum.</w:t>
      </w:r>
    </w:p>
    <w:p>
      <w:pPr>
        <w:spacing w:after="200" w:line="300"/>
        <w:jc w:val="both"/>
      </w:pPr>
      <w:r>
        <w:rPr>
          <w:rFonts w:ascii="Calibri" w:cs="Calibri" w:eastAsia="Calibri" w:hAnsi="Calibri"/>
          <w:sz w:val="22"/>
          <w:szCs w:val="22"/>
        </w:rPr>
        <w:t xml:space="preserve">Efektivitas kolaborasi multidisiplin bergantung pada adanya jalur komunikasi yang telah disepakati sebelumnya (bukan dibangun mendadak saat krisis terjadi), termasuk daftar kontak layanan psikiatri rujukan, kesepakatan mengenai siapa yang menghubungi siapa, dan mekanisme umpan balik agar dokter Obstetri Ginekologi Sosial yang merujuk tetap mendapatkan informasi perkembangan pasien untuk kontinuitas asuhan obstetri yang tetap berjalan bersamaan dengan penanganan psikiatri.</w:t>
      </w:r>
    </w:p>
    <w:p>
      <w:pPr>
        <w:pStyle w:val="Heading2"/>
        <w:spacing w:after="160" w:before="320"/>
      </w:pPr>
      <w:r>
        <w:rPr>
          <w:rFonts w:ascii="Calibri" w:cs="Calibri" w:eastAsia="Calibri" w:hAnsi="Calibri"/>
          <w:b/>
          <w:bCs/>
          <w:color w:val="7A1F3D"/>
          <w:sz w:val="26"/>
          <w:szCs w:val="26"/>
        </w:rPr>
        <w:t xml:space="preserve">3.5 Dokumentasi dan Aspek Medikolegal</w:t>
      </w:r>
    </w:p>
    <w:p>
      <w:pPr>
        <w:spacing w:after="200" w:line="300"/>
        <w:jc w:val="both"/>
      </w:pPr>
      <w:r>
        <w:rPr>
          <w:rFonts w:ascii="Calibri" w:cs="Calibri" w:eastAsia="Calibri" w:hAnsi="Calibri"/>
          <w:sz w:val="22"/>
          <w:szCs w:val="22"/>
        </w:rPr>
        <w:t xml:space="preserve">Dokumentasi yang lengkap dan tepat waktu pada kasus risiko bunuh diri perinatal memiliki fungsi ganda: sebagai kontinuitas informasi klinis bagi tenaga kesehatan lain yang terlibat, sekaligus sebagai perlindungan medikolegal bagi tenaga kesehatan yang menangani. Dokumentasi minimal yang perlu dicatat mencakup hasil skrining lengkap dengan skor per butir (termasuk jawaban butir 10 EPDS secara spesifik), hasil penilaian klinis lanjutan, langkah eskalasi yang dilakukan beserta waktu pelaksanaannya, pihak yang dihubungi dan hasil komunikasi tersebut, keterlibatan keluarga, serta rencana tindak lanjut yang disepakati.</w:t>
      </w:r>
    </w:p>
    <w:p>
      <w:pPr>
        <w:spacing w:after="200" w:line="300"/>
        <w:jc w:val="both"/>
      </w:pPr>
      <w:r>
        <w:rPr>
          <w:rFonts w:ascii="Calibri" w:cs="Calibri" w:eastAsia="Calibri" w:hAnsi="Calibri"/>
          <w:sz w:val="22"/>
          <w:szCs w:val="22"/>
        </w:rPr>
        <w:t xml:space="preserve">Dari perspektif hukum kesehatan Indonesia, Undang-Undang Nomor 17 Tahun 2023 tentang Kesehatan menegaskan hak setiap warga negara memperoleh pelayanan kesehatan yang bermutu, termasuk kesehatan jiwa, serta kewajiban tenaga kesehatan memberikan pelayanan sesuai standar profesi. Kegagalan mendokumentasikan dan menindaklanjuti temuan risiko bunuh diri yang telah teridentifikasi dapat menimbulkan implikasi tanggung jawab profesi apabila kemudian terjadi luaran fatal, sehingga kepatuhan terhadap algoritma eskalasi dan dokumentasi yang tertib bukan sekadar praktik baik administratif, melainkan bagian dari tata kelola mutu dan keselamatan pasien yang bersifat mengikat.</w:t>
      </w:r>
    </w:p>
    <w:p>
      <w:pPr>
        <w:spacing w:after="200" w:line="300"/>
        <w:jc w:val="both"/>
      </w:pPr>
      <w:r>
        <w:rPr>
          <w:rFonts w:ascii="Calibri" w:cs="Calibri" w:eastAsia="Calibri" w:hAnsi="Calibri"/>
          <w:sz w:val="22"/>
          <w:szCs w:val="22"/>
        </w:rPr>
        <w:t xml:space="preserve">Kerahasiaan informasi kesehatan jiwa pasien tetap harus dijaga sesuai prinsip etik kedokteran dan ketentuan perlindungan data kesehatan, dengan pengecualian pada situasi yang secara hukum mewajibkan keterbukaan informasi demi keselamatan pasien atau pihak lain, misalnya dalam proses rujukan darurat kepada tenaga kesehatan lain yang akan menangani pasien secara langsung.</w:t>
      </w:r>
    </w:p>
    <w:p>
      <w:pPr>
        <w:spacing w:after="200" w:before="200"/>
      </w:pP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6F8"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Poin Kunci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Bunuh diri adalah penyebab kematian maternal yang secara historis kurang terlacak dalam audit kematian ibu konvensional di Indonesia.</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Jawaban positif pada butir 10 EPDS, pada tingkat apa pun, wajib ditindaklanjuti segera terlepas dari skor total EPDS.</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Algoritma eskalasi mencakup: amankan situasi, penilaian klinis awal, eskalasi segera ke psikiatri, pengawasan berkelanjutan, pelibatan keluarga, dan dokumentasi.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Penanganan krisis bersifat multidisiplin: obstetri ginekologi sosial, psikiatri, psikologi klinis, dan pekerja sosial memiliki peran saling melengkapi.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Dokumentasi lengkap berfungsi ganda sebagai kontinuitas klinis dan perlindungan medikolegal tenaga kesehatan.</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Faktor risiko meliputi riwayat gangguan mental, kehamilan tidak diinginkan, kekerasan berbasis gender, isolasi sosial, dan kehilangan janin/bayi.</w:t>
            </w:r>
          </w:p>
        </w:tc>
      </w:tr>
    </w:tbl>
    <w:p>
      <w:pPr>
        <w:pBdr>
          <w:top w:val="single" w:color="CCCCCC" w:sz="4" w:space="4"/>
        </w:pBdr>
        <w:spacing w:after="120" w:before="300"/>
      </w:pPr>
      <w:r>
        <w:rPr>
          <w:rFonts w:ascii="Calibri" w:cs="Calibri" w:eastAsia="Calibri" w:hAnsi="Calibri"/>
          <w:b/>
          <w:bCs/>
          <w:color w:val="555555"/>
          <w:sz w:val="22"/>
          <w:szCs w:val="22"/>
        </w:rPr>
        <w:t xml:space="preserve">Referensi Bab 3</w:t>
      </w:r>
    </w:p>
    <w:p>
      <w:pPr>
        <w:spacing w:after="100" w:line="26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 Tabel 19 Subspesialis Obstetri Ginekologi Sosial.</w:t>
      </w:r>
    </w:p>
    <w:p>
      <w:pPr>
        <w:spacing w:after="100" w:line="26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American College of Obstetricians and Gynecologists (ACOG). Screening and Diagnosis of Mental Health Conditions During Pregnancy and Postpartum: ACOG Clinical Practice Guideline No. 4. Obstet Gynecol. 2023;141(6):1232-1261. doi:10.1097/AOG.0000000000005200.</w:t>
      </w:r>
    </w:p>
    <w:p>
      <w:pPr>
        <w:spacing w:after="100" w:line="26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Republik Indonesia. Undang-Undang Nomor 17 Tahun 2023 tentang Kesehatan.</w:t>
      </w:r>
    </w:p>
    <w:p>
      <w:pPr>
        <w:spacing w:after="100" w:line="260"/>
        <w:ind w:left="360" w:hanging="360"/>
      </w:pPr>
      <w:r>
        <w:rPr>
          <w:rFonts w:ascii="Calibri" w:cs="Calibri" w:eastAsia="Calibri" w:hAnsi="Calibri"/>
          <w:color w:val="555555"/>
          <w:sz w:val="20"/>
          <w:szCs w:val="20"/>
        </w:rPr>
        <w:t xml:space="preserve">4. </w:t>
      </w:r>
      <w:r>
        <w:rPr>
          <w:rFonts w:ascii="Calibri" w:cs="Calibri" w:eastAsia="Calibri" w:hAnsi="Calibri"/>
          <w:color w:val="555555"/>
          <w:sz w:val="20"/>
          <w:szCs w:val="20"/>
        </w:rPr>
        <w:t xml:space="preserve">Cox JL, Holden JM, Sagovsky R. Detection of postnatal depression: development of the 10-item Edinburgh Postnatal Depression Scale. Br J Psychiatry. 1987;150:782-786. doi:10.1192/bjp.150.6.782.</w:t>
      </w:r>
    </w:p>
    <w:p>
      <w:pPr>
        <w:pStyle w:val="Heading1"/>
        <w:pageBreakBefore/>
        <w:spacing w:after="60" w:before="0"/>
      </w:pPr>
      <w:r>
        <w:rPr>
          <w:rFonts w:ascii="Calibri" w:cs="Calibri" w:eastAsia="Calibri" w:hAnsi="Calibri"/>
          <w:b/>
          <w:bCs/>
          <w:color w:val="7A1F3D"/>
          <w:sz w:val="22"/>
          <w:szCs w:val="22"/>
        </w:rPr>
        <w:t xml:space="preserve">BAB 4</w:t>
      </w:r>
    </w:p>
    <w:p>
      <w:pPr>
        <w:pBdr>
          <w:bottom w:val="single" w:color="7A1F3D" w:sz="16" w:space="6"/>
        </w:pBdr>
        <w:spacing w:after="300"/>
      </w:pPr>
      <w:r>
        <w:rPr>
          <w:rFonts w:ascii="Calibri" w:cs="Calibri" w:eastAsia="Calibri" w:hAnsi="Calibri"/>
          <w:b/>
          <w:bCs/>
          <w:color w:val="7A1F3D"/>
          <w:sz w:val="40"/>
          <w:szCs w:val="40"/>
        </w:rPr>
        <w:t xml:space="preserve">Kolaborasi dengan Psikiatri dan Psikologi Klinis</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Tujuan Pembelajaran Bab</w:t>
            </w:r>
          </w:p>
          <w:p>
            <w:pPr>
              <w:spacing w:after="80" w:line="280"/>
            </w:pPr>
            <w:r>
              <w:rPr>
                <w:rFonts w:ascii="Calibri" w:cs="Calibri" w:eastAsia="Calibri" w:hAnsi="Calibri"/>
                <w:sz w:val="22"/>
                <w:szCs w:val="22"/>
              </w:rPr>
              <w:t xml:space="preserve">1. Menjelaskan model kolaborasi biopsikososial antara Obstetri Ginekologi Sosial, psikiatri, dan psikologi klinis.</w:t>
            </w:r>
          </w:p>
          <w:p>
            <w:pPr>
              <w:spacing w:after="80" w:line="280"/>
            </w:pPr>
            <w:r>
              <w:rPr>
                <w:rFonts w:ascii="Calibri" w:cs="Calibri" w:eastAsia="Calibri" w:hAnsi="Calibri"/>
                <w:sz w:val="22"/>
                <w:szCs w:val="22"/>
              </w:rPr>
              <w:t xml:space="preserve">2. Menguraikan kriteria rujukan mendesak versus terjadwal ke psikiatri/psikologi klinis disertai contoh kasus.</w:t>
            </w:r>
          </w:p>
          <w:p>
            <w:pPr>
              <w:spacing w:after="80" w:line="280"/>
            </w:pPr>
            <w:r>
              <w:rPr>
                <w:rFonts w:ascii="Calibri" w:cs="Calibri" w:eastAsia="Calibri" w:hAnsi="Calibri"/>
                <w:sz w:val="22"/>
                <w:szCs w:val="22"/>
              </w:rPr>
              <w:t xml:space="preserve">3. Menjelaskan mekanisme komunikasi antarprofesi yang menjaga kontinuitas asuhan pasien.</w:t>
            </w:r>
          </w:p>
        </w:tc>
      </w:tr>
    </w:tbl>
    <w:p>
      <w:pPr>
        <w:spacing w:after="200"/>
      </w:pPr>
    </w:p>
    <w:p>
      <w:pPr>
        <w:pStyle w:val="Heading2"/>
        <w:spacing w:after="160" w:before="320"/>
      </w:pPr>
      <w:r>
        <w:rPr>
          <w:rFonts w:ascii="Calibri" w:cs="Calibri" w:eastAsia="Calibri" w:hAnsi="Calibri"/>
          <w:b/>
          <w:bCs/>
          <w:color w:val="7A1F3D"/>
          <w:sz w:val="26"/>
          <w:szCs w:val="26"/>
        </w:rPr>
        <w:t xml:space="preserve">4.1 Model Kolaborasi Biopsikososial</w:t>
      </w:r>
    </w:p>
    <w:p>
      <w:pPr>
        <w:spacing w:after="200" w:line="300"/>
        <w:jc w:val="both"/>
      </w:pPr>
      <w:r>
        <w:rPr>
          <w:rFonts w:ascii="Calibri" w:cs="Calibri" w:eastAsia="Calibri" w:hAnsi="Calibri"/>
          <w:sz w:val="22"/>
          <w:szCs w:val="22"/>
        </w:rPr>
        <w:t xml:space="preserve">Penanganan gangguan mental perinatal secara optimal menuntut model asuhan kolaboratif (collaborative care model) yang mengintegrasikan peran dokter Obstetri Ginekologi Sosial, psikiater, dan psikolog klinis dalam satu kerangka asuhan yang berkesinambungan, bukan rujukan searah yang melepaskan tanggung jawab dokter Obstetri Ginekologi Sosial sepenuhnya setelah rujukan dilakukan. Dalam model ini, dokter Obstetri Ginekologi Sosial tetap menjadi penanggung jawab asuhan obstetri-ginekologi pasien sekaligus koordinator yang memastikan komunikasi lancar antarprofesi, sementara psikiater dan psikolog klinis memberikan keahlian spesifik pada ranah diagnosis dan tata laksana kesehatan jiwa.</w:t>
      </w:r>
    </w:p>
    <w:p>
      <w:pPr>
        <w:spacing w:after="200" w:line="300"/>
        <w:jc w:val="both"/>
      </w:pPr>
      <w:r>
        <w:rPr>
          <w:rFonts w:ascii="Calibri" w:cs="Calibri" w:eastAsia="Calibri" w:hAnsi="Calibri"/>
          <w:sz w:val="22"/>
          <w:szCs w:val="22"/>
        </w:rPr>
        <w:t xml:space="preserve">Model kolaboratif ini penting karena banyak pasien dengan gangguan mental perinatal tetap memerlukan pemantauan obstetri rutin selama menjalani terapi psikiatri, dan sebaliknya keputusan terapi psikiatri (misalnya pemilihan farmakoterapi) perlu mempertimbangkan kondisi kehamilan atau laktasi yang hanya dapat dinilai secara komprehensif bila terdapat komunikasi dua arah yang efektif antara kedua disiplin. Pendekatan ini sejalan dengan prinsip task-sharing yang dianjurkan WHO Mental Health Gap Action Programme Intervention Guide (mhGAP-IG) Version 2.0, yang mendorong keterlibatan tenaga kesehatan non-spesialis — termasuk dokter Obstetri Ginekologi Sosial — dalam jejaring layanan kesehatan jiwa terintegrasi, khususnya pada wilayah dengan keterbatasan akses psikiater.</w:t>
      </w:r>
    </w:p>
    <w:p>
      <w:pPr>
        <w:spacing w:after="200" w:line="300"/>
        <w:jc w:val="both"/>
      </w:pPr>
      <w:r>
        <w:rPr>
          <w:rFonts w:ascii="Calibri" w:cs="Calibri" w:eastAsia="Calibri" w:hAnsi="Calibri"/>
          <w:sz w:val="22"/>
          <w:szCs w:val="22"/>
        </w:rPr>
        <w:t xml:space="preserve">Secara praktis, kolaborasi ini dapat diwujudkan melalui pertemuan kasus terjadwal (case conference) pada kasus kompleks, rekam medis bersama atau sistem rujukan yang memungkinkan pertukaran informasi klinis secara aman, serta kesepakatan peran yang jelas mengenai siapa yang memantau aspek apa — misalnya psikiater memantau respons terapi farmakologis dan gejala psikiatri, sementara dokter Obstetri Ginekologi Sosial tetap memantau parameter obstetri dan melaporkan setiap perubahan kondisi kehamilan yang relevan bagi keputusan terapi psikiatri. Standar Kompetensi Konsil Kesehatan Indonesia menegaskan pentingnya kolaborasi ini secara terukur: Tabel 25 komponen ke-2 (Identifikasi Dini dan Tatalaksana Masa Nifas dengan Masalah Biopsikososial) menetapkan bahwa 100% ibu nifas wajib menjalani skrining biopsikososial, dan sekurang-kurangnya 80% kasus depresi postpartum yang teridentifikasi harus mendapat rujukan ke psikiatri/psikologi, dengan volume kasus minimal 10 kasus ibu nifas dengan masalah biopsikososial yang ditangani selama masa pendidikan subspesialis.</w:t>
      </w:r>
    </w:p>
    <w:p>
      <w:pPr>
        <w:pStyle w:val="Heading2"/>
        <w:spacing w:after="160" w:before="320"/>
      </w:pPr>
      <w:r>
        <w:rPr>
          <w:rFonts w:ascii="Calibri" w:cs="Calibri" w:eastAsia="Calibri" w:hAnsi="Calibri"/>
          <w:b/>
          <w:bCs/>
          <w:color w:val="7A1F3D"/>
          <w:sz w:val="26"/>
          <w:szCs w:val="26"/>
        </w:rPr>
        <w:t xml:space="preserve">4.2 Kriteria Rujukan Mendesak</w:t>
      </w:r>
    </w:p>
    <w:p>
      <w:pPr>
        <w:spacing w:after="200" w:line="300"/>
        <w:jc w:val="both"/>
      </w:pPr>
      <w:r>
        <w:rPr>
          <w:rFonts w:ascii="Calibri" w:cs="Calibri" w:eastAsia="Calibri" w:hAnsi="Calibri"/>
          <w:sz w:val="22"/>
          <w:szCs w:val="22"/>
        </w:rPr>
        <w:t xml:space="preserve">Rujukan mendesak (urgent referral) diperlukan pada kondisi yang berpotensi mengancam keselamatan pasien atau bayi dalam waktu dekat, dan wajib mendapatkan akses konsultasi psikiatri dalam hitungan jam hingga maksimal satu hari, tanpa menunggu jadwal rujukan reguler. Kriteria yang termasuk kategori ini antara lain: tanda dan gejala psikosis postpartum sebagaimana diuraikan pada Bab 1 (waham, halusinasi, disorganisasi pikiran akut), setiap indikasi risiko bunuh diri sebagaimana diuraikan pada Bab 3, kecurigaan risiko membahayakan bayi (termasuk pikiran atau impuls menyakiti bayi), serta episode mania akut pada pasien dengan riwayat atau kecurigaan gangguan bipolar.</w:t>
      </w:r>
    </w:p>
    <w:p>
      <w:pPr>
        <w:spacing w:after="200" w:line="300"/>
        <w:jc w:val="both"/>
      </w:pPr>
      <w:r>
        <w:rPr>
          <w:rFonts w:ascii="Calibri" w:cs="Calibri" w:eastAsia="Calibri" w:hAnsi="Calibri"/>
          <w:sz w:val="22"/>
          <w:szCs w:val="22"/>
        </w:rPr>
        <w:t xml:space="preserve">Contoh kasus konkret: seorang perempuan usia 27 tahun, P1A0 pascasalin hari ke-5, dibawa keluarga ke fasilitas kesehatan karena tiga hari terakhir tampak bicara kacau, meyakini bahwa bayinya memiliki 'kekuatan istimewa' yang harus dilindungi dari orang lain, disertai insomnia berat dan sempat menolak menyusui karena takut ASI-nya 'beracun'. Pada kasus ini, tidak diperlukan skor EPDS untuk menentukan urgensi — gambaran klinis psikosis akut pascasalin secara langsung mengindikasikan rujukan mendesak ke psikiatri pada hari yang sama disertai pertimbangan rawat inap, karena risiko terhadap keselamatan ibu dan bayi bersifat segera.</w:t>
      </w:r>
    </w:p>
    <w:p>
      <w:pPr>
        <w:spacing w:after="200" w:line="300"/>
        <w:jc w:val="both"/>
      </w:pPr>
      <w:r>
        <w:rPr>
          <w:rFonts w:ascii="Calibri" w:cs="Calibri" w:eastAsia="Calibri" w:hAnsi="Calibri"/>
          <w:sz w:val="22"/>
          <w:szCs w:val="22"/>
        </w:rPr>
        <w:t xml:space="preserve">Contoh kasus kedua: seorang perempuan usia 32 tahun, G2P1A0 usia kehamilan 34 minggu, saat skrining rutin menjawab positif pada butir 10 EPDS dengan keterangan memiliki pikiran menyakiti diri 'cukup sering' dalam seminggu terakhir, meskipun skor total EPDS hanya 9 (di bawah ambang rujukan 10). Sesuai prinsip pada Bab 3, jawaban positif butir 10 pada tingkat apa pun tetap mengharuskan rujukan mendesak hari yang sama, terlepas dari skor total yang belum mencapai ambang keseluruhan.</w:t>
      </w:r>
    </w:p>
    <w:p>
      <w:pPr>
        <w:pStyle w:val="Heading2"/>
        <w:spacing w:after="160" w:before="320"/>
      </w:pPr>
      <w:r>
        <w:rPr>
          <w:rFonts w:ascii="Calibri" w:cs="Calibri" w:eastAsia="Calibri" w:hAnsi="Calibri"/>
          <w:b/>
          <w:bCs/>
          <w:color w:val="7A1F3D"/>
          <w:sz w:val="26"/>
          <w:szCs w:val="26"/>
        </w:rPr>
        <w:t xml:space="preserve">4.3 Kriteria Rujukan Terjadwal</w:t>
      </w:r>
    </w:p>
    <w:p>
      <w:pPr>
        <w:spacing w:after="200" w:line="300"/>
        <w:jc w:val="both"/>
      </w:pPr>
      <w:r>
        <w:rPr>
          <w:rFonts w:ascii="Calibri" w:cs="Calibri" w:eastAsia="Calibri" w:hAnsi="Calibri"/>
          <w:sz w:val="22"/>
          <w:szCs w:val="22"/>
        </w:rPr>
        <w:t xml:space="preserve">Rujukan terjadwal (routine/scheduled referral) sesuai bagi pasien dengan gejala gangguan mental perinatal yang bermakna secara klinis namun tidak menunjukkan tanda bahaya segera, di mana konsultasi psikiatri atau psikologi klinis dapat dijadwalkan dalam rentang beberapa hari hingga dua minggu tanpa risiko memburuk secara akut selama masa tunggu tersebut. Kriteria ini mencakup skor EPDS di atas ambang rujukan tanpa jawaban positif pada butir 10, gejala ansietas sedang berdasarkan GAD-7 tanpa tanda krisis, gejala depresi ringan-sedang yang stabil, serta kebutuhan psikoterapi suportif berkelanjutan pada pasien dengan faktor risiko psikososial tanpa gejala akut.</w:t>
      </w:r>
    </w:p>
    <w:p>
      <w:pPr>
        <w:spacing w:after="200" w:line="300"/>
        <w:jc w:val="both"/>
      </w:pPr>
      <w:r>
        <w:rPr>
          <w:rFonts w:ascii="Calibri" w:cs="Calibri" w:eastAsia="Calibri" w:hAnsi="Calibri"/>
          <w:sz w:val="22"/>
          <w:szCs w:val="22"/>
        </w:rPr>
        <w:t xml:space="preserve">Contoh kasus konkret: seorang perempuan usia 24 tahun, P1A0 pascasalin bulan ketiga, datang kontrol nifas rutin dengan keluhan merasa sedih dan mudah menangis sejak sebulan terakhir, kesulitan merasakan kedekatan dengan bayinya, namun tetap dapat menjalankan perawatan bayi sehari-hari dengan bantuan ibunya, tanpa pikiran menyakiti diri atau bayi. Skor EPDS pasien ini 14, GAD-7 8, tanpa jawaban positif butir 10. Pada kasus ini, rujukan terjadwal ke psikolog klinis dalam satu hingga dua minggu ke depan sesuai, disertai pemantauan aktif oleh dokter Obstetri Ginekologi Sosial dan edukasi keluarga mengenai tanda bahaya yang perlu diwaspadai selama masa tunggu.</w:t>
      </w:r>
    </w:p>
    <w:p>
      <w:pPr>
        <w:spacing w:after="200" w:line="300"/>
        <w:jc w:val="both"/>
      </w:pPr>
      <w:r>
        <w:rPr>
          <w:rFonts w:ascii="Calibri" w:cs="Calibri" w:eastAsia="Calibri" w:hAnsi="Calibri"/>
          <w:sz w:val="22"/>
          <w:szCs w:val="22"/>
        </w:rPr>
        <w:t xml:space="preserve">Penentuan kategori rujukan tidak bersifat kaku berdasarkan skor semata; penilaian klinis holistik tetap diperlukan, dan dokter perlu bersikap fleksibel meningkatkan kategori rujukan menjadi mendesak apabila terdapat perubahan kondisi atau kekhawatiran klinis baru selama masa tunggu rujukan terjadwal berlangsung.</w:t>
      </w:r>
    </w:p>
    <w:p>
      <w:pPr>
        <w:pStyle w:val="Heading2"/>
        <w:spacing w:after="160" w:before="320"/>
      </w:pPr>
      <w:r>
        <w:rPr>
          <w:rFonts w:ascii="Calibri" w:cs="Calibri" w:eastAsia="Calibri" w:hAnsi="Calibri"/>
          <w:b/>
          <w:bCs/>
          <w:color w:val="7A1F3D"/>
          <w:sz w:val="26"/>
          <w:szCs w:val="26"/>
        </w:rPr>
        <w:t xml:space="preserve">4.4 Komunikasi Antarprofesi dan Kontinuitas Layanan</w:t>
      </w:r>
    </w:p>
    <w:p>
      <w:pPr>
        <w:spacing w:after="200" w:line="300"/>
        <w:jc w:val="both"/>
      </w:pPr>
      <w:r>
        <w:rPr>
          <w:rFonts w:ascii="Calibri" w:cs="Calibri" w:eastAsia="Calibri" w:hAnsi="Calibri"/>
          <w:sz w:val="22"/>
          <w:szCs w:val="22"/>
        </w:rPr>
        <w:t xml:space="preserve">Kontinuitas asuhan pasien dengan gangguan mental perinatal sangat bergantung pada kualitas komunikasi antarprofesi yang terstruktur, bukan sekadar surat rujukan satu arah. Surat rujukan yang efektif memuat informasi obstetri relevan (usia kehamilan atau hari pascasalin, riwayat komplikasi, rencana persalinan), hasil skrining kesehatan mental lengkap dengan skor per instrumen, faktor risiko psikososial yang teridentifikasi, serta pertanyaan klinis spesifik yang diharapkan dijawab oleh psikiater atau psikolog klinis yang menerima rujukan.</w:t>
      </w:r>
    </w:p>
    <w:p>
      <w:pPr>
        <w:spacing w:after="200" w:line="300"/>
        <w:jc w:val="both"/>
      </w:pPr>
      <w:r>
        <w:rPr>
          <w:rFonts w:ascii="Calibri" w:cs="Calibri" w:eastAsia="Calibri" w:hAnsi="Calibri"/>
          <w:sz w:val="22"/>
          <w:szCs w:val="22"/>
        </w:rPr>
        <w:t xml:space="preserve">Sebaliknya, umpan balik dari psikiater atau psikolog klinis kepada dokter Obstetri Ginekologi Sosial yang merujuk perlu mencakup diagnosis kerja, rencana terapi (termasuk pertimbangan farmakoterapi yang perlu diketahui dokter Obstetri Ginekologi Sosial untuk pemantauan bersama, dibahas lebih rinci pada Bab 5), serta rencana pemantauan bersama ke depan. Ketiadaan umpan balik ini sering menjadi celah dalam praktik nyata yang menyebabkan dokter Obstetri Ginekologi Sosial kehilangan informasi mengenai kondisi kesehatan jiwa pasien meski masih menjalankan asuhan obstetri rutin.</w:t>
      </w:r>
    </w:p>
    <w:p>
      <w:pPr>
        <w:spacing w:after="200" w:line="300"/>
        <w:jc w:val="both"/>
      </w:pPr>
      <w:r>
        <w:rPr>
          <w:rFonts w:ascii="Calibri" w:cs="Calibri" w:eastAsia="Calibri" w:hAnsi="Calibri"/>
          <w:sz w:val="22"/>
          <w:szCs w:val="22"/>
        </w:rPr>
        <w:t xml:space="preserve">Pada fasilitas dengan keterbatasan akses psikiatri tatap muka, pemanfaatan telemedicine dan konsultasi jarak jauh (telepsychiatry) dapat menjadi solusi praktis untuk mempertahankan kolaborasi ini, khususnya di wilayah dengan rasio psikiater terhadap populasi yang masih terbatas sebagaimana kondisi di banyak wilayah Indonesia di luar kota besar.</w:t>
      </w:r>
    </w:p>
    <w:p>
      <w:pPr>
        <w:spacing w:after="200" w:before="200"/>
      </w:pP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6F8"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Poin Kunci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Model kolaborasi biopsikososial menempatkan dokter Obgin Sosial sebagai koordinator berkelanjutan, bukan hanya perujuk searah.</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Rujukan mendesak (jam–1 hari) berlaku untuk psikosis postpartum, risiko bunuh diri, risiko membahayakan bayi, dan episode mania akut.</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Rujukan terjadwal (hari–2 minggu) berlaku untuk gejala depresi/ansietas bermakna klinis tanpa tanda bahaya segera.</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Jawaban positif butir 10 EPDS pada tingkat apa pun tetap termasuk kriteria rujukan mendesak, terlepas skor total.</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Kategori rujukan bersifat dinamis dan dapat ditingkatkan menjadi mendesak bila kondisi memburuk selama masa tunggu.</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Komunikasi dua arah (rujukan dan umpan balik) esensial untuk kontinuitas asuhan obstetri dan psikiatri secara bersamaan.</w:t>
            </w:r>
          </w:p>
        </w:tc>
      </w:tr>
    </w:tbl>
    <w:p>
      <w:pPr>
        <w:pBdr>
          <w:top w:val="single" w:color="CCCCCC" w:sz="4" w:space="4"/>
        </w:pBdr>
        <w:spacing w:after="120" w:before="300"/>
      </w:pPr>
      <w:r>
        <w:rPr>
          <w:rFonts w:ascii="Calibri" w:cs="Calibri" w:eastAsia="Calibri" w:hAnsi="Calibri"/>
          <w:b/>
          <w:bCs/>
          <w:color w:val="555555"/>
          <w:sz w:val="22"/>
          <w:szCs w:val="22"/>
        </w:rPr>
        <w:t xml:space="preserve">Referensi Bab 4</w:t>
      </w:r>
    </w:p>
    <w:p>
      <w:pPr>
        <w:spacing w:after="100" w:line="26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 Tabel 19 dan Tabel 25 Subspesialis Obstetri Ginekologi Sosial.</w:t>
      </w:r>
    </w:p>
    <w:p>
      <w:pPr>
        <w:spacing w:after="100" w:line="26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American College of Obstetricians and Gynecologists (ACOG). Screening and Diagnosis of Mental Health Conditions During Pregnancy and Postpartum: ACOG Clinical Practice Guideline No. 4. Obstet Gynecol. 2023;141(6):1232-1261. doi:10.1097/AOG.0000000000005200.</w:t>
      </w:r>
    </w:p>
    <w:p>
      <w:pPr>
        <w:spacing w:after="100" w:line="26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American College of Obstetricians and Gynecologists (ACOG). Treatment and Management of Mental Health Conditions During Pregnancy and Postpartum: ACOG Clinical Practice Guideline No. 5. Obstet Gynecol. 2023;141(6):1262-1288. doi:10.1097/AOG.0000000000005202.</w:t>
      </w:r>
    </w:p>
    <w:p>
      <w:pPr>
        <w:spacing w:after="100" w:line="260"/>
        <w:ind w:left="360" w:hanging="360"/>
      </w:pPr>
      <w:r>
        <w:rPr>
          <w:rFonts w:ascii="Calibri" w:cs="Calibri" w:eastAsia="Calibri" w:hAnsi="Calibri"/>
          <w:color w:val="555555"/>
          <w:sz w:val="20"/>
          <w:szCs w:val="20"/>
        </w:rPr>
        <w:t xml:space="preserve">4. </w:t>
      </w:r>
      <w:r>
        <w:rPr>
          <w:rFonts w:ascii="Calibri" w:cs="Calibri" w:eastAsia="Calibri" w:hAnsi="Calibri"/>
          <w:color w:val="555555"/>
          <w:sz w:val="20"/>
          <w:szCs w:val="20"/>
        </w:rPr>
        <w:t xml:space="preserve">World Health Organization (WHO). mhGAP Intervention Guide for Mental, Neurological and Substance Use Disorders in Non-Specialized Health Settings, Version 2.0. Geneva: WHO; 2016.</w:t>
      </w:r>
    </w:p>
    <w:p>
      <w:pPr>
        <w:pStyle w:val="Heading1"/>
        <w:pageBreakBefore/>
        <w:spacing w:after="60" w:before="0"/>
      </w:pPr>
      <w:r>
        <w:rPr>
          <w:rFonts w:ascii="Calibri" w:cs="Calibri" w:eastAsia="Calibri" w:hAnsi="Calibri"/>
          <w:b/>
          <w:bCs/>
          <w:color w:val="7A1F3D"/>
          <w:sz w:val="22"/>
          <w:szCs w:val="22"/>
        </w:rPr>
        <w:t xml:space="preserve">BAB 5</w:t>
      </w:r>
    </w:p>
    <w:p>
      <w:pPr>
        <w:pBdr>
          <w:bottom w:val="single" w:color="7A1F3D" w:sz="16" w:space="6"/>
        </w:pBdr>
        <w:spacing w:after="300"/>
      </w:pPr>
      <w:r>
        <w:rPr>
          <w:rFonts w:ascii="Calibri" w:cs="Calibri" w:eastAsia="Calibri" w:hAnsi="Calibri"/>
          <w:b/>
          <w:bCs/>
          <w:color w:val="7A1F3D"/>
          <w:sz w:val="40"/>
          <w:szCs w:val="40"/>
        </w:rPr>
        <w:t xml:space="preserve">Farmakoterapi Psikiatri dalam Kehamilan dan Laktasi: Prinsip Keamanan</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Tujuan Pembelajaran Bab</w:t>
            </w:r>
          </w:p>
          <w:p>
            <w:pPr>
              <w:spacing w:after="80" w:line="280"/>
            </w:pPr>
            <w:r>
              <w:rPr>
                <w:rFonts w:ascii="Calibri" w:cs="Calibri" w:eastAsia="Calibri" w:hAnsi="Calibri"/>
                <w:sz w:val="22"/>
                <w:szCs w:val="22"/>
              </w:rPr>
              <w:t xml:space="preserve">1. Menjelaskan prinsip umum pengambilan keputusan farmakoterapi psikiatri pada kehamilan dan laktasi.</w:t>
            </w:r>
          </w:p>
          <w:p>
            <w:pPr>
              <w:spacing w:after="80" w:line="280"/>
            </w:pPr>
            <w:r>
              <w:rPr>
                <w:rFonts w:ascii="Calibri" w:cs="Calibri" w:eastAsia="Calibri" w:hAnsi="Calibri"/>
                <w:sz w:val="22"/>
                <w:szCs w:val="22"/>
              </w:rPr>
              <w:t xml:space="preserve">2. Menguraikan kategori keamanan obat psikiatri pada kehamilan-laktasi secara umum beserta keterbatasannya.</w:t>
            </w:r>
          </w:p>
          <w:p>
            <w:pPr>
              <w:spacing w:after="80" w:line="280"/>
            </w:pPr>
            <w:r>
              <w:rPr>
                <w:rFonts w:ascii="Calibri" w:cs="Calibri" w:eastAsia="Calibri" w:hAnsi="Calibri"/>
                <w:sz w:val="22"/>
                <w:szCs w:val="22"/>
              </w:rPr>
              <w:t xml:space="preserve">3. Menjelaskan prinsip umum golongan antidepresan, antipsikotik, dan mood stabilizer tanpa memberikan rekomendasi dosis definitif.</w:t>
            </w:r>
          </w:p>
          <w:p>
            <w:pPr>
              <w:spacing w:after="80" w:line="280"/>
            </w:pPr>
            <w:r>
              <w:rPr>
                <w:rFonts w:ascii="Calibri" w:cs="Calibri" w:eastAsia="Calibri" w:hAnsi="Calibri"/>
                <w:sz w:val="22"/>
                <w:szCs w:val="22"/>
              </w:rPr>
              <w:t xml:space="preserve">4. Menjelaskan pertimbangan farmakoterapi psikiatri pada masa laktasi.</w:t>
            </w:r>
          </w:p>
        </w:tc>
      </w:tr>
    </w:tbl>
    <w:p>
      <w:pPr>
        <w:spacing w:after="200"/>
      </w:pPr>
    </w:p>
    <w:p>
      <w:pPr>
        <w:pStyle w:val="Heading2"/>
        <w:spacing w:after="160" w:before="320"/>
      </w:pPr>
      <w:r>
        <w:rPr>
          <w:rFonts w:ascii="Calibri" w:cs="Calibri" w:eastAsia="Calibri" w:hAnsi="Calibri"/>
          <w:b/>
          <w:bCs/>
          <w:color w:val="7A1F3D"/>
          <w:sz w:val="26"/>
          <w:szCs w:val="26"/>
        </w:rPr>
        <w:t xml:space="preserve">5.1 Prinsip Umum Pengambilan Keputusan Farmakoterapi</w:t>
      </w:r>
    </w:p>
    <w:p>
      <w:pPr>
        <w:spacing w:after="200" w:line="300"/>
        <w:jc w:val="both"/>
      </w:pPr>
      <w:r>
        <w:rPr>
          <w:rFonts w:ascii="Calibri" w:cs="Calibri" w:eastAsia="Calibri" w:hAnsi="Calibri"/>
          <w:sz w:val="22"/>
          <w:szCs w:val="22"/>
        </w:rPr>
        <w:t xml:space="preserve">Keputusan memulai, melanjutkan, mengubah, atau menghentikan farmakoterapi psikiatri pada kehamilan dan laktasi merupakan keputusan klinis kompleks yang WAJIB dilakukan di bawah supervisi psikiater, bukan diputuskan sepihak oleh dokter Obstetri Ginekologi Sosial maupun oleh pasien secara mandiri. Prinsip ini konsisten dengan ACOG Clinical Practice Guideline No. 5 (2023) tentang Treatment and Management of Mental Health Conditions During Pregnancy and Postpartum, yang menekankan bahwa keputusan farmakoterapi psikiatri perinatal memerlukan penilaian berimbang antara manfaat terapi dan risiko paparan, dilakukan bersama tenaga kesehatan jiwa yang berwenang. Peran dokter Obstetri Ginekologi Sosial dalam ranah ini bersifat kolaboratif: memberikan informasi kondisi obstetri yang relevan bagi keputusan psikiatri, memantau parameter kehamilan selama terapi berlangsung, dan memfasilitasi komunikasi antara pasien dan psikiater — bukan menentukan pilihan atau dosis obat psikiatri secara independen.</w:t>
      </w:r>
    </w:p>
    <w:p>
      <w:pPr>
        <w:spacing w:after="200" w:line="300"/>
        <w:jc w:val="both"/>
      </w:pPr>
      <w:r>
        <w:rPr>
          <w:rFonts w:ascii="Calibri" w:cs="Calibri" w:eastAsia="Calibri" w:hAnsi="Calibri"/>
          <w:sz w:val="22"/>
          <w:szCs w:val="22"/>
        </w:rPr>
        <w:t xml:space="preserve">Prinsip dasar yang perlu dipahami adalah bahwa keputusan farmakoterapi selalu merupakan perbandingan risiko terhadap risiko (risk-versus-risk), bukan perbandingan risiko terhadap keadaan tanpa risiko. Menghentikan farmakoterapi psikiatri secara mendadak pada pasien dengan gangguan mental berat yang sudah stabil membawa risiko kekambuhan yang juga dapat berdampak buruk terhadap kehamilan — melalui mekanisme tidak langsung seperti gangguan nutrisi, kepatuhan terhadap perawatan antenatal, hingga risiko yang telah diuraikan pada Bab 3. Oleh karena itu, keputusan menghentikan terapi psikiatri semata-mata karena kehamilan, tanpa pertimbangan psikiatri yang matang, berpotensi membahayakan pasien sama besarnya dengan potensi risiko melanjutkan terapi.</w:t>
      </w:r>
    </w:p>
    <w:p>
      <w:pPr>
        <w:spacing w:after="200" w:line="300"/>
        <w:jc w:val="both"/>
      </w:pPr>
      <w:r>
        <w:rPr>
          <w:rFonts w:ascii="Calibri" w:cs="Calibri" w:eastAsia="Calibri" w:hAnsi="Calibri"/>
          <w:sz w:val="22"/>
          <w:szCs w:val="22"/>
        </w:rPr>
        <w:t xml:space="preserve">Dokter Obstetri Ginekologi Sosial berperan penting mengedukasi pasien bahwa keputusan ini bersifat individual dan memerlukan diskusi bersama psikiater yang mempertimbangkan riwayat penyakit, derajat keparahan, respons terapi sebelumnya, usia kehamilan, serta preferensi pasien setelah mendapatkan informasi yang memadai (informed decision), dan bukan keputusan yang dapat digeneralisasi untuk seluruh pasien dengan kondisi serupa.</w:t>
      </w:r>
    </w:p>
    <w:p>
      <w:pPr>
        <w:pStyle w:val="Heading2"/>
        <w:spacing w:after="160" w:before="320"/>
      </w:pPr>
      <w:r>
        <w:rPr>
          <w:rFonts w:ascii="Calibri" w:cs="Calibri" w:eastAsia="Calibri" w:hAnsi="Calibri"/>
          <w:b/>
          <w:bCs/>
          <w:color w:val="7A1F3D"/>
          <w:sz w:val="26"/>
          <w:szCs w:val="26"/>
        </w:rPr>
        <w:t xml:space="preserve">5.2 Kategori Keamanan Obat dan Keterbatasannya</w:t>
      </w:r>
    </w:p>
    <w:p>
      <w:pPr>
        <w:spacing w:after="200" w:line="300"/>
        <w:jc w:val="both"/>
      </w:pPr>
      <w:r>
        <w:rPr>
          <w:rFonts w:ascii="Calibri" w:cs="Calibri" w:eastAsia="Calibri" w:hAnsi="Calibri"/>
          <w:sz w:val="22"/>
          <w:szCs w:val="22"/>
        </w:rPr>
        <w:t xml:space="preserve">Secara historis, keamanan obat pada kehamilan sering dirujuk menggunakan sistem kategori huruf (misalnya kategori A, B, C, D, dan X) yang pernah digunakan oleh badan regulasi obat Amerika Serikat. Sistem ini memiliki keterbatasan signifikan yang perlu dipahami dokter: kategori tersebut bersifat statis dan tidak mencerminkan gradasi risiko yang sesungguhnya bersifat kontinu, sering disalahartikan sebagai hierarki keamanan yang kaku, serta tidak mengintegrasikan informasi mengenai risiko akibat penyakit yang tidak diobati. Oleh karena keterbatasan tersebut, pendekatan yang lebih dianjurkan pada praktik kontemporer adalah penilaian berbasis narasi (narrative-based) yang mempertimbangkan data farmakoepidemiologi terkini, derajat keparahan penyakit ibu, usia kehamilan saat paparan, serta ketersediaan alternatif terapi.</w:t>
      </w:r>
    </w:p>
    <w:p>
      <w:pPr>
        <w:spacing w:after="200" w:line="300"/>
        <w:jc w:val="both"/>
      </w:pPr>
      <w:r>
        <w:rPr>
          <w:rFonts w:ascii="Calibri" w:cs="Calibri" w:eastAsia="Calibri" w:hAnsi="Calibri"/>
          <w:sz w:val="22"/>
          <w:szCs w:val="22"/>
        </w:rPr>
        <w:t xml:space="preserve">Secara umum, prinsip yang dipegang dalam pengambilan keputusan meliputi: pertama, tidak ada obat psikiatri yang dapat dinyatakan sepenuhnya tanpa risiko selama kehamilan, sebagaimana juga tidak ada kondisi psikiatri berat yang tidak diobati yang dapat dinyatakan sepenuhnya aman bagi kehamilan; kedua, periode organogenesis pada trimester pertama umumnya memerlukan pertimbangan lebih cermat dibandingkan trimester lanjut untuk obat-obat tertentu, meski hal ini tidak berlaku seragam untuk seluruh golongan obat; ketiga, obat yang telah terbukti efektif dan dapat ditoleransi baik oleh pasien pada masa sebelum kehamilan umumnya lebih diutamakan untuk dipertahankan dibandingkan mengganti ke obat baru yang belum diketahui responsnya pada pasien tersebut, kecuali terdapat pertimbangan keamanan spesifik yang mengharuskan penggantian.</w:t>
      </w:r>
    </w:p>
    <w:p>
      <w:pPr>
        <w:spacing w:after="200" w:line="300"/>
        <w:jc w:val="both"/>
      </w:pPr>
      <w:r>
        <w:rPr>
          <w:rFonts w:ascii="Calibri" w:cs="Calibri" w:eastAsia="Calibri" w:hAnsi="Calibri"/>
          <w:sz w:val="22"/>
          <w:szCs w:val="22"/>
        </w:rPr>
        <w:t xml:space="preserve">Buku ini secara sengaja tidak mencantumkan rekomendasi dosis definitif atau algoritma pemilihan obat spesifik, karena keputusan tersebut memerlukan supervisi psikiatri langsung yang mempertimbangkan kondisi individual pasien secara menyeluruh serta merujuk pada data farmakologi yang terus diperbarui; dokter Obstetri Ginekologi Sosial yang memerlukan informasi lebih rinci mengenai suatu obat spesifik dianjurkan berkonsultasi langsung dengan psikiater yang menangani pasien.</w:t>
      </w:r>
    </w:p>
    <w:p>
      <w:pPr>
        <w:pStyle w:val="Heading2"/>
        <w:spacing w:after="160" w:before="320"/>
      </w:pPr>
      <w:r>
        <w:rPr>
          <w:rFonts w:ascii="Calibri" w:cs="Calibri" w:eastAsia="Calibri" w:hAnsi="Calibri"/>
          <w:b/>
          <w:bCs/>
          <w:color w:val="7A1F3D"/>
          <w:sz w:val="26"/>
          <w:szCs w:val="26"/>
        </w:rPr>
        <w:t xml:space="preserve">5.3 Prinsip Umum Golongan Antidepresan</w:t>
      </w:r>
    </w:p>
    <w:p>
      <w:pPr>
        <w:spacing w:after="200" w:line="300"/>
        <w:jc w:val="both"/>
      </w:pPr>
      <w:r>
        <w:rPr>
          <w:rFonts w:ascii="Calibri" w:cs="Calibri" w:eastAsia="Calibri" w:hAnsi="Calibri"/>
          <w:sz w:val="22"/>
          <w:szCs w:val="22"/>
        </w:rPr>
        <w:t xml:space="preserve">Golongan antidepresan yang paling sering dipertimbangkan pada kehamilan dan laktasi adalah golongan selective serotonin reuptake inhibitor (SSRI), mengingat profil keamanan relatif yang lebih banyak diteliti dibandingkan golongan antidepresan lain, meskipun hal ini tidak berarti golongan ini bebas dari pertimbangan risiko. Prinsip umum yang perlu dipahami dokter Obstetri Ginekologi Sosial — tanpa memberikan rekomendasi dosis atau pilihan obat spesifik — adalah bahwa keputusan pemilihan antidepresan tertentu berada sepenuhnya pada ranah psikiater yang mempertimbangkan riwayat respons terapi pasien sebelumnya, profil efek samping individual, dan data keamanan terkini.</w:t>
      </w:r>
    </w:p>
    <w:p>
      <w:pPr>
        <w:spacing w:after="200" w:line="300"/>
        <w:jc w:val="both"/>
      </w:pPr>
      <w:r>
        <w:rPr>
          <w:rFonts w:ascii="Calibri" w:cs="Calibri" w:eastAsia="Calibri" w:hAnsi="Calibri"/>
          <w:sz w:val="22"/>
          <w:szCs w:val="22"/>
        </w:rPr>
        <w:t xml:space="preserve">Pemantauan bersama yang dapat dilakukan dokter Obstetri Ginekologi Sosial selama pasien menjalani terapi antidepresan mencakup pemantauan pertumbuhan janin sesuai jadwal antenatal rutin, kewaspadaan terhadap gejala pada neonatus segera pascasalin yang perlu dilaporkan kepada tim neonatologi (seperti iritabilitas atau gangguan adaptasi ringan yang bersifat sementara pada sebagian bayi yang terpapar antidepresan pada trimester akhir), serta komunikasi aktif dengan psikiater bila ditemukan perubahan kondisi obstetri yang relevan bagi keputusan terapi.</w:t>
      </w:r>
    </w:p>
    <w:p>
      <w:pPr>
        <w:spacing w:after="200" w:line="300"/>
        <w:jc w:val="both"/>
      </w:pPr>
      <w:r>
        <w:rPr>
          <w:rFonts w:ascii="Calibri" w:cs="Calibri" w:eastAsia="Calibri" w:hAnsi="Calibri"/>
          <w:sz w:val="22"/>
          <w:szCs w:val="22"/>
        </w:rPr>
        <w:t xml:space="preserve">Prinsip yang sama berlaku pada golongan antidepresan lain seperti serotonin-norepinephrine reuptake inhibitor (SNRI) atau golongan lainnya: pemilihan spesifik tetap merupakan kewenangan psikiatri, sementara peran dokter Obstetri Ginekologi Sosial berfokus pada pemantauan obstetri dan komunikasi kolaboratif.</w:t>
      </w:r>
    </w:p>
    <w:p>
      <w:pPr>
        <w:pStyle w:val="Heading2"/>
        <w:spacing w:after="160" w:before="320"/>
      </w:pPr>
      <w:r>
        <w:rPr>
          <w:rFonts w:ascii="Calibri" w:cs="Calibri" w:eastAsia="Calibri" w:hAnsi="Calibri"/>
          <w:b/>
          <w:bCs/>
          <w:color w:val="7A1F3D"/>
          <w:sz w:val="26"/>
          <w:szCs w:val="26"/>
        </w:rPr>
        <w:t xml:space="preserve">5.4 Prinsip Umum Golongan Antipsikotik dan Mood Stabilizer</w:t>
      </w:r>
    </w:p>
    <w:p>
      <w:pPr>
        <w:spacing w:after="200" w:line="300"/>
        <w:jc w:val="both"/>
      </w:pPr>
      <w:r>
        <w:rPr>
          <w:rFonts w:ascii="Calibri" w:cs="Calibri" w:eastAsia="Calibri" w:hAnsi="Calibri"/>
          <w:sz w:val="22"/>
          <w:szCs w:val="22"/>
        </w:rPr>
        <w:t xml:space="preserve">Golongan antipsikotik, baik generasi pertama maupun generasi kedua (atipikal), dipertimbangkan pada pasien dengan gangguan psikotik termasuk psikosis postpartum sebagaimana diuraikan pada Bab 1, serta pada pasien dengan gangguan bipolar sebagai bagian dari tata laksana episode mania atau sebagai mood stabilizer. Sebagaimana golongan antidepresan, pemilihan jenis dan penyesuaian terapi antipsikotik pada kehamilan sepenuhnya berada pada ranah psikiater, dengan pertimbangan bahwa penghentian mendadak terapi antipsikotik pada pasien dengan riwayat psikosis dapat memicu kekambuhan berat yang berisiko tinggi baik bagi ibu maupun bayi.</w:t>
      </w:r>
    </w:p>
    <w:p>
      <w:pPr>
        <w:spacing w:after="200" w:line="300"/>
        <w:jc w:val="both"/>
      </w:pPr>
      <w:r>
        <w:rPr>
          <w:rFonts w:ascii="Calibri" w:cs="Calibri" w:eastAsia="Calibri" w:hAnsi="Calibri"/>
          <w:sz w:val="22"/>
          <w:szCs w:val="22"/>
        </w:rPr>
        <w:t xml:space="preserve">Golongan mood stabilizer klasik tertentu diketahui memiliki profil risiko teratogenik yang perlu dipertimbangkan secara cermat oleh psikiater, terutama bila digunakan pada trimester pertama; hal ini menjadi salah satu alasan mengapa perempuan usia reproduktif dengan gangguan bipolar idealnya telah mendapatkan konseling praknatal mengenai rencana kehamilan bersama psikiater sebelum konsepsi terjadi, agar penyesuaian terapi dapat direncanakan alih-alih dilakukan secara mendadak setelah kehamilan terdeteksi.</w:t>
      </w:r>
    </w:p>
    <w:p>
      <w:pPr>
        <w:spacing w:after="200" w:line="300"/>
        <w:jc w:val="both"/>
      </w:pPr>
      <w:r>
        <w:rPr>
          <w:rFonts w:ascii="Calibri" w:cs="Calibri" w:eastAsia="Calibri" w:hAnsi="Calibri"/>
          <w:sz w:val="22"/>
          <w:szCs w:val="22"/>
        </w:rPr>
        <w:t xml:space="preserve">Dokter Obstetri Ginekologi Sosial berperan penting dalam skrining anomali struktural janin sesuai jadwal pemeriksaan ultrasonografi rutin pada pasien yang menjalani terapi golongan ini, serta memastikan komunikasi erat dengan psikiater mengenai rencana persalinan, mengingat sebagian golongan obat ini memerlukan perhatian khusus mendekati waktu persalinan yang perlu direncanakan bersama tim multidisiplin.</w:t>
      </w:r>
    </w:p>
    <w:p>
      <w:pPr>
        <w:pStyle w:val="Heading2"/>
        <w:spacing w:after="160" w:before="320"/>
      </w:pPr>
      <w:r>
        <w:rPr>
          <w:rFonts w:ascii="Calibri" w:cs="Calibri" w:eastAsia="Calibri" w:hAnsi="Calibri"/>
          <w:b/>
          <w:bCs/>
          <w:color w:val="7A1F3D"/>
          <w:sz w:val="26"/>
          <w:szCs w:val="26"/>
        </w:rPr>
        <w:t xml:space="preserve">5.5 Laktasi dan Farmakoterapi Psikiatri</w:t>
      </w:r>
    </w:p>
    <w:p>
      <w:pPr>
        <w:spacing w:after="200" w:line="300"/>
        <w:jc w:val="both"/>
      </w:pPr>
      <w:r>
        <w:rPr>
          <w:rFonts w:ascii="Calibri" w:cs="Calibri" w:eastAsia="Calibri" w:hAnsi="Calibri"/>
          <w:sz w:val="22"/>
          <w:szCs w:val="22"/>
        </w:rPr>
        <w:t xml:space="preserve">Keputusan mengenai kelanjutan farmakoterapi psikiatri selama masa laktasi memerlukan pertimbangan tersendiri yang tidak selalu identik dengan pertimbangan selama kehamilan, karena mekanisme paparan terhadap bayi berbeda (melalui air susu ibu, bukan plasenta) dan kadar obat yang terpapar ke bayi umumnya jauh lebih rendah dibandingkan paparan intrauterin. Prinsip umum yang dipegang adalah bahwa manfaat menyusui bagi ibu dan bayi — termasuk manfaat terhadap ikatan ibu-bayi yang relevan pula bagi pemulihan kesehatan mental ibu — perlu dipertimbangkan berdampingan dengan potensi risiko paparan obat melalui air susu ibu, dan keputusan akhir tetap berada pada ranah diskusi bersama antara pasien dan psikiater.</w:t>
      </w:r>
    </w:p>
    <w:p>
      <w:pPr>
        <w:spacing w:after="200" w:line="300"/>
        <w:jc w:val="both"/>
      </w:pPr>
      <w:r>
        <w:rPr>
          <w:rFonts w:ascii="Calibri" w:cs="Calibri" w:eastAsia="Calibri" w:hAnsi="Calibri"/>
          <w:sz w:val="22"/>
          <w:szCs w:val="22"/>
        </w:rPr>
        <w:t xml:space="preserve">Dokter Obstetri Ginekologi Sosial dapat berperan mendukung keputusan ini dengan memberikan informasi obstetri yang relevan serta memastikan pasien tidak merasa harus memilih secara ekstrem antara menghentikan terapi psikiatri demi menyusui atau menghentikan menyusui demi terapi, tanpa terlebih dahulu mendiskusikan pilihan tersebut secara menyeluruh dengan psikiater yang menangani, mengingat pada banyak kasus kedua tujuan tersebut dapat diupayakan berjalan bersamaan dengan penyesuaian yang tepat.</w:t>
      </w:r>
    </w:p>
    <w:p>
      <w:pPr>
        <w:spacing w:after="200" w:line="300"/>
        <w:jc w:val="both"/>
      </w:pPr>
      <w:r>
        <w:rPr>
          <w:rFonts w:ascii="Calibri" w:cs="Calibri" w:eastAsia="Calibri" w:hAnsi="Calibri"/>
          <w:sz w:val="22"/>
          <w:szCs w:val="22"/>
        </w:rPr>
        <w:t xml:space="preserve">Pemantauan bayi selama ibu menyusui dengan terapi psikiatri berlangsung — seperti kewaspadaan terhadap perubahan pola tidur, kesulitan menyusu, atau iritabilitas berlebihan pada bayi — perlu dikomunikasikan kepada tenaga kesehatan anak/neonatologi yang memantau bayi, sebagai bagian dari pendekatan tim yang terintegrasi antara kesehatan ibu dan kesehatan bayi.</w:t>
      </w:r>
    </w:p>
    <w:p>
      <w:pPr>
        <w:spacing w:after="200" w:before="200"/>
      </w:pP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6F8"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Poin Kunci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Keputusan farmakoterapi psikiatri pada kehamilan-laktasi WAJIB berada di bawah supervisi psikiater, bukan diputuskan sepihak oleh dokter Obgin Sosial atau pasien.</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Keputusan bersifat perbandingan risiko-terhadap-risiko: risiko obat versus risiko kekambuhan penyakit yang tidak diobati.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Sistem kategori huruf keamanan obat klasik memiliki keterbatasan; pendekatan kontemporer bersifat naratif berbasis data terkini.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Buku ini sengaja tidak memberi rekomendasi dosis atau pilihan obat spesifik; hal tersebut memerlukan supervisi psikiatri langsung.</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Peran dokter Obgin Sosial: memantau parameter obstetri/janin, mengomunikasikan temuan relevan, dan berkolaborasi dengan psikiater.</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Penghentian mendadak terapi psikiatri tanpa supervisi berisiko memicu kekambuhan berat yang dapat membahayakan ibu dan bayi.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Keputusan terkait laktasi mempertimbangkan manfaat menyusui berdampingan dengan potensi paparan obat melalui ASI.</w:t>
            </w:r>
          </w:p>
        </w:tc>
      </w:tr>
    </w:tbl>
    <w:p>
      <w:pPr>
        <w:pBdr>
          <w:top w:val="single" w:color="CCCCCC" w:sz="4" w:space="4"/>
        </w:pBdr>
        <w:spacing w:after="120" w:before="300"/>
      </w:pPr>
      <w:r>
        <w:rPr>
          <w:rFonts w:ascii="Calibri" w:cs="Calibri" w:eastAsia="Calibri" w:hAnsi="Calibri"/>
          <w:b/>
          <w:bCs/>
          <w:color w:val="555555"/>
          <w:sz w:val="22"/>
          <w:szCs w:val="22"/>
        </w:rPr>
        <w:t xml:space="preserve">Referensi Bab 5</w:t>
      </w:r>
    </w:p>
    <w:p>
      <w:pPr>
        <w:spacing w:after="100" w:line="26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American College of Obstetricians and Gynecologists (ACOG). Treatment and Management of Mental Health Conditions During Pregnancy and Postpartum: ACOG Clinical Practice Guideline No. 5. Obstet Gynecol. 2023;141(6):1262-1288. doi:10.1097/AOG.0000000000005202.</w:t>
      </w:r>
    </w:p>
    <w:p>
      <w:pPr>
        <w:spacing w:after="100" w:line="26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Cunningham FG, Leveno KJ, Dashe JS, et al., editors. Williams Obstetrics. 26th ed. New York: McGraw Hill; 2022.</w:t>
      </w:r>
    </w:p>
    <w:p>
      <w:pPr>
        <w:spacing w:after="100" w:line="26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w:t>
      </w:r>
    </w:p>
    <w:p>
      <w:pPr>
        <w:pStyle w:val="Heading1"/>
        <w:pageBreakBefore/>
        <w:spacing w:after="60" w:before="0"/>
      </w:pPr>
      <w:r>
        <w:rPr>
          <w:rFonts w:ascii="Calibri" w:cs="Calibri" w:eastAsia="Calibri" w:hAnsi="Calibri"/>
          <w:b/>
          <w:bCs/>
          <w:color w:val="7A1F3D"/>
          <w:sz w:val="22"/>
          <w:szCs w:val="22"/>
        </w:rPr>
        <w:t xml:space="preserve">BAB 6</w:t>
      </w:r>
    </w:p>
    <w:p>
      <w:pPr>
        <w:pBdr>
          <w:bottom w:val="single" w:color="7A1F3D" w:sz="16" w:space="6"/>
        </w:pBdr>
        <w:spacing w:after="300"/>
      </w:pPr>
      <w:r>
        <w:rPr>
          <w:rFonts w:ascii="Calibri" w:cs="Calibri" w:eastAsia="Calibri" w:hAnsi="Calibri"/>
          <w:b/>
          <w:bCs/>
          <w:color w:val="7A1F3D"/>
          <w:sz w:val="40"/>
          <w:szCs w:val="40"/>
        </w:rPr>
        <w:t xml:space="preserve">Edukasi Keluarga dan Pencegahan Kekambuhan</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Tujuan Pembelajaran Bab</w:t>
            </w:r>
          </w:p>
          <w:p>
            <w:pPr>
              <w:spacing w:after="80" w:line="280"/>
            </w:pPr>
            <w:r>
              <w:rPr>
                <w:rFonts w:ascii="Calibri" w:cs="Calibri" w:eastAsia="Calibri" w:hAnsi="Calibri"/>
                <w:sz w:val="22"/>
                <w:szCs w:val="22"/>
              </w:rPr>
              <w:t xml:space="preserve">1. Menjelaskan peran pasangan dan keluarga dalam deteksi dini kekambuhan gangguan mental perinatal.</w:t>
            </w:r>
          </w:p>
          <w:p>
            <w:pPr>
              <w:spacing w:after="80" w:line="280"/>
            </w:pPr>
            <w:r>
              <w:rPr>
                <w:rFonts w:ascii="Calibri" w:cs="Calibri" w:eastAsia="Calibri" w:hAnsi="Calibri"/>
                <w:sz w:val="22"/>
                <w:szCs w:val="22"/>
              </w:rPr>
              <w:t xml:space="preserve">2. Menguraikan bentuk dukungan praktis keluarga sehari-hari bagi ibu dengan gangguan mental perinatal.</w:t>
            </w:r>
          </w:p>
          <w:p>
            <w:pPr>
              <w:spacing w:after="80" w:line="280"/>
            </w:pPr>
            <w:r>
              <w:rPr>
                <w:rFonts w:ascii="Calibri" w:cs="Calibri" w:eastAsia="Calibri" w:hAnsi="Calibri"/>
                <w:sz w:val="22"/>
                <w:szCs w:val="22"/>
              </w:rPr>
              <w:t xml:space="preserve">3. Menyusun kerangka psikoedukasi terstruktur bagi keluarga pasien.</w:t>
            </w:r>
          </w:p>
          <w:p>
            <w:pPr>
              <w:spacing w:after="80" w:line="280"/>
            </w:pPr>
            <w:r>
              <w:rPr>
                <w:rFonts w:ascii="Calibri" w:cs="Calibri" w:eastAsia="Calibri" w:hAnsi="Calibri"/>
                <w:sz w:val="22"/>
                <w:szCs w:val="22"/>
              </w:rPr>
              <w:t xml:space="preserve">4. Menjelaskan prinsip pencegahan kekambuhan jangka panjang pasca-episode akut.</w:t>
            </w:r>
          </w:p>
        </w:tc>
      </w:tr>
    </w:tbl>
    <w:p>
      <w:pPr>
        <w:spacing w:after="200"/>
      </w:pPr>
    </w:p>
    <w:p>
      <w:pPr>
        <w:pStyle w:val="Heading2"/>
        <w:spacing w:after="160" w:before="320"/>
      </w:pPr>
      <w:r>
        <w:rPr>
          <w:rFonts w:ascii="Calibri" w:cs="Calibri" w:eastAsia="Calibri" w:hAnsi="Calibri"/>
          <w:b/>
          <w:bCs/>
          <w:color w:val="7A1F3D"/>
          <w:sz w:val="26"/>
          <w:szCs w:val="26"/>
        </w:rPr>
        <w:t xml:space="preserve">6.1 Peran Pasangan dan Keluarga dalam Deteksi Dini Kekambuhan</w:t>
      </w:r>
    </w:p>
    <w:p>
      <w:pPr>
        <w:spacing w:after="200" w:line="300"/>
        <w:jc w:val="both"/>
      </w:pPr>
      <w:r>
        <w:rPr>
          <w:rFonts w:ascii="Calibri" w:cs="Calibri" w:eastAsia="Calibri" w:hAnsi="Calibri"/>
          <w:sz w:val="22"/>
          <w:szCs w:val="22"/>
        </w:rPr>
        <w:t xml:space="preserve">Pasangan dan anggota keluarga inti merupakan pihak yang memiliki kontak paling intensif dan berkelanjutan dengan ibu pascasalin, jauh melampaui frekuensi kontak dengan tenaga kesehatan pada kunjungan nifas terjadwal. Posisi ini menjadikan keluarga sebagai mitra strategis dalam deteksi dini tanda kekambuhan gangguan mental perinatal, khususnya pada pasien dengan riwayat episode sebelumnya yang berisiko mengalami kekambuhan pada kehamilan atau masa nifas berikutnya. Dokter Obstetri Ginekologi Sosial perlu secara aktif melibatkan pasangan dan keluarga sejak masa antenatal, bukan hanya setelah gejala kekambuhan muncul, agar mereka telah memiliki bekal pengetahuan yang memadai ketika periode berisiko tiba.</w:t>
      </w:r>
    </w:p>
    <w:p>
      <w:pPr>
        <w:spacing w:after="200" w:line="300"/>
        <w:jc w:val="both"/>
      </w:pPr>
      <w:r>
        <w:rPr>
          <w:rFonts w:ascii="Calibri" w:cs="Calibri" w:eastAsia="Calibri" w:hAnsi="Calibri"/>
          <w:sz w:val="22"/>
          <w:szCs w:val="22"/>
        </w:rPr>
        <w:t xml:space="preserve">Tanda peringatan dini yang perlu dikenali keluarga mencakup perubahan pola tidur yang tidak sebanding dengan tuntutan merawat bayi, penarikan diri dari interaksi sosial yang sebelumnya dinikmati, perubahan drastis dalam cara ibu berbicara atau berperilaku, ungkapan keputusasaan atau rasa tidak berharga, penurunan kemampuan merawat diri atau bayi yang tampak nyata, serta — pada pasien dengan riwayat gangguan bipolar — tanda peningkatan energi berlebihan yang tidak wajar disertai penurunan kebutuhan tidur. Keluarga perlu diberi pemahaman bahwa tanda-tanda ini bukan sekadar kelelahan wajar pascasalin, melainkan sinyal yang perlu segera dikomunikasikan kepada tenaga kesehatan.</w:t>
      </w:r>
    </w:p>
    <w:p>
      <w:pPr>
        <w:spacing w:after="200" w:line="300"/>
        <w:jc w:val="both"/>
      </w:pPr>
      <w:r>
        <w:rPr>
          <w:rFonts w:ascii="Calibri" w:cs="Calibri" w:eastAsia="Calibri" w:hAnsi="Calibri"/>
          <w:sz w:val="22"/>
          <w:szCs w:val="22"/>
        </w:rPr>
        <w:t xml:space="preserve">Peran pasangan secara khusus penting karena pasangan umumnya paling memahami pola perilaku dasar (baseline) ibu sebelum kehamilan, sehingga lebih mampu mengenali penyimpangan dari pola tersebut dibandingkan tenaga kesehatan yang hanya berjumpa secara berkala. Dokter perlu mendorong komunikasi terbuka antara pasangan mengenai kondisi emosional ibu, serta memberikan jalur komunikasi yang jelas dan mudah diakses bagi pasangan untuk melaporkan kekhawatiran mereka kepada fasilitas kesehatan tanpa harus menunggu jadwal kontrol berikutnya.</w:t>
      </w:r>
    </w:p>
    <w:p>
      <w:pPr>
        <w:pStyle w:val="Heading2"/>
        <w:spacing w:after="160" w:before="320"/>
      </w:pPr>
      <w:r>
        <w:rPr>
          <w:rFonts w:ascii="Calibri" w:cs="Calibri" w:eastAsia="Calibri" w:hAnsi="Calibri"/>
          <w:b/>
          <w:bCs/>
          <w:color w:val="7A1F3D"/>
          <w:sz w:val="26"/>
          <w:szCs w:val="26"/>
        </w:rPr>
        <w:t xml:space="preserve">6.2 Dukungan Praktis Keluarga Sehari-hari</w:t>
      </w:r>
    </w:p>
    <w:p>
      <w:pPr>
        <w:spacing w:after="200" w:line="300"/>
        <w:jc w:val="both"/>
      </w:pPr>
      <w:r>
        <w:rPr>
          <w:rFonts w:ascii="Calibri" w:cs="Calibri" w:eastAsia="Calibri" w:hAnsi="Calibri"/>
          <w:sz w:val="22"/>
          <w:szCs w:val="22"/>
        </w:rPr>
        <w:t xml:space="preserve">Selain deteksi dini, keluarga memiliki peran besar dalam memberikan dukungan praktis yang dapat mengurangi beban dan faktor risiko psikososial ibu sehari-hari. Dukungan ini mencakup pembagian tugas perawatan bayi yang adil sehingga ibu mendapatkan waktu istirahat yang cukup, terutama pada malam hari; bantuan pekerjaan rumah tangga agar ibu tidak menanggung beban ganda antara pemulihan pascasalin, perawatan bayi, dan pekerjaan domestik secara bersamaan; serta dukungan emosional berupa validasi perasaan ibu tanpa meremehkan atau membandingkan pengalamannya dengan pengalaman perempuan lain.</w:t>
      </w:r>
    </w:p>
    <w:p>
      <w:pPr>
        <w:spacing w:after="200" w:line="300"/>
        <w:jc w:val="both"/>
      </w:pPr>
      <w:r>
        <w:rPr>
          <w:rFonts w:ascii="Calibri" w:cs="Calibri" w:eastAsia="Calibri" w:hAnsi="Calibri"/>
          <w:sz w:val="22"/>
          <w:szCs w:val="22"/>
        </w:rPr>
        <w:t xml:space="preserve">Dukungan praktis juga mencakup memastikan ibu memiliki akses terhadap nutrisi yang memadai, kesempatan untuk beristirahat dan tidur cukup meski dengan bantuan pihak lain menjaga bayi pada jam-jam tertentu, serta kesempatan menjalankan aktivitas yang memulihkan energi psikologis, seperti waktu singkat untuk diri sendiri (self-care) yang sering terabaikan pada masa awal menjadi ibu. Keluarga besar, bila tersedia dan berperan positif, dapat menjadi sumber daya tambahan penting dalam konteks budaya Indonesia yang umumnya menganut sistem kekerabatan luas, meski dokter juga perlu peka terhadap situasi ketika kehadiran keluarga besar justru menambah tekanan (misalnya melalui ekspektasi atau komentar yang tidak membantu) daripada meringankan beban ibu.</w:t>
      </w:r>
    </w:p>
    <w:p>
      <w:pPr>
        <w:spacing w:after="200" w:line="300"/>
        <w:jc w:val="both"/>
      </w:pPr>
      <w:r>
        <w:rPr>
          <w:rFonts w:ascii="Calibri" w:cs="Calibri" w:eastAsia="Calibri" w:hAnsi="Calibri"/>
          <w:sz w:val="22"/>
          <w:szCs w:val="22"/>
        </w:rPr>
        <w:t xml:space="preserve">Dokter Obstetri Ginekologi Sosial dapat memfasilitasi dukungan ini dengan memberikan edukasi eksplisit kepada keluarga mengenai kebutuhan konkret ibu pascasalin — bukan berasumsi keluarga secara otomatis memahami kebutuhan tersebut — serta mendorong diskusi terbuka dalam keluarga mengenai pembagian peran sebelum persalinan terjadi, sebagai bagian dari persiapan menyeluruh menghadapi masa nifas.</w:t>
      </w:r>
    </w:p>
    <w:p>
      <w:pPr>
        <w:pStyle w:val="Heading2"/>
        <w:spacing w:after="160" w:before="320"/>
      </w:pPr>
      <w:r>
        <w:rPr>
          <w:rFonts w:ascii="Calibri" w:cs="Calibri" w:eastAsia="Calibri" w:hAnsi="Calibri"/>
          <w:b/>
          <w:bCs/>
          <w:color w:val="7A1F3D"/>
          <w:sz w:val="26"/>
          <w:szCs w:val="26"/>
        </w:rPr>
        <w:t xml:space="preserve">6.3 Psikoedukasi Terstruktur bagi Keluarga</w:t>
      </w:r>
    </w:p>
    <w:p>
      <w:pPr>
        <w:spacing w:after="200" w:line="300"/>
        <w:jc w:val="both"/>
      </w:pPr>
      <w:r>
        <w:rPr>
          <w:rFonts w:ascii="Calibri" w:cs="Calibri" w:eastAsia="Calibri" w:hAnsi="Calibri"/>
          <w:sz w:val="22"/>
          <w:szCs w:val="22"/>
        </w:rPr>
        <w:t xml:space="preserve">Psikoedukasi terstruktur bagi keluarga merupakan komponen penting yang idealnya diberikan secara proaktif, bukan hanya sebagai respons setelah gejala gangguan mental muncul. Materi psikoedukasi yang perlu disampaikan mencakup pemahaman dasar bahwa gangguan mental perinatal adalah kondisi medis yang nyata dan dapat ditangani, bukan kelemahan karakter atau kegagalan menjadi ibu yang baik; perbedaan antara baby blues yang normal dan tanda-tanda yang memerlukan perhatian medis segera; pentingnya tidak menghakimi atau meremehkan pengalaman ibu; serta informasi praktis mengenai kapan dan bagaimana mengakses bantuan profesional bila diperlukan.</w:t>
      </w:r>
    </w:p>
    <w:p>
      <w:pPr>
        <w:spacing w:after="200" w:line="300"/>
        <w:jc w:val="both"/>
      </w:pPr>
      <w:r>
        <w:rPr>
          <w:rFonts w:ascii="Calibri" w:cs="Calibri" w:eastAsia="Calibri" w:hAnsi="Calibri"/>
          <w:sz w:val="22"/>
          <w:szCs w:val="22"/>
        </w:rPr>
        <w:t xml:space="preserve">Psikoedukasi idealnya disampaikan pada beberapa titik waktu: selama kunjungan antenatal (terutama pada trimester ketiga saat mendekati persalinan), pada masa nifas dini sebagai bagian dari edukasi pemulangan pascasalin, dan diulang kembali pada kunjungan nifas lanjut mengingat sebagian keluarga mungkin belum sepenuhnya menyerap informasi yang diberikan pada masa kehamilan karena fokus perhatian yang saat itu masih tertuju pada persiapan persalinan.</w:t>
      </w:r>
    </w:p>
    <w:p>
      <w:pPr>
        <w:spacing w:after="200" w:line="300"/>
        <w:jc w:val="both"/>
      </w:pPr>
      <w:r>
        <w:rPr>
          <w:rFonts w:ascii="Calibri" w:cs="Calibri" w:eastAsia="Calibri" w:hAnsi="Calibri"/>
          <w:sz w:val="22"/>
          <w:szCs w:val="22"/>
        </w:rPr>
        <w:t xml:space="preserve">Format penyampaian psikoedukasi dapat disesuaikan dengan sumber daya fasilitas, mulai dari konseling langsung oleh dokter atau bidan terlatih, materi edukasi tertulis atau visual yang mudah dipahami, hingga sesi kelompok bagi calon orang tua yang memungkinkan berbagi pengalaman antarkeluarga. Prinsip yang perlu dipegang adalah bahwa psikoedukasi disampaikan dengan bahasa yang tidak menghakimi, menghormati konteks budaya keluarga, dan melibatkan pasangan secara setara — tidak hanya ditujukan kepada ibu semata, mengingat pasangan memiliki peran sentral sebagaimana diuraikan pada subbab sebelumnya.</w:t>
      </w:r>
    </w:p>
    <w:p>
      <w:pPr>
        <w:pStyle w:val="Heading2"/>
        <w:spacing w:after="160" w:before="320"/>
      </w:pPr>
      <w:r>
        <w:rPr>
          <w:rFonts w:ascii="Calibri" w:cs="Calibri" w:eastAsia="Calibri" w:hAnsi="Calibri"/>
          <w:b/>
          <w:bCs/>
          <w:color w:val="7A1F3D"/>
          <w:sz w:val="26"/>
          <w:szCs w:val="26"/>
        </w:rPr>
        <w:t xml:space="preserve">6.4 Pencegahan Kekambuhan Jangka Panjang</w:t>
      </w:r>
    </w:p>
    <w:p>
      <w:pPr>
        <w:spacing w:after="200" w:line="300"/>
        <w:jc w:val="both"/>
      </w:pPr>
      <w:r>
        <w:rPr>
          <w:rFonts w:ascii="Calibri" w:cs="Calibri" w:eastAsia="Calibri" w:hAnsi="Calibri"/>
          <w:sz w:val="22"/>
          <w:szCs w:val="22"/>
        </w:rPr>
        <w:t xml:space="preserve">Pencegahan kekambuhan jangka panjang gangguan mental perinatal memerlukan pendekatan yang berkelanjutan melampaui periode nifas akut, terutama bagi pasien dengan riwayat episode gangguan mental sebelumnya yang memiliki risiko kekambuhan lebih tinggi pada kehamilan berikutnya. Prinsip utama mencakup pemantauan berkelanjutan yang tidak berhenti setelah gejala akut mereda, kesinambungan terapi (baik farmakoterapi maupun psikoterapi) sesuai rencana yang disepakati bersama psikiater, serta perencanaan proaktif menjelang kehamilan berikutnya bagi pasien yang merencanakan kehamilan kembali di masa depan.</w:t>
      </w:r>
    </w:p>
    <w:p>
      <w:pPr>
        <w:spacing w:after="200" w:line="300"/>
        <w:jc w:val="both"/>
      </w:pPr>
      <w:r>
        <w:rPr>
          <w:rFonts w:ascii="Calibri" w:cs="Calibri" w:eastAsia="Calibri" w:hAnsi="Calibri"/>
          <w:sz w:val="22"/>
          <w:szCs w:val="22"/>
        </w:rPr>
        <w:t xml:space="preserve">Konseling prakonsepsi menjadi momen penting bagi pasien dengan riwayat gangguan mental perinatal, memungkinkan tim kesehatan merencanakan penyesuaian terapi, memperkuat jejaring dukungan keluarga, dan menyusun rencana pemantauan yang lebih intensif sejak awal kehamilan berikutnya — alih-alih menunggu gejala kekambuhan muncul kembali sebelum bertindak. Dokter Obstetri Ginekologi Sosial berperan penting menginisiasi percakapan ini pada kunjungan pascasalin lanjut atau kunjungan ginekologi rutin, mengingat banyak pasien tidak secara spontan mengungkapkan rencana kehamilan berikutnya tanpa ditanya secara aktif.</w:t>
      </w:r>
    </w:p>
    <w:p>
      <w:pPr>
        <w:spacing w:after="200" w:line="300"/>
        <w:jc w:val="both"/>
      </w:pPr>
      <w:r>
        <w:rPr>
          <w:rFonts w:ascii="Calibri" w:cs="Calibri" w:eastAsia="Calibri" w:hAnsi="Calibri"/>
          <w:sz w:val="22"/>
          <w:szCs w:val="22"/>
        </w:rPr>
        <w:t xml:space="preserve">Pada tingkat sistem layanan, pencegahan kekambuhan jangka panjang juga memerlukan kesinambungan pencatatan riwayat gangguan mental perinatal dalam rekam medis pasien secara jangka panjang — bukan hanya tercatat pada episode kehamilan tertentu — agar informasi ini tersedia dan mudah diakses oleh tenaga kesehatan mana pun yang menangani pasien pada kehamilan berikutnya, sejalan dengan prinsip kontinuitas asuhan yang menjadi ciri khas pendekatan biopsikososial Obstetri Ginekologi Sosial sebagaimana ditekankan di seluruh buku ini.</w:t>
      </w:r>
    </w:p>
    <w:p>
      <w:pPr>
        <w:spacing w:after="200" w:before="200"/>
      </w:pP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6F8" w:val="clear"/>
            <w:tcMar>
              <w:top w:type="dxa" w:w="200"/>
              <w:left w:type="dxa" w:w="200"/>
              <w:bottom w:type="dxa" w:w="200"/>
              <w:right w:type="dxa" w:w="200"/>
            </w:tcMar>
          </w:tcPr>
          <w:p>
            <w:pPr>
              <w:spacing w:after="120"/>
            </w:pPr>
            <w:r>
              <w:rPr>
                <w:rFonts w:ascii="Calibri" w:cs="Calibri" w:eastAsia="Calibri" w:hAnsi="Calibri"/>
                <w:b/>
                <w:bCs/>
                <w:color w:val="7A1F3D"/>
                <w:sz w:val="24"/>
                <w:szCs w:val="24"/>
              </w:rPr>
              <w:t xml:space="preserve">Poin Kunci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Pasangan dan keluarga inti adalah mitra strategis deteksi dini kekambuhan karena kontak yang jauh lebih intensif dibanding tenaga kesehatan.</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Tanda peringatan dini mencakup perubahan tidur abnormal, penarikan sosial, keputusasaan, penurunan kemampuan merawat diri/bayi, dan energi berlebihan tak wajar.</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Dukungan praktis keluarga: pembagian tugas perawatan bayi, bantuan rumah tangga, dukungan emosional, dan akses istirahat/nutrisi memadai.</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Psikoedukasi terstruktur idealnya diberikan proaktif pada beberapa titik waktu, bukan hanya sebagai respons setelah gejala muncul.</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Konseling prakonsepsi penting bagi pasien dengan riwayat gangguan mental perinatal yang merencanakan kehamilan berikutnya.</w:t>
            </w:r>
          </w:p>
          <w:p>
            <w:pPr>
              <w:spacing w:after="80" w:line="280"/>
            </w:pPr>
            <w:r>
              <w:rPr>
                <w:rFonts w:ascii="Calibri" w:cs="Calibri" w:eastAsia="Calibri" w:hAnsi="Calibri"/>
                <w:b/>
                <w:bCs/>
                <w:color w:val="7A1F3D"/>
                <w:sz w:val="22"/>
                <w:szCs w:val="22"/>
              </w:rPr>
              <w:t xml:space="preserve">• </w:t>
            </w:r>
            <w:r>
              <w:rPr>
                <w:rFonts w:ascii="Calibri" w:cs="Calibri" w:eastAsia="Calibri" w:hAnsi="Calibri"/>
                <w:sz w:val="22"/>
                <w:szCs w:val="22"/>
              </w:rPr>
              <w:t xml:space="preserve">Kontinuitas pencatatan riwayat gangguan mental perinatal jangka panjang mendukung pencegahan kekambuhan pada kehamilan berikutnya.</w:t>
            </w:r>
          </w:p>
        </w:tc>
      </w:tr>
    </w:tbl>
    <w:p>
      <w:pPr>
        <w:pBdr>
          <w:top w:val="single" w:color="CCCCCC" w:sz="4" w:space="4"/>
        </w:pBdr>
        <w:spacing w:after="120" w:before="300"/>
      </w:pPr>
      <w:r>
        <w:rPr>
          <w:rFonts w:ascii="Calibri" w:cs="Calibri" w:eastAsia="Calibri" w:hAnsi="Calibri"/>
          <w:b/>
          <w:bCs/>
          <w:color w:val="555555"/>
          <w:sz w:val="22"/>
          <w:szCs w:val="22"/>
        </w:rPr>
        <w:t xml:space="preserve">Referensi Bab 6</w:t>
      </w:r>
    </w:p>
    <w:p>
      <w:pPr>
        <w:spacing w:after="100" w:line="260"/>
        <w:ind w:left="360" w:hanging="360"/>
      </w:pPr>
      <w:r>
        <w:rPr>
          <w:rFonts w:ascii="Calibri" w:cs="Calibri" w:eastAsia="Calibri" w:hAnsi="Calibri"/>
          <w:color w:val="555555"/>
          <w:sz w:val="20"/>
          <w:szCs w:val="20"/>
        </w:rPr>
        <w:t xml:space="preserve">1. </w:t>
      </w:r>
      <w:r>
        <w:rPr>
          <w:rFonts w:ascii="Calibri" w:cs="Calibri" w:eastAsia="Calibri" w:hAnsi="Calibri"/>
          <w:color w:val="555555"/>
          <w:sz w:val="20"/>
          <w:szCs w:val="20"/>
        </w:rPr>
        <w:t xml:space="preserve">American College of Obstetricians and Gynecologists (ACOG). Screening and Diagnosis of Mental Health Conditions During Pregnancy and Postpartum: ACOG Clinical Practice Guideline No. 4. Obstet Gynecol. 2023;141(6):1232-1261. doi:10.1097/AOG.0000000000005200.</w:t>
      </w:r>
    </w:p>
    <w:p>
      <w:pPr>
        <w:spacing w:after="100" w:line="260"/>
        <w:ind w:left="360" w:hanging="360"/>
      </w:pPr>
      <w:r>
        <w:rPr>
          <w:rFonts w:ascii="Calibri" w:cs="Calibri" w:eastAsia="Calibri" w:hAnsi="Calibri"/>
          <w:color w:val="555555"/>
          <w:sz w:val="20"/>
          <w:szCs w:val="20"/>
        </w:rPr>
        <w:t xml:space="preserve">2. </w:t>
      </w:r>
      <w:r>
        <w:rPr>
          <w:rFonts w:ascii="Calibri" w:cs="Calibri" w:eastAsia="Calibri" w:hAnsi="Calibri"/>
          <w:color w:val="555555"/>
          <w:sz w:val="20"/>
          <w:szCs w:val="20"/>
        </w:rPr>
        <w:t xml:space="preserve">Berek JS, Berek DL, editors. Berek &amp; Novak's Gynecology. 17th ed. Philadelphia: Wolters Kluwer; 2023.</w:t>
      </w:r>
    </w:p>
    <w:p>
      <w:pPr>
        <w:spacing w:after="100" w:line="260"/>
        <w:ind w:left="360" w:hanging="360"/>
      </w:pPr>
      <w:r>
        <w:rPr>
          <w:rFonts w:ascii="Calibri" w:cs="Calibri" w:eastAsia="Calibri" w:hAnsi="Calibri"/>
          <w:color w:val="555555"/>
          <w:sz w:val="20"/>
          <w:szCs w:val="20"/>
        </w:rPr>
        <w:t xml:space="preserve">3.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w:t>
      </w:r>
    </w:p>
    <w:p>
      <w:pPr>
        <w:pStyle w:val="Heading1"/>
        <w:pBdr>
          <w:bottom w:val="single" w:color="7A1F3D" w:sz="12" w:space="6"/>
        </w:pBdr>
        <w:spacing w:after="240" w:before="400"/>
      </w:pPr>
      <w:r>
        <w:rPr>
          <w:rFonts w:ascii="Calibri" w:cs="Calibri" w:eastAsia="Calibri" w:hAnsi="Calibri"/>
          <w:b/>
          <w:bCs/>
          <w:color w:val="7A1F3D"/>
          <w:sz w:val="34"/>
          <w:szCs w:val="34"/>
        </w:rPr>
        <w:t xml:space="preserve">Glosarium</w:t>
      </w:r>
    </w:p>
    <w:p>
      <w:pPr>
        <w:spacing w:after="140" w:line="280"/>
      </w:pPr>
      <w:r>
        <w:rPr>
          <w:rFonts w:ascii="Calibri" w:cs="Calibri" w:eastAsia="Calibri" w:hAnsi="Calibri"/>
          <w:b/>
          <w:bCs/>
          <w:color w:val="7A1F3D"/>
          <w:sz w:val="22"/>
          <w:szCs w:val="22"/>
        </w:rPr>
        <w:t xml:space="preserve">Ambivalensi (kehamilan) — </w:t>
      </w:r>
      <w:r>
        <w:rPr>
          <w:rFonts w:ascii="Calibri" w:cs="Calibri" w:eastAsia="Calibri" w:hAnsi="Calibri"/>
          <w:sz w:val="22"/>
          <w:szCs w:val="22"/>
        </w:rPr>
        <w:t xml:space="preserve">Perasaan bercampur antara menerima dan menolak kehamilan yang sedang berlangsung.</w:t>
      </w:r>
    </w:p>
    <w:p>
      <w:pPr>
        <w:spacing w:after="140" w:line="280"/>
      </w:pPr>
      <w:r>
        <w:rPr>
          <w:rFonts w:ascii="Calibri" w:cs="Calibri" w:eastAsia="Calibri" w:hAnsi="Calibri"/>
          <w:b/>
          <w:bCs/>
          <w:color w:val="7A1F3D"/>
          <w:sz w:val="22"/>
          <w:szCs w:val="22"/>
        </w:rPr>
        <w:t xml:space="preserve">Antenatal — </w:t>
      </w:r>
      <w:r>
        <w:rPr>
          <w:rFonts w:ascii="Calibri" w:cs="Calibri" w:eastAsia="Calibri" w:hAnsi="Calibri"/>
          <w:sz w:val="22"/>
          <w:szCs w:val="22"/>
        </w:rPr>
        <w:t xml:space="preserve">Periode sebelum persalinan, merujuk pada masa kehamilan.</w:t>
      </w:r>
    </w:p>
    <w:p>
      <w:pPr>
        <w:spacing w:after="140" w:line="280"/>
      </w:pPr>
      <w:r>
        <w:rPr>
          <w:rFonts w:ascii="Calibri" w:cs="Calibri" w:eastAsia="Calibri" w:hAnsi="Calibri"/>
          <w:b/>
          <w:bCs/>
          <w:color w:val="7A1F3D"/>
          <w:sz w:val="22"/>
          <w:szCs w:val="22"/>
        </w:rPr>
        <w:t xml:space="preserve">Baby blues — </w:t>
      </w:r>
      <w:r>
        <w:rPr>
          <w:rFonts w:ascii="Calibri" w:cs="Calibri" w:eastAsia="Calibri" w:hAnsi="Calibri"/>
          <w:sz w:val="22"/>
          <w:szCs w:val="22"/>
        </w:rPr>
        <w:t xml:space="preserve">Perubahan suasana hati ringan dan sementara yang dialami sebagian besar perempuan pascasalin, mereda spontan dalam kurang dari dua minggu.</w:t>
      </w:r>
    </w:p>
    <w:p>
      <w:pPr>
        <w:spacing w:after="140" w:line="280"/>
      </w:pPr>
      <w:r>
        <w:rPr>
          <w:rFonts w:ascii="Calibri" w:cs="Calibri" w:eastAsia="Calibri" w:hAnsi="Calibri"/>
          <w:b/>
          <w:bCs/>
          <w:color w:val="7A1F3D"/>
          <w:sz w:val="22"/>
          <w:szCs w:val="22"/>
        </w:rPr>
        <w:t xml:space="preserve">Bonding (ikatan ibu-bayi) — </w:t>
      </w:r>
      <w:r>
        <w:rPr>
          <w:rFonts w:ascii="Calibri" w:cs="Calibri" w:eastAsia="Calibri" w:hAnsi="Calibri"/>
          <w:sz w:val="22"/>
          <w:szCs w:val="22"/>
        </w:rPr>
        <w:t xml:space="preserve">Proses pembentukan kedekatan emosional antara ibu dan bayi sejak periode awal pascasalin.</w:t>
      </w:r>
    </w:p>
    <w:p>
      <w:pPr>
        <w:spacing w:after="140" w:line="280"/>
      </w:pPr>
      <w:r>
        <w:rPr>
          <w:rFonts w:ascii="Calibri" w:cs="Calibri" w:eastAsia="Calibri" w:hAnsi="Calibri"/>
          <w:b/>
          <w:bCs/>
          <w:color w:val="7A1F3D"/>
          <w:sz w:val="22"/>
          <w:szCs w:val="22"/>
        </w:rPr>
        <w:t xml:space="preserve">Case conference — </w:t>
      </w:r>
      <w:r>
        <w:rPr>
          <w:rFonts w:ascii="Calibri" w:cs="Calibri" w:eastAsia="Calibri" w:hAnsi="Calibri"/>
          <w:sz w:val="22"/>
          <w:szCs w:val="22"/>
        </w:rPr>
        <w:t xml:space="preserve">Pertemuan kasus lintas profesi untuk membahas rencana asuhan pasien secara kolaboratif.</w:t>
      </w:r>
    </w:p>
    <w:p>
      <w:pPr>
        <w:spacing w:after="140" w:line="280"/>
      </w:pPr>
      <w:r>
        <w:rPr>
          <w:rFonts w:ascii="Calibri" w:cs="Calibri" w:eastAsia="Calibri" w:hAnsi="Calibri"/>
          <w:b/>
          <w:bCs/>
          <w:color w:val="7A1F3D"/>
          <w:sz w:val="22"/>
          <w:szCs w:val="22"/>
        </w:rPr>
        <w:t xml:space="preserve">Cut-off (ambang skor) — </w:t>
      </w:r>
      <w:r>
        <w:rPr>
          <w:rFonts w:ascii="Calibri" w:cs="Calibri" w:eastAsia="Calibri" w:hAnsi="Calibri"/>
          <w:sz w:val="22"/>
          <w:szCs w:val="22"/>
        </w:rPr>
        <w:t xml:space="preserve">Nilai skor tertentu pada instrumen skrining yang digunakan sebagai batas untuk menentukan perlunya tindak lanjut klinis.</w:t>
      </w:r>
    </w:p>
    <w:p>
      <w:pPr>
        <w:spacing w:after="140" w:line="280"/>
      </w:pPr>
      <w:r>
        <w:rPr>
          <w:rFonts w:ascii="Calibri" w:cs="Calibri" w:eastAsia="Calibri" w:hAnsi="Calibri"/>
          <w:b/>
          <w:bCs/>
          <w:color w:val="7A1F3D"/>
          <w:sz w:val="22"/>
          <w:szCs w:val="22"/>
        </w:rPr>
        <w:t xml:space="preserve">Depresi postpartum — </w:t>
      </w:r>
      <w:r>
        <w:rPr>
          <w:rFonts w:ascii="Calibri" w:cs="Calibri" w:eastAsia="Calibri" w:hAnsi="Calibri"/>
          <w:sz w:val="22"/>
          <w:szCs w:val="22"/>
        </w:rPr>
        <w:t xml:space="preserve">Episode depresi mayor dengan onset selama kehamilan atau pascasalin, menetap lebih dari dua minggu dan mengganggu fungsi harian.</w:t>
      </w:r>
    </w:p>
    <w:p>
      <w:pPr>
        <w:spacing w:after="140" w:line="280"/>
      </w:pPr>
      <w:r>
        <w:rPr>
          <w:rFonts w:ascii="Calibri" w:cs="Calibri" w:eastAsia="Calibri" w:hAnsi="Calibri"/>
          <w:b/>
          <w:bCs/>
          <w:color w:val="7A1F3D"/>
          <w:sz w:val="22"/>
          <w:szCs w:val="22"/>
        </w:rPr>
        <w:t xml:space="preserve">Detection gap — </w:t>
      </w:r>
      <w:r>
        <w:rPr>
          <w:rFonts w:ascii="Calibri" w:cs="Calibri" w:eastAsia="Calibri" w:hAnsi="Calibri"/>
          <w:sz w:val="22"/>
          <w:szCs w:val="22"/>
        </w:rPr>
        <w:t xml:space="preserve">Kesenjangan antara jumlah kasus gangguan mental yang sesungguhnya ada dengan jumlah kasus yang berhasil terdeteksi oleh layanan kesehatan.</w:t>
      </w:r>
    </w:p>
    <w:p>
      <w:pPr>
        <w:spacing w:after="140" w:line="280"/>
      </w:pPr>
      <w:r>
        <w:rPr>
          <w:rFonts w:ascii="Calibri" w:cs="Calibri" w:eastAsia="Calibri" w:hAnsi="Calibri"/>
          <w:b/>
          <w:bCs/>
          <w:color w:val="7A1F3D"/>
          <w:sz w:val="22"/>
          <w:szCs w:val="22"/>
        </w:rPr>
        <w:t xml:space="preserve">Farmakoterapi — </w:t>
      </w:r>
      <w:r>
        <w:rPr>
          <w:rFonts w:ascii="Calibri" w:cs="Calibri" w:eastAsia="Calibri" w:hAnsi="Calibri"/>
          <w:sz w:val="22"/>
          <w:szCs w:val="22"/>
        </w:rPr>
        <w:t xml:space="preserve">Tata laksana menggunakan obat-obatan.</w:t>
      </w:r>
    </w:p>
    <w:p>
      <w:pPr>
        <w:spacing w:after="140" w:line="280"/>
      </w:pPr>
      <w:r>
        <w:rPr>
          <w:rFonts w:ascii="Calibri" w:cs="Calibri" w:eastAsia="Calibri" w:hAnsi="Calibri"/>
          <w:b/>
          <w:bCs/>
          <w:color w:val="7A1F3D"/>
          <w:sz w:val="22"/>
          <w:szCs w:val="22"/>
        </w:rPr>
        <w:t xml:space="preserve">Infantisida — </w:t>
      </w:r>
      <w:r>
        <w:rPr>
          <w:rFonts w:ascii="Calibri" w:cs="Calibri" w:eastAsia="Calibri" w:hAnsi="Calibri"/>
          <w:sz w:val="22"/>
          <w:szCs w:val="22"/>
        </w:rPr>
        <w:t xml:space="preserve">Tindakan membahayakan atau mengakhiri nyawa bayi, risiko yang meningkat pada psikosis postpartum berat.</w:t>
      </w:r>
    </w:p>
    <w:p>
      <w:pPr>
        <w:spacing w:after="140" w:line="280"/>
      </w:pPr>
      <w:r>
        <w:rPr>
          <w:rFonts w:ascii="Calibri" w:cs="Calibri" w:eastAsia="Calibri" w:hAnsi="Calibri"/>
          <w:b/>
          <w:bCs/>
          <w:color w:val="7A1F3D"/>
          <w:sz w:val="22"/>
          <w:szCs w:val="22"/>
        </w:rPr>
        <w:t xml:space="preserve">Kolaborasi biopsikososial — </w:t>
      </w:r>
      <w:r>
        <w:rPr>
          <w:rFonts w:ascii="Calibri" w:cs="Calibri" w:eastAsia="Calibri" w:hAnsi="Calibri"/>
          <w:sz w:val="22"/>
          <w:szCs w:val="22"/>
        </w:rPr>
        <w:t xml:space="preserve">Model asuhan yang mengintegrasikan aspek biologis, psikologis, dan sosial secara terpadu antarprofesi.</w:t>
      </w:r>
    </w:p>
    <w:p>
      <w:pPr>
        <w:spacing w:after="140" w:line="280"/>
      </w:pPr>
      <w:r>
        <w:rPr>
          <w:rFonts w:ascii="Calibri" w:cs="Calibri" w:eastAsia="Calibri" w:hAnsi="Calibri"/>
          <w:b/>
          <w:bCs/>
          <w:color w:val="7A1F3D"/>
          <w:sz w:val="22"/>
          <w:szCs w:val="22"/>
        </w:rPr>
        <w:t xml:space="preserve">Konseling prakonsepsi — </w:t>
      </w:r>
      <w:r>
        <w:rPr>
          <w:rFonts w:ascii="Calibri" w:cs="Calibri" w:eastAsia="Calibri" w:hAnsi="Calibri"/>
          <w:sz w:val="22"/>
          <w:szCs w:val="22"/>
        </w:rPr>
        <w:t xml:space="preserve">Konseling yang diberikan sebelum kehamilan terjadi untuk merencanakan kesehatan ibu dan janin.</w:t>
      </w:r>
    </w:p>
    <w:p>
      <w:pPr>
        <w:spacing w:after="140" w:line="280"/>
      </w:pPr>
      <w:r>
        <w:rPr>
          <w:rFonts w:ascii="Calibri" w:cs="Calibri" w:eastAsia="Calibri" w:hAnsi="Calibri"/>
          <w:b/>
          <w:bCs/>
          <w:color w:val="7A1F3D"/>
          <w:sz w:val="22"/>
          <w:szCs w:val="22"/>
        </w:rPr>
        <w:t xml:space="preserve">Mood stabilizer — </w:t>
      </w:r>
      <w:r>
        <w:rPr>
          <w:rFonts w:ascii="Calibri" w:cs="Calibri" w:eastAsia="Calibri" w:hAnsi="Calibri"/>
          <w:sz w:val="22"/>
          <w:szCs w:val="22"/>
        </w:rPr>
        <w:t xml:space="preserve">Golongan obat psikiatri yang digunakan untuk menstabilkan suasana hati, terutama pada gangguan bipolar.</w:t>
      </w:r>
    </w:p>
    <w:p>
      <w:pPr>
        <w:spacing w:after="140" w:line="280"/>
      </w:pPr>
      <w:r>
        <w:rPr>
          <w:rFonts w:ascii="Calibri" w:cs="Calibri" w:eastAsia="Calibri" w:hAnsi="Calibri"/>
          <w:b/>
          <w:bCs/>
          <w:color w:val="7A1F3D"/>
          <w:sz w:val="22"/>
          <w:szCs w:val="22"/>
        </w:rPr>
        <w:t xml:space="preserve">Nifas (puerperium) — </w:t>
      </w:r>
      <w:r>
        <w:rPr>
          <w:rFonts w:ascii="Calibri" w:cs="Calibri" w:eastAsia="Calibri" w:hAnsi="Calibri"/>
          <w:sz w:val="22"/>
          <w:szCs w:val="22"/>
        </w:rPr>
        <w:t xml:space="preserve">Masa pemulihan setelah persalinan, umumnya berlangsung hingga enam minggu, meski kesehatan mental perinatal dipantau hingga satu tahun pascasalin.</w:t>
      </w:r>
    </w:p>
    <w:p>
      <w:pPr>
        <w:spacing w:after="140" w:line="280"/>
      </w:pPr>
      <w:r>
        <w:rPr>
          <w:rFonts w:ascii="Calibri" w:cs="Calibri" w:eastAsia="Calibri" w:hAnsi="Calibri"/>
          <w:b/>
          <w:bCs/>
          <w:color w:val="7A1F3D"/>
          <w:sz w:val="22"/>
          <w:szCs w:val="22"/>
        </w:rPr>
        <w:t xml:space="preserve">Postnatal — </w:t>
      </w:r>
      <w:r>
        <w:rPr>
          <w:rFonts w:ascii="Calibri" w:cs="Calibri" w:eastAsia="Calibri" w:hAnsi="Calibri"/>
          <w:sz w:val="22"/>
          <w:szCs w:val="22"/>
        </w:rPr>
        <w:t xml:space="preserve">Periode setelah persalinan, sering dipakai bergantian dengan istilah postpartum.</w:t>
      </w:r>
    </w:p>
    <w:p>
      <w:pPr>
        <w:spacing w:after="140" w:line="280"/>
      </w:pPr>
      <w:r>
        <w:rPr>
          <w:rFonts w:ascii="Calibri" w:cs="Calibri" w:eastAsia="Calibri" w:hAnsi="Calibri"/>
          <w:b/>
          <w:bCs/>
          <w:color w:val="7A1F3D"/>
          <w:sz w:val="22"/>
          <w:szCs w:val="22"/>
        </w:rPr>
        <w:t xml:space="preserve">Psikoedukasi — </w:t>
      </w:r>
      <w:r>
        <w:rPr>
          <w:rFonts w:ascii="Calibri" w:cs="Calibri" w:eastAsia="Calibri" w:hAnsi="Calibri"/>
          <w:sz w:val="22"/>
          <w:szCs w:val="22"/>
        </w:rPr>
        <w:t xml:space="preserve">Pemberian informasi terstruktur mengenai suatu kondisi kesehatan kepada pasien dan/atau keluarga sebagai bagian dari tata laksana.</w:t>
      </w:r>
    </w:p>
    <w:p>
      <w:pPr>
        <w:spacing w:after="140" w:line="280"/>
      </w:pPr>
      <w:r>
        <w:rPr>
          <w:rFonts w:ascii="Calibri" w:cs="Calibri" w:eastAsia="Calibri" w:hAnsi="Calibri"/>
          <w:b/>
          <w:bCs/>
          <w:color w:val="7A1F3D"/>
          <w:sz w:val="22"/>
          <w:szCs w:val="22"/>
        </w:rPr>
        <w:t xml:space="preserve">Psikosis postpartum — </w:t>
      </w:r>
      <w:r>
        <w:rPr>
          <w:rFonts w:ascii="Calibri" w:cs="Calibri" w:eastAsia="Calibri" w:hAnsi="Calibri"/>
          <w:sz w:val="22"/>
          <w:szCs w:val="22"/>
        </w:rPr>
        <w:t xml:space="preserve">Kegawatdaruratan psikiatri dengan onset akut pascasalin, ditandai waham, halusinasi, dan disorganisasi pikiran.</w:t>
      </w:r>
    </w:p>
    <w:p>
      <w:pPr>
        <w:spacing w:after="140" w:line="280"/>
      </w:pPr>
      <w:r>
        <w:rPr>
          <w:rFonts w:ascii="Calibri" w:cs="Calibri" w:eastAsia="Calibri" w:hAnsi="Calibri"/>
          <w:b/>
          <w:bCs/>
          <w:color w:val="7A1F3D"/>
          <w:sz w:val="22"/>
          <w:szCs w:val="22"/>
        </w:rPr>
        <w:t xml:space="preserve">Rujukan mendesak — </w:t>
      </w:r>
      <w:r>
        <w:rPr>
          <w:rFonts w:ascii="Calibri" w:cs="Calibri" w:eastAsia="Calibri" w:hAnsi="Calibri"/>
          <w:sz w:val="22"/>
          <w:szCs w:val="22"/>
        </w:rPr>
        <w:t xml:space="preserve">Rujukan yang memerlukan akses konsultasi psikiatri dalam hitungan jam hingga maksimal satu hari.</w:t>
      </w:r>
    </w:p>
    <w:p>
      <w:pPr>
        <w:spacing w:after="140" w:line="280"/>
      </w:pPr>
      <w:r>
        <w:rPr>
          <w:rFonts w:ascii="Calibri" w:cs="Calibri" w:eastAsia="Calibri" w:hAnsi="Calibri"/>
          <w:b/>
          <w:bCs/>
          <w:color w:val="7A1F3D"/>
          <w:sz w:val="22"/>
          <w:szCs w:val="22"/>
        </w:rPr>
        <w:t xml:space="preserve">Rujukan terjadwal — </w:t>
      </w:r>
      <w:r>
        <w:rPr>
          <w:rFonts w:ascii="Calibri" w:cs="Calibri" w:eastAsia="Calibri" w:hAnsi="Calibri"/>
          <w:sz w:val="22"/>
          <w:szCs w:val="22"/>
        </w:rPr>
        <w:t xml:space="preserve">Rujukan yang dapat dijadwalkan dalam rentang beberapa hari hingga dua minggu tanpa risiko memburuk akut.</w:t>
      </w:r>
    </w:p>
    <w:p>
      <w:pPr>
        <w:spacing w:after="140" w:line="280"/>
      </w:pPr>
      <w:r>
        <w:rPr>
          <w:rFonts w:ascii="Calibri" w:cs="Calibri" w:eastAsia="Calibri" w:hAnsi="Calibri"/>
          <w:b/>
          <w:bCs/>
          <w:color w:val="7A1F3D"/>
          <w:sz w:val="22"/>
          <w:szCs w:val="22"/>
        </w:rPr>
        <w:t xml:space="preserve">Skrining — </w:t>
      </w:r>
      <w:r>
        <w:rPr>
          <w:rFonts w:ascii="Calibri" w:cs="Calibri" w:eastAsia="Calibri" w:hAnsi="Calibri"/>
          <w:sz w:val="22"/>
          <w:szCs w:val="22"/>
        </w:rPr>
        <w:t xml:space="preserve">Proses sistematis menggunakan instrumen terstandar untuk mengidentifikasi kemungkinan suatu kondisi pada populasi tanpa gejala jelas.</w:t>
      </w:r>
    </w:p>
    <w:p>
      <w:pPr>
        <w:spacing w:after="140" w:line="280"/>
      </w:pPr>
      <w:r>
        <w:rPr>
          <w:rFonts w:ascii="Calibri" w:cs="Calibri" w:eastAsia="Calibri" w:hAnsi="Calibri"/>
          <w:b/>
          <w:bCs/>
          <w:color w:val="7A1F3D"/>
          <w:sz w:val="22"/>
          <w:szCs w:val="22"/>
        </w:rPr>
        <w:t xml:space="preserve">Telepsychiatry — </w:t>
      </w:r>
      <w:r>
        <w:rPr>
          <w:rFonts w:ascii="Calibri" w:cs="Calibri" w:eastAsia="Calibri" w:hAnsi="Calibri"/>
          <w:sz w:val="22"/>
          <w:szCs w:val="22"/>
        </w:rPr>
        <w:t xml:space="preserve">Layanan konsultasi psikiatri jarak jauh menggunakan teknologi komunikasi.</w:t>
      </w:r>
    </w:p>
    <w:p>
      <w:pPr>
        <w:pStyle w:val="Heading1"/>
        <w:pageBreakBefore/>
        <w:spacing w:after="240"/>
      </w:pPr>
      <w:r>
        <w:rPr>
          <w:rFonts w:ascii="Calibri" w:cs="Calibri" w:eastAsia="Calibri" w:hAnsi="Calibri"/>
          <w:b/>
          <w:bCs/>
          <w:color w:val="7A1F3D"/>
          <w:sz w:val="34"/>
          <w:szCs w:val="34"/>
        </w:rPr>
        <w:t xml:space="preserve">Daftar Pustaka</w:t>
      </w:r>
    </w:p>
    <w:p>
      <w:pPr>
        <w:spacing w:after="140" w:line="280"/>
        <w:ind w:left="360" w:hanging="360"/>
      </w:pPr>
      <w:r>
        <w:rPr>
          <w:rFonts w:ascii="Calibri" w:cs="Calibri" w:eastAsia="Calibri" w:hAnsi="Calibri"/>
          <w:sz w:val="21"/>
          <w:szCs w:val="21"/>
        </w:rPr>
        <w:t xml:space="preserve">1. </w:t>
      </w:r>
      <w:r>
        <w:rPr>
          <w:rFonts w:ascii="Calibri" w:cs="Calibri" w:eastAsia="Calibri" w:hAnsi="Calibri"/>
          <w:sz w:val="21"/>
          <w:szCs w:val="21"/>
        </w:rPr>
        <w:t xml:space="preserve">Konsil Kesehatan Indonesia. Keputusan Ketua Konsil Kesehatan Indonesia Nomor HK.01.02/KKI/1318/2026 tentang Standar Kompetensi Dokter Spesialis dan Subspesialis Bidang Obstetri dan Ginekologi, Tabel 19 (Kompetensi Penatalaksanaan Klinis) dan Tabel 25 (Kompetensi Prosedur Klinis) Subspesialis Obstetri Ginekologi Sosial.</w:t>
      </w:r>
    </w:p>
    <w:p>
      <w:pPr>
        <w:spacing w:after="140" w:line="280"/>
        <w:ind w:left="360" w:hanging="360"/>
      </w:pPr>
      <w:r>
        <w:rPr>
          <w:rFonts w:ascii="Calibri" w:cs="Calibri" w:eastAsia="Calibri" w:hAnsi="Calibri"/>
          <w:sz w:val="21"/>
          <w:szCs w:val="21"/>
        </w:rPr>
        <w:t xml:space="preserve">2. </w:t>
      </w:r>
      <w:r>
        <w:rPr>
          <w:rFonts w:ascii="Calibri" w:cs="Calibri" w:eastAsia="Calibri" w:hAnsi="Calibri"/>
          <w:sz w:val="21"/>
          <w:szCs w:val="21"/>
        </w:rPr>
        <w:t xml:space="preserve">Republik Indonesia. Undang-Undang Nomor 17 Tahun 2023 tentang Kesehatan. Tersedia pada: https://peraturan.bpk.go.id/Download/314883/UU%20Nomor%2017%20Tahun%202023.pdf</w:t>
      </w:r>
    </w:p>
    <w:p>
      <w:pPr>
        <w:spacing w:after="140" w:line="280"/>
        <w:ind w:left="360" w:hanging="360"/>
      </w:pPr>
      <w:r>
        <w:rPr>
          <w:rFonts w:ascii="Calibri" w:cs="Calibri" w:eastAsia="Calibri" w:hAnsi="Calibri"/>
          <w:sz w:val="21"/>
          <w:szCs w:val="21"/>
        </w:rPr>
        <w:t xml:space="preserve">3. </w:t>
      </w:r>
      <w:r>
        <w:rPr>
          <w:rFonts w:ascii="Calibri" w:cs="Calibri" w:eastAsia="Calibri" w:hAnsi="Calibri"/>
          <w:sz w:val="21"/>
          <w:szCs w:val="21"/>
        </w:rPr>
        <w:t xml:space="preserve">Republik Indonesia. Peraturan Pemerintah Nomor 28 Tahun 2024 tentang Peraturan Pelaksanaan Undang-Undang Nomor 17 Tahun 2023 tentang Kesehatan. Tersedia pada: https://peraturan.bpk.go.id/Details/294077/pp-no-28-tahun-2024</w:t>
      </w:r>
    </w:p>
    <w:p>
      <w:pPr>
        <w:spacing w:after="140" w:line="280"/>
        <w:ind w:left="360" w:hanging="360"/>
      </w:pPr>
      <w:r>
        <w:rPr>
          <w:rFonts w:ascii="Calibri" w:cs="Calibri" w:eastAsia="Calibri" w:hAnsi="Calibri"/>
          <w:sz w:val="21"/>
          <w:szCs w:val="21"/>
        </w:rPr>
        <w:t xml:space="preserve">4. </w:t>
      </w:r>
      <w:r>
        <w:rPr>
          <w:rFonts w:ascii="Calibri" w:cs="Calibri" w:eastAsia="Calibri" w:hAnsi="Calibri"/>
          <w:sz w:val="21"/>
          <w:szCs w:val="21"/>
        </w:rPr>
        <w:t xml:space="preserve">Cunningham FG, Leveno KJ, Dashe JS, et al., editors. Williams Obstetrics. 26th ed. New York: McGraw Hill; 2022.</w:t>
      </w:r>
    </w:p>
    <w:p>
      <w:pPr>
        <w:spacing w:after="140" w:line="280"/>
        <w:ind w:left="360" w:hanging="360"/>
      </w:pPr>
      <w:r>
        <w:rPr>
          <w:rFonts w:ascii="Calibri" w:cs="Calibri" w:eastAsia="Calibri" w:hAnsi="Calibri"/>
          <w:sz w:val="21"/>
          <w:szCs w:val="21"/>
        </w:rPr>
        <w:t xml:space="preserve">5. </w:t>
      </w:r>
      <w:r>
        <w:rPr>
          <w:rFonts w:ascii="Calibri" w:cs="Calibri" w:eastAsia="Calibri" w:hAnsi="Calibri"/>
          <w:sz w:val="21"/>
          <w:szCs w:val="21"/>
        </w:rPr>
        <w:t xml:space="preserve">Berek JS, Berek DL, editors. Berek &amp; Novak's Gynecology. 17th ed. Philadelphia: Wolters Kluwer; 2023.</w:t>
      </w:r>
    </w:p>
    <w:p>
      <w:pPr>
        <w:spacing w:after="140" w:line="280"/>
        <w:ind w:left="360" w:hanging="360"/>
      </w:pPr>
      <w:r>
        <w:rPr>
          <w:rFonts w:ascii="Calibri" w:cs="Calibri" w:eastAsia="Calibri" w:hAnsi="Calibri"/>
          <w:sz w:val="21"/>
          <w:szCs w:val="21"/>
        </w:rPr>
        <w:t xml:space="preserve">6. </w:t>
      </w:r>
      <w:r>
        <w:rPr>
          <w:rFonts w:ascii="Calibri" w:cs="Calibri" w:eastAsia="Calibri" w:hAnsi="Calibri"/>
          <w:sz w:val="21"/>
          <w:szCs w:val="21"/>
        </w:rPr>
        <w:t xml:space="preserve">American College of Obstetricians and Gynecologists (ACOG). Screening and Diagnosis of Mental Health Conditions During Pregnancy and Postpartum: ACOG Clinical Practice Guideline No. 4. Obstet Gynecol. 2023;141(6):1232-1261. doi:10.1097/AOG.0000000000005200. Tersedia pada: https://www.acog.org/clinical/clinical-guidance/clinical-practice-guideline/articles/2023/06/screening-and-diagnosis-of-mental-health-conditions-during-pregnancy-and-postpartum</w:t>
      </w:r>
    </w:p>
    <w:p>
      <w:pPr>
        <w:spacing w:after="140" w:line="280"/>
        <w:ind w:left="360" w:hanging="360"/>
      </w:pPr>
      <w:r>
        <w:rPr>
          <w:rFonts w:ascii="Calibri" w:cs="Calibri" w:eastAsia="Calibri" w:hAnsi="Calibri"/>
          <w:sz w:val="21"/>
          <w:szCs w:val="21"/>
        </w:rPr>
        <w:t xml:space="preserve">7. </w:t>
      </w:r>
      <w:r>
        <w:rPr>
          <w:rFonts w:ascii="Calibri" w:cs="Calibri" w:eastAsia="Calibri" w:hAnsi="Calibri"/>
          <w:sz w:val="21"/>
          <w:szCs w:val="21"/>
        </w:rPr>
        <w:t xml:space="preserve">American College of Obstetricians and Gynecologists (ACOG). Treatment and Management of Mental Health Conditions During Pregnancy and Postpartum: ACOG Clinical Practice Guideline No. 5. Obstet Gynecol. 2023;141(6):1262-1288. doi:10.1097/AOG.0000000000005202. Tersedia pada: https://www.acog.org/clinical/clinical-guidance/clinical-practice-guideline/articles/2023/06/treatment-and-management-of-mental-health-conditions-during-pregnancy-and-postpartum</w:t>
      </w:r>
    </w:p>
    <w:p>
      <w:pPr>
        <w:spacing w:after="140" w:line="280"/>
        <w:ind w:left="360" w:hanging="360"/>
      </w:pPr>
      <w:r>
        <w:rPr>
          <w:rFonts w:ascii="Calibri" w:cs="Calibri" w:eastAsia="Calibri" w:hAnsi="Calibri"/>
          <w:sz w:val="21"/>
          <w:szCs w:val="21"/>
        </w:rPr>
        <w:t xml:space="preserve">8. </w:t>
      </w:r>
      <w:r>
        <w:rPr>
          <w:rFonts w:ascii="Calibri" w:cs="Calibri" w:eastAsia="Calibri" w:hAnsi="Calibri"/>
          <w:sz w:val="21"/>
          <w:szCs w:val="21"/>
        </w:rPr>
        <w:t xml:space="preserve">World Health Organization (WHO). mhGAP Intervention Guide for Mental, Neurological and Substance Use Disorders in Non-Specialized Health Settings, Version 2.0. Geneva: WHO; 2016. Tersedia pada: https://www.who.int/publications/i/item/9789241549790</w:t>
      </w:r>
    </w:p>
    <w:p>
      <w:pPr>
        <w:spacing w:after="140" w:line="280"/>
        <w:ind w:left="360" w:hanging="360"/>
      </w:pPr>
      <w:r>
        <w:rPr>
          <w:rFonts w:ascii="Calibri" w:cs="Calibri" w:eastAsia="Calibri" w:hAnsi="Calibri"/>
          <w:sz w:val="21"/>
          <w:szCs w:val="21"/>
        </w:rPr>
        <w:t xml:space="preserve">9. </w:t>
      </w:r>
      <w:r>
        <w:rPr>
          <w:rFonts w:ascii="Calibri" w:cs="Calibri" w:eastAsia="Calibri" w:hAnsi="Calibri"/>
          <w:sz w:val="21"/>
          <w:szCs w:val="21"/>
        </w:rPr>
        <w:t xml:space="preserve">Cox JL, Holden JM, Sagovsky R. Detection of postnatal depression: development of the 10-item Edinburgh Postnatal Depression Scale. Br J Psychiatry. 1987;150:782-786. doi:10.1192/bjp.150.6.782</w:t>
      </w:r>
    </w:p>
    <w:p>
      <w:pPr>
        <w:spacing w:after="140" w:line="280"/>
        <w:ind w:left="360" w:hanging="360"/>
      </w:pPr>
      <w:r>
        <w:rPr>
          <w:rFonts w:ascii="Calibri" w:cs="Calibri" w:eastAsia="Calibri" w:hAnsi="Calibri"/>
          <w:sz w:val="21"/>
          <w:szCs w:val="21"/>
        </w:rPr>
        <w:t xml:space="preserve">10. </w:t>
      </w:r>
      <w:r>
        <w:rPr>
          <w:rFonts w:ascii="Calibri" w:cs="Calibri" w:eastAsia="Calibri" w:hAnsi="Calibri"/>
          <w:sz w:val="21"/>
          <w:szCs w:val="21"/>
        </w:rPr>
        <w:t xml:space="preserve">Spitzer RL, Kroenke K, Williams JBW, Löwe B. A brief measure for assessing generalized anxiety disorder: the GAD-7. Arch Intern Med. 2006;166(10):1092-1097. doi:10.1001/archinte.166.10.1092</w:t>
      </w:r>
    </w:p>
    <w:p>
      <w:pPr>
        <w:spacing w:after="140" w:line="280"/>
        <w:ind w:left="360" w:hanging="360"/>
      </w:pPr>
      <w:r>
        <w:rPr>
          <w:rFonts w:ascii="Calibri" w:cs="Calibri" w:eastAsia="Calibri" w:hAnsi="Calibri"/>
          <w:sz w:val="21"/>
          <w:szCs w:val="21"/>
        </w:rPr>
        <w:t xml:space="preserve">11. </w:t>
      </w:r>
      <w:r>
        <w:rPr>
          <w:rFonts w:ascii="Calibri" w:cs="Calibri" w:eastAsia="Calibri" w:hAnsi="Calibri"/>
          <w:sz w:val="21"/>
          <w:szCs w:val="21"/>
        </w:rPr>
        <w:t xml:space="preserve">Republik Indonesia. Undang-Undang Nomor 12 Tahun 2022 tentang Tindak Pidana Kekerasan Seksual (UU TPKS). Tersedia pada: https://peraturan.bpk.go.id/Download/202006/UU%20Nomor%2012%20Tahun%202022.pdf</w:t>
      </w:r>
    </w:p>
    <w:p>
      <w:pPr>
        <w:spacing w:after="140" w:line="280"/>
        <w:ind w:left="360" w:hanging="360"/>
      </w:pPr>
      <w:r>
        <w:rPr>
          <w:rFonts w:ascii="Calibri" w:cs="Calibri" w:eastAsia="Calibri" w:hAnsi="Calibri"/>
          <w:sz w:val="21"/>
          <w:szCs w:val="21"/>
        </w:rPr>
        <w:t xml:space="preserve">12. </w:t>
      </w:r>
      <w:r>
        <w:rPr>
          <w:rFonts w:ascii="Calibri" w:cs="Calibri" w:eastAsia="Calibri" w:hAnsi="Calibri"/>
          <w:sz w:val="21"/>
          <w:szCs w:val="21"/>
        </w:rPr>
        <w:t xml:space="preserve">Republik Indonesia. Undang-Undang Nomor 23 Tahun 2004 tentang Penghapusan Kekerasan Dalam Rumah Tangga (UU PKDRT). Tersedia pada: https://peraturan.bpk.go.id/Download/30306/UU%20Nomor%2023%20Tahun%202004.pdf</w:t>
      </w:r>
    </w:p>
    <w:p>
      <w:pPr>
        <w:spacing w:after="140" w:line="280"/>
        <w:ind w:left="360" w:hanging="360"/>
      </w:pPr>
      <w:r>
        <w:rPr>
          <w:rFonts w:ascii="Calibri" w:cs="Calibri" w:eastAsia="Calibri" w:hAnsi="Calibri"/>
          <w:sz w:val="21"/>
          <w:szCs w:val="21"/>
        </w:rPr>
        <w:t xml:space="preserve">13. </w:t>
      </w:r>
      <w:r>
        <w:rPr>
          <w:rFonts w:ascii="Calibri" w:cs="Calibri" w:eastAsia="Calibri" w:hAnsi="Calibri"/>
          <w:sz w:val="21"/>
          <w:szCs w:val="21"/>
        </w:rPr>
        <w:t xml:space="preserve">Kementerian Kesehatan Republik Indonesia. Pedoman Pelayanan Kesehatan Reproduksi Terpadu di Tingkat Pelayanan Kesehatan Dasar dan Rujukan.</w:t>
      </w:r>
    </w:p>
    <w:p>
      <w:pPr>
        <w:spacing w:after="140" w:line="280"/>
        <w:ind w:left="360" w:hanging="360"/>
      </w:pPr>
      <w:r>
        <w:rPr>
          <w:rFonts w:ascii="Calibri" w:cs="Calibri" w:eastAsia="Calibri" w:hAnsi="Calibri"/>
          <w:sz w:val="21"/>
          <w:szCs w:val="21"/>
        </w:rPr>
        <w:t xml:space="preserve">14. </w:t>
      </w:r>
      <w:r>
        <w:rPr>
          <w:rFonts w:ascii="Calibri" w:cs="Calibri" w:eastAsia="Calibri" w:hAnsi="Calibri"/>
          <w:sz w:val="21"/>
          <w:szCs w:val="21"/>
        </w:rPr>
        <w:t xml:space="preserve">Perkumpulan Obstetri dan Ginekologi Indonesia (POGI). Tersedia pada: https://www.pogi.or.id/</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jc w:val="right"/>
    </w:pPr>
    <w:r>
      <w:rPr>
        <w:rFonts w:ascii="Calibri" w:cs="Calibri" w:eastAsia="Calibri" w:hAnsi="Calibri"/>
        <w:color w:val="555555"/>
        <w:sz w:val="16"/>
        <w:szCs w:val="16"/>
      </w:rPr>
      <w:t xml:space="preserve">Kesehatan Mental Perinatal — Seri Obstetri Ginekologi Sosial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2026-08-01T00:00:07.192Z</dcterms:created>
  <dcterms:modified xsi:type="dcterms:W3CDTF">2026-08-01T00:00:07.206Z</dcterms:modified>
</cp:coreProperties>
</file>

<file path=docProps/custom.xml><?xml version="1.0" encoding="utf-8"?>
<Properties xmlns="http://schemas.openxmlformats.org/officeDocument/2006/custom-properties" xmlns:vt="http://schemas.openxmlformats.org/officeDocument/2006/docPropsVTypes"/>
</file>