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left w:val="none"/>
          <w:bottom w:val="none"/>
          <w:right w:val="none"/>
          <w:insideH w:val="none"/>
          <w:insideV w:val="none"/>
        </w:tblBorders>
      </w:tblPr>
      <w:tblGrid>
        <w:gridCol w:w="100"/>
      </w:tblGrid>
      <w:tr>
        <w:tc>
          <w:tcPr>
            <w:shd w:fill="7A1F3D" w:val="clear"/>
            <w:tcMar>
              <w:top w:type="dxa" w:w="1400"/>
              <w:left w:type="dxa" w:w="900"/>
              <w:bottom w:type="dxa" w:w="1400"/>
              <w:right w:type="dxa" w:w="900"/>
            </w:tcMar>
          </w:tcPr>
          <w:p>
            <w:pPr>
              <w:spacing w:after="120"/>
            </w:pPr>
            <w:r>
              <w:rPr>
                <w:rFonts w:ascii="Calibri" w:cs="Calibri" w:eastAsia="Calibri" w:hAnsi="Calibri"/>
                <w:b/>
                <w:bCs/>
                <w:color w:val="FFFFFF"/>
                <w:sz w:val="20"/>
                <w:szCs w:val="20"/>
              </w:rPr>
              <w:t xml:space="preserve">SERI BUKU AJAR OBSTETRI GINEKOLOGI SOSIAL — BUKU 7 DARI 13 BUKU TEMATIK</w:t>
            </w:r>
          </w:p>
          <w:p>
            <w:pPr>
              <w:spacing w:after="60"/>
            </w:pPr>
            <w:r>
              <w:rPr>
                <w:rFonts w:ascii="Calibri" w:cs="Calibri" w:eastAsia="Calibri" w:hAnsi="Calibri"/>
                <w:b/>
                <w:bCs/>
                <w:color w:val="FFFFFF"/>
                <w:sz w:val="56"/>
                <w:szCs w:val="56"/>
              </w:rPr>
              <w:t xml:space="preserve">Kesehatan Reproduksi Remaja</w:t>
            </w:r>
          </w:p>
          <w:p>
            <w:pPr>
              <w:spacing w:after="300"/>
            </w:pPr>
            <w:r>
              <w:rPr>
                <w:rFonts w:ascii="Calibri" w:cs="Calibri" w:eastAsia="Calibri" w:hAnsi="Calibri"/>
                <w:i/>
                <w:iCs/>
                <w:color w:val="F3DCE4"/>
                <w:sz w:val="26"/>
                <w:szCs w:val="26"/>
              </w:rPr>
              <w:t xml:space="preserve">Pendekatan Biopsikososial pada Pelayanan Kesehatan Reproduksi Ramah Remaja</w:t>
            </w:r>
          </w:p>
          <w:p>
            <w:pPr>
              <w:spacing w:after="60"/>
            </w:pPr>
            <w:r>
              <w:rPr>
                <w:rFonts w:ascii="Calibri" w:cs="Calibri" w:eastAsia="Calibri" w:hAnsi="Calibri"/>
                <w:b/>
                <w:bCs/>
                <w:color w:val="FFFFFF"/>
                <w:sz w:val="24"/>
                <w:szCs w:val="24"/>
              </w:rPr>
              <w:t xml:space="preserve">Dr.dr. Budi Siswanto, Sp.OG., Subsp.Obginsos., SH., S.Kom.</w:t>
            </w:r>
          </w:p>
          <w:p>
            <w:pPr>
              <w:spacing w:after="20"/>
            </w:pPr>
            <w:r>
              <w:rPr>
                <w:rFonts w:ascii="Calibri" w:cs="Calibri" w:eastAsia="Calibri" w:hAnsi="Calibri"/>
                <w:color w:val="F3DCE4"/>
                <w:sz w:val="22"/>
                <w:szCs w:val="22"/>
              </w:rPr>
              <w:t xml:space="preserve">Perpustakaan ABBA</w:t>
            </w:r>
          </w:p>
          <w:p>
            <w:pPr>
              <w:spacing w:after="20"/>
            </w:pPr>
            <w:r>
              <w:rPr>
                <w:rFonts w:ascii="Calibri" w:cs="Calibri" w:eastAsia="Calibri" w:hAnsi="Calibri"/>
                <w:color w:val="F3DCE4"/>
                <w:sz w:val="22"/>
                <w:szCs w:val="22"/>
              </w:rPr>
              <w:t xml:space="preserve">Jl Danau Kerinci No 9 Malang</w:t>
            </w:r>
          </w:p>
          <w:p>
            <w:pPr>
              <w:spacing w:after="300"/>
            </w:pPr>
            <w:r>
              <w:rPr>
                <w:rFonts w:ascii="Calibri" w:cs="Calibri" w:eastAsia="Calibri" w:hAnsi="Calibri"/>
                <w:color w:val="F3DCE4"/>
                <w:sz w:val="22"/>
                <w:szCs w:val="22"/>
              </w:rPr>
              <w:t xml:space="preserve">Tahun Penyusunan 2026</w:t>
            </w:r>
          </w:p>
          <w:p>
            <w:r>
              <w:rPr>
                <w:rFonts w:ascii="Calibri" w:cs="Calibri" w:eastAsia="Calibri" w:hAnsi="Calibri"/>
                <w:i/>
                <w:iCs/>
                <w:color w:val="FFFFFF"/>
                <w:sz w:val="22"/>
                <w:szCs w:val="22"/>
              </w:rPr>
              <w:t xml:space="preserve">Disusun untuk Program Pendidikan Dokter Subspesialis Obstetri Ginekologi Sosial</w:t>
            </w:r>
          </w:p>
        </w:tc>
      </w:tr>
    </w:tbl>
    <w:p>
      <w:r>
        <w:br w:type="page"/>
      </w:r>
    </w:p>
    <w:p>
      <w:pPr>
        <w:pStyle w:val="Heading1"/>
        <w:pBdr>
          <w:bottom w:val="single" w:color="7A1F3D" w:sz="12" w:space="8"/>
        </w:pBdr>
        <w:spacing w:after="240" w:before="240"/>
      </w:pPr>
      <w:r>
        <w:rPr>
          <w:rFonts w:ascii="Calibri" w:cs="Calibri" w:eastAsia="Calibri" w:hAnsi="Calibri"/>
          <w:b/>
          <w:bCs/>
          <w:color w:val="7A1F3D"/>
          <w:sz w:val="34"/>
          <w:szCs w:val="34"/>
        </w:rPr>
        <w:t xml:space="preserve">Kata Pengantar</w:t>
      </w:r>
    </w:p>
    <w:p>
      <w:pPr>
        <w:spacing w:after="160" w:line="288"/>
        <w:jc w:val="both"/>
      </w:pPr>
      <w:r>
        <w:rPr>
          <w:rFonts w:ascii="Calibri" w:cs="Calibri" w:eastAsia="Calibri" w:hAnsi="Calibri"/>
          <w:sz w:val="22"/>
          <w:szCs w:val="22"/>
        </w:rPr>
        <w:t xml:space="preserve">Buku ketujuh dari seri Buku Ajar Obstetri Ginekologi Sosial ini membahas kesehatan reproduksi remaja sebagai salah satu ranah klinis-preventif yang menuntut kepekaan biopsikososial tertinggi. Remaja bukan "orang dewasa kecil" maupun "anak besar"; mereka menjalani transisi biologis, kognitif, emosional, dan sosial yang unik, sehingga pendekatan pelayanan kesehatan reproduksi bagi kelompok usia ini harus dirancang secara khusus, ramah, dan tidak menghakimi.</w:t>
      </w:r>
    </w:p>
    <w:p>
      <w:pPr>
        <w:spacing w:after="160" w:line="288"/>
        <w:jc w:val="both"/>
      </w:pPr>
      <w:r>
        <w:rPr>
          <w:rFonts w:ascii="Calibri" w:cs="Calibri" w:eastAsia="Calibri" w:hAnsi="Calibri"/>
          <w:sz w:val="22"/>
          <w:szCs w:val="22"/>
        </w:rPr>
        <w:t xml:space="preserve">Buku ini disusun sebagai bahan ajar bagi peserta Program Pendidikan Dokter Subspesialis Obstetri Ginekologi Sosial semester awal, dengan menautkan standar internasional—terutama Global Standards for Quality Health-Care Services for Adolescents dari World Health Organization—dengan realitas regulasi, budaya, dan sistem pelayanan kesehatan di Indonesia. Setiap bab memadukan uraian teoritis, contoh kasus ilustratif yang telah disamarkan sepenuhnya, serta kotak-kotak reflektif yang membantu pembaca menautkan teori dengan praktik klinis sehari-hari.</w:t>
      </w:r>
    </w:p>
    <w:p>
      <w:pPr>
        <w:spacing w:after="160" w:line="288"/>
        <w:jc w:val="both"/>
      </w:pPr>
      <w:r>
        <w:rPr>
          <w:rFonts w:ascii="Calibri" w:cs="Calibri" w:eastAsia="Calibri" w:hAnsi="Calibri"/>
          <w:sz w:val="22"/>
          <w:szCs w:val="22"/>
        </w:rPr>
        <w:t xml:space="preserve">Semoga buku ini bermanfaat bagi peserta didik, dokter Sp.OG di lapangan, maupun dosen dan penguji program studi, dalam mewujudkan pelayanan kesehatan reproduksi remaja yang aman, bermutu, dan berpihak pada kepentingan terbaik remaja.</w:t>
      </w:r>
    </w:p>
    <w:p>
      <w:pPr>
        <w:spacing w:before="300"/>
        <w:jc w:val="right"/>
      </w:pPr>
      <w:r>
        <w:rPr>
          <w:rFonts w:ascii="Calibri" w:cs="Calibri" w:eastAsia="Calibri" w:hAnsi="Calibri"/>
          <w:sz w:val="22"/>
          <w:szCs w:val="22"/>
        </w:rPr>
        <w:t xml:space="preserve">Malang, 2026</w:t>
      </w:r>
    </w:p>
    <w:p>
      <w:pPr>
        <w:jc w:val="right"/>
      </w:pPr>
      <w:r>
        <w:rPr>
          <w:rFonts w:ascii="Calibri" w:cs="Calibri" w:eastAsia="Calibri" w:hAnsi="Calibri"/>
          <w:sz w:val="22"/>
          <w:szCs w:val="22"/>
        </w:rPr>
        <w:t xml:space="preserve">Penulis</w:t>
      </w:r>
    </w:p>
    <w:p>
      <w:r>
        <w:br w:type="page"/>
      </w:r>
    </w:p>
    <w:p>
      <w:pPr>
        <w:pStyle w:val="Heading1"/>
        <w:pBdr>
          <w:bottom w:val="single" w:color="7A1F3D" w:sz="12" w:space="8"/>
        </w:pBdr>
        <w:spacing w:after="240" w:before="240"/>
      </w:pPr>
      <w:r>
        <w:rPr>
          <w:rFonts w:ascii="Calibri" w:cs="Calibri" w:eastAsia="Calibri" w:hAnsi="Calibri"/>
          <w:b/>
          <w:bCs/>
          <w:color w:val="7A1F3D"/>
          <w:sz w:val="34"/>
          <w:szCs w:val="34"/>
        </w:rPr>
        <w:t xml:space="preserve">Daftar Isi</w:t>
      </w:r>
    </w:p>
    <w:sdt>
      <w:sdtPr>
        <w:alias w:val="Daftar Isi"/>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7A1F3D" w:sz="12" w:space="8"/>
        </w:pBdr>
        <w:spacing w:after="240" w:before="240"/>
      </w:pPr>
      <w:r>
        <w:rPr>
          <w:rFonts w:ascii="Calibri" w:cs="Calibri" w:eastAsia="Calibri" w:hAnsi="Calibri"/>
          <w:b/>
          <w:bCs/>
          <w:color w:val="7A1F3D"/>
          <w:sz w:val="34"/>
          <w:szCs w:val="34"/>
        </w:rPr>
        <w:t xml:space="preserve">Daftar Singkatan dan Istilah</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200"/>
        <w:gridCol w:w="6800"/>
      </w:tblGrid>
      <w:tr>
        <w:trPr>
          <w:tblHeader/>
        </w:trPr>
        <w:tc>
          <w:tcPr>
            <w:tcW w:type="dxa" w:w="2200"/>
            <w:shd w:fill="7A1F3D" w:val="clear"/>
          </w:tcPr>
          <w:p>
            <w:r>
              <w:rPr>
                <w:rFonts w:ascii="Calibri" w:cs="Calibri" w:eastAsia="Calibri" w:hAnsi="Calibri"/>
                <w:b/>
                <w:bCs/>
                <w:color w:val="FFFFFF"/>
                <w:sz w:val="21"/>
                <w:szCs w:val="21"/>
              </w:rPr>
              <w:t xml:space="preserve">Singkatan</w:t>
            </w:r>
          </w:p>
        </w:tc>
        <w:tc>
          <w:tcPr>
            <w:tcW w:type="dxa" w:w="6800"/>
            <w:shd w:fill="7A1F3D" w:val="clear"/>
          </w:tcPr>
          <w:p>
            <w:r>
              <w:rPr>
                <w:rFonts w:ascii="Calibri" w:cs="Calibri" w:eastAsia="Calibri" w:hAnsi="Calibri"/>
                <w:b/>
                <w:bCs/>
                <w:color w:val="FFFFFF"/>
                <w:sz w:val="21"/>
                <w:szCs w:val="21"/>
              </w:rPr>
              <w:t xml:space="preserve">Kepanjangan / Istilah</w:t>
            </w:r>
          </w:p>
        </w:tc>
      </w:tr>
      <w:tr>
        <w:tc>
          <w:tcPr>
            <w:tcW w:type="dxa" w:w="2200"/>
            <w:shd w:fill="FFFFFF" w:val="clear"/>
          </w:tcPr>
          <w:p>
            <w:r>
              <w:rPr>
                <w:rFonts w:ascii="Calibri" w:cs="Calibri" w:eastAsia="Calibri" w:hAnsi="Calibri"/>
                <w:b/>
                <w:bCs/>
                <w:sz w:val="20"/>
                <w:szCs w:val="20"/>
              </w:rPr>
              <w:t xml:space="preserve">PKPR</w:t>
            </w:r>
          </w:p>
        </w:tc>
        <w:tc>
          <w:tcPr>
            <w:tcW w:type="dxa" w:w="6800"/>
            <w:shd w:fill="FFFFFF" w:val="clear"/>
          </w:tcPr>
          <w:p>
            <w:r>
              <w:rPr>
                <w:rFonts w:ascii="Calibri" w:cs="Calibri" w:eastAsia="Calibri" w:hAnsi="Calibri"/>
                <w:sz w:val="20"/>
                <w:szCs w:val="20"/>
              </w:rPr>
              <w:t xml:space="preserve">Pelayanan Kesehatan Peduli Remaja (program Puskesmas ramah remaja di Indonesia)</w:t>
            </w:r>
          </w:p>
        </w:tc>
      </w:tr>
      <w:tr>
        <w:tc>
          <w:tcPr>
            <w:tcW w:type="dxa" w:w="2200"/>
            <w:shd w:fill="F2F2F2" w:val="clear"/>
          </w:tcPr>
          <w:p>
            <w:r>
              <w:rPr>
                <w:rFonts w:ascii="Calibri" w:cs="Calibri" w:eastAsia="Calibri" w:hAnsi="Calibri"/>
                <w:b/>
                <w:bCs/>
                <w:sz w:val="20"/>
                <w:szCs w:val="20"/>
              </w:rPr>
              <w:t xml:space="preserve">UKS</w:t>
            </w:r>
          </w:p>
        </w:tc>
        <w:tc>
          <w:tcPr>
            <w:tcW w:type="dxa" w:w="6800"/>
            <w:shd w:fill="F2F2F2" w:val="clear"/>
          </w:tcPr>
          <w:p>
            <w:r>
              <w:rPr>
                <w:rFonts w:ascii="Calibri" w:cs="Calibri" w:eastAsia="Calibri" w:hAnsi="Calibri"/>
                <w:sz w:val="20"/>
                <w:szCs w:val="20"/>
              </w:rPr>
              <w:t xml:space="preserve">Usaha Kesehatan Sekolah</w:t>
            </w:r>
          </w:p>
        </w:tc>
      </w:tr>
      <w:tr>
        <w:tc>
          <w:tcPr>
            <w:tcW w:type="dxa" w:w="2200"/>
            <w:shd w:fill="FFFFFF" w:val="clear"/>
          </w:tcPr>
          <w:p>
            <w:r>
              <w:rPr>
                <w:rFonts w:ascii="Calibri" w:cs="Calibri" w:eastAsia="Calibri" w:hAnsi="Calibri"/>
                <w:b/>
                <w:bCs/>
                <w:sz w:val="20"/>
                <w:szCs w:val="20"/>
              </w:rPr>
              <w:t xml:space="preserve">WHO</w:t>
            </w:r>
          </w:p>
        </w:tc>
        <w:tc>
          <w:tcPr>
            <w:tcW w:type="dxa" w:w="6800"/>
            <w:shd w:fill="FFFFFF" w:val="clear"/>
          </w:tcPr>
          <w:p>
            <w:r>
              <w:rPr>
                <w:rFonts w:ascii="Calibri" w:cs="Calibri" w:eastAsia="Calibri" w:hAnsi="Calibri"/>
                <w:sz w:val="20"/>
                <w:szCs w:val="20"/>
              </w:rPr>
              <w:t xml:space="preserve">World Health Organization</w:t>
            </w:r>
          </w:p>
        </w:tc>
      </w:tr>
      <w:tr>
        <w:tc>
          <w:tcPr>
            <w:tcW w:type="dxa" w:w="2200"/>
            <w:shd w:fill="F2F2F2" w:val="clear"/>
          </w:tcPr>
          <w:p>
            <w:r>
              <w:rPr>
                <w:rFonts w:ascii="Calibri" w:cs="Calibri" w:eastAsia="Calibri" w:hAnsi="Calibri"/>
                <w:b/>
                <w:bCs/>
                <w:sz w:val="20"/>
                <w:szCs w:val="20"/>
              </w:rPr>
              <w:t xml:space="preserve">LARC</w:t>
            </w:r>
          </w:p>
        </w:tc>
        <w:tc>
          <w:tcPr>
            <w:tcW w:type="dxa" w:w="6800"/>
            <w:shd w:fill="F2F2F2" w:val="clear"/>
          </w:tcPr>
          <w:p>
            <w:r>
              <w:rPr>
                <w:rFonts w:ascii="Calibri" w:cs="Calibri" w:eastAsia="Calibri" w:hAnsi="Calibri"/>
                <w:sz w:val="20"/>
                <w:szCs w:val="20"/>
              </w:rPr>
              <w:t xml:space="preserve">Long-Acting Reversible Contraception (kontrasepsi reversibel jangka panjang)</w:t>
            </w:r>
          </w:p>
        </w:tc>
      </w:tr>
      <w:tr>
        <w:tc>
          <w:tcPr>
            <w:tcW w:type="dxa" w:w="2200"/>
            <w:shd w:fill="FFFFFF" w:val="clear"/>
          </w:tcPr>
          <w:p>
            <w:r>
              <w:rPr>
                <w:rFonts w:ascii="Calibri" w:cs="Calibri" w:eastAsia="Calibri" w:hAnsi="Calibri"/>
                <w:b/>
                <w:bCs/>
                <w:sz w:val="20"/>
                <w:szCs w:val="20"/>
              </w:rPr>
              <w:t xml:space="preserve">AKDR</w:t>
            </w:r>
          </w:p>
        </w:tc>
        <w:tc>
          <w:tcPr>
            <w:tcW w:type="dxa" w:w="6800"/>
            <w:shd w:fill="FFFFFF" w:val="clear"/>
          </w:tcPr>
          <w:p>
            <w:r>
              <w:rPr>
                <w:rFonts w:ascii="Calibri" w:cs="Calibri" w:eastAsia="Calibri" w:hAnsi="Calibri"/>
                <w:sz w:val="20"/>
                <w:szCs w:val="20"/>
              </w:rPr>
              <w:t xml:space="preserve">Alat Kontrasepsi Dalam Rahim</w:t>
            </w:r>
          </w:p>
        </w:tc>
      </w:tr>
      <w:tr>
        <w:tc>
          <w:tcPr>
            <w:tcW w:type="dxa" w:w="2200"/>
            <w:shd w:fill="F2F2F2" w:val="clear"/>
          </w:tcPr>
          <w:p>
            <w:r>
              <w:rPr>
                <w:rFonts w:ascii="Calibri" w:cs="Calibri" w:eastAsia="Calibri" w:hAnsi="Calibri"/>
                <w:b/>
                <w:bCs/>
                <w:sz w:val="20"/>
                <w:szCs w:val="20"/>
              </w:rPr>
              <w:t xml:space="preserve">IMS</w:t>
            </w:r>
          </w:p>
        </w:tc>
        <w:tc>
          <w:tcPr>
            <w:tcW w:type="dxa" w:w="6800"/>
            <w:shd w:fill="F2F2F2" w:val="clear"/>
          </w:tcPr>
          <w:p>
            <w:r>
              <w:rPr>
                <w:rFonts w:ascii="Calibri" w:cs="Calibri" w:eastAsia="Calibri" w:hAnsi="Calibri"/>
                <w:sz w:val="20"/>
                <w:szCs w:val="20"/>
              </w:rPr>
              <w:t xml:space="preserve">Infeksi Menular Seksual</w:t>
            </w:r>
          </w:p>
        </w:tc>
      </w:tr>
      <w:tr>
        <w:tc>
          <w:tcPr>
            <w:tcW w:type="dxa" w:w="2200"/>
            <w:shd w:fill="FFFFFF" w:val="clear"/>
          </w:tcPr>
          <w:p>
            <w:r>
              <w:rPr>
                <w:rFonts w:ascii="Calibri" w:cs="Calibri" w:eastAsia="Calibri" w:hAnsi="Calibri"/>
                <w:b/>
                <w:bCs/>
                <w:sz w:val="20"/>
                <w:szCs w:val="20"/>
              </w:rPr>
              <w:t xml:space="preserve">KTD</w:t>
            </w:r>
          </w:p>
        </w:tc>
        <w:tc>
          <w:tcPr>
            <w:tcW w:type="dxa" w:w="6800"/>
            <w:shd w:fill="FFFFFF" w:val="clear"/>
          </w:tcPr>
          <w:p>
            <w:r>
              <w:rPr>
                <w:rFonts w:ascii="Calibri" w:cs="Calibri" w:eastAsia="Calibri" w:hAnsi="Calibri"/>
                <w:sz w:val="20"/>
                <w:szCs w:val="20"/>
              </w:rPr>
              <w:t xml:space="preserve">Kehamilan Tidak Diinginkan</w:t>
            </w:r>
          </w:p>
        </w:tc>
      </w:tr>
      <w:tr>
        <w:tc>
          <w:tcPr>
            <w:tcW w:type="dxa" w:w="2200"/>
            <w:shd w:fill="F2F2F2" w:val="clear"/>
          </w:tcPr>
          <w:p>
            <w:r>
              <w:rPr>
                <w:rFonts w:ascii="Calibri" w:cs="Calibri" w:eastAsia="Calibri" w:hAnsi="Calibri"/>
                <w:b/>
                <w:bCs/>
                <w:sz w:val="20"/>
                <w:szCs w:val="20"/>
              </w:rPr>
              <w:t xml:space="preserve">POGI</w:t>
            </w:r>
          </w:p>
        </w:tc>
        <w:tc>
          <w:tcPr>
            <w:tcW w:type="dxa" w:w="6800"/>
            <w:shd w:fill="F2F2F2" w:val="clear"/>
          </w:tcPr>
          <w:p>
            <w:r>
              <w:rPr>
                <w:rFonts w:ascii="Calibri" w:cs="Calibri" w:eastAsia="Calibri" w:hAnsi="Calibri"/>
                <w:sz w:val="20"/>
                <w:szCs w:val="20"/>
              </w:rPr>
              <w:t xml:space="preserve">Perkumpulan Obstetri dan Ginekologi Indonesia</w:t>
            </w:r>
          </w:p>
        </w:tc>
      </w:tr>
      <w:tr>
        <w:tc>
          <w:tcPr>
            <w:tcW w:type="dxa" w:w="2200"/>
            <w:shd w:fill="FFFFFF" w:val="clear"/>
          </w:tcPr>
          <w:p>
            <w:r>
              <w:rPr>
                <w:rFonts w:ascii="Calibri" w:cs="Calibri" w:eastAsia="Calibri" w:hAnsi="Calibri"/>
                <w:b/>
                <w:bCs/>
                <w:sz w:val="20"/>
                <w:szCs w:val="20"/>
              </w:rPr>
              <w:t xml:space="preserve">Sp.OG.</w:t>
            </w:r>
          </w:p>
        </w:tc>
        <w:tc>
          <w:tcPr>
            <w:tcW w:type="dxa" w:w="6800"/>
            <w:shd w:fill="FFFFFF" w:val="clear"/>
          </w:tcPr>
          <w:p>
            <w:r>
              <w:rPr>
                <w:rFonts w:ascii="Calibri" w:cs="Calibri" w:eastAsia="Calibri" w:hAnsi="Calibri"/>
                <w:sz w:val="20"/>
                <w:szCs w:val="20"/>
              </w:rPr>
              <w:t xml:space="preserve">Spesialis Obstetri dan Ginekologi</w:t>
            </w:r>
          </w:p>
        </w:tc>
      </w:tr>
      <w:tr>
        <w:tc>
          <w:tcPr>
            <w:tcW w:type="dxa" w:w="2200"/>
            <w:shd w:fill="F2F2F2" w:val="clear"/>
          </w:tcPr>
          <w:p>
            <w:r>
              <w:rPr>
                <w:rFonts w:ascii="Calibri" w:cs="Calibri" w:eastAsia="Calibri" w:hAnsi="Calibri"/>
                <w:b/>
                <w:bCs/>
                <w:sz w:val="20"/>
                <w:szCs w:val="20"/>
              </w:rPr>
              <w:t xml:space="preserve">Obginsos</w:t>
            </w:r>
          </w:p>
        </w:tc>
        <w:tc>
          <w:tcPr>
            <w:tcW w:type="dxa" w:w="6800"/>
            <w:shd w:fill="F2F2F2" w:val="clear"/>
          </w:tcPr>
          <w:p>
            <w:r>
              <w:rPr>
                <w:rFonts w:ascii="Calibri" w:cs="Calibri" w:eastAsia="Calibri" w:hAnsi="Calibri"/>
                <w:sz w:val="20"/>
                <w:szCs w:val="20"/>
              </w:rPr>
              <w:t xml:space="preserve">Obstetri Ginekologi Sosial</w:t>
            </w:r>
          </w:p>
        </w:tc>
      </w:tr>
      <w:tr>
        <w:tc>
          <w:tcPr>
            <w:tcW w:type="dxa" w:w="2200"/>
            <w:shd w:fill="FFFFFF" w:val="clear"/>
          </w:tcPr>
          <w:p>
            <w:r>
              <w:rPr>
                <w:rFonts w:ascii="Calibri" w:cs="Calibri" w:eastAsia="Calibri" w:hAnsi="Calibri"/>
                <w:b/>
                <w:bCs/>
                <w:sz w:val="20"/>
                <w:szCs w:val="20"/>
              </w:rPr>
              <w:t xml:space="preserve">KIE</w:t>
            </w:r>
          </w:p>
        </w:tc>
        <w:tc>
          <w:tcPr>
            <w:tcW w:type="dxa" w:w="6800"/>
            <w:shd w:fill="FFFFFF" w:val="clear"/>
          </w:tcPr>
          <w:p>
            <w:r>
              <w:rPr>
                <w:rFonts w:ascii="Calibri" w:cs="Calibri" w:eastAsia="Calibri" w:hAnsi="Calibri"/>
                <w:sz w:val="20"/>
                <w:szCs w:val="20"/>
              </w:rPr>
              <w:t xml:space="preserve">Komunikasi, Informasi, dan Edukasi</w:t>
            </w:r>
          </w:p>
        </w:tc>
      </w:tr>
      <w:tr>
        <w:tc>
          <w:tcPr>
            <w:tcW w:type="dxa" w:w="2200"/>
            <w:shd w:fill="F2F2F2" w:val="clear"/>
          </w:tcPr>
          <w:p>
            <w:r>
              <w:rPr>
                <w:rFonts w:ascii="Calibri" w:cs="Calibri" w:eastAsia="Calibri" w:hAnsi="Calibri"/>
                <w:b/>
                <w:bCs/>
                <w:sz w:val="20"/>
                <w:szCs w:val="20"/>
              </w:rPr>
              <w:t xml:space="preserve">SRHR</w:t>
            </w:r>
          </w:p>
        </w:tc>
        <w:tc>
          <w:tcPr>
            <w:tcW w:type="dxa" w:w="6800"/>
            <w:shd w:fill="F2F2F2" w:val="clear"/>
          </w:tcPr>
          <w:p>
            <w:r>
              <w:rPr>
                <w:rFonts w:ascii="Calibri" w:cs="Calibri" w:eastAsia="Calibri" w:hAnsi="Calibri"/>
                <w:sz w:val="20"/>
                <w:szCs w:val="20"/>
              </w:rPr>
              <w:t xml:space="preserve">Sexual and Reproductive Health and Rights</w:t>
            </w:r>
          </w:p>
        </w:tc>
      </w:tr>
    </w:tbl>
    <w:p>
      <w:r>
        <w:br w:type="page"/>
      </w:r>
    </w:p>
    <w:p>
      <w:pPr>
        <w:pStyle w:val="Heading1"/>
        <w:pBdr>
          <w:bottom w:val="single" w:color="7A1F3D" w:sz="12" w:space="8"/>
        </w:pBdr>
        <w:spacing w:after="240" w:before="240"/>
      </w:pPr>
      <w:r>
        <w:rPr>
          <w:rFonts w:ascii="Calibri" w:cs="Calibri" w:eastAsia="Calibri" w:hAnsi="Calibri"/>
          <w:b/>
          <w:bCs/>
          <w:color w:val="7A1F3D"/>
          <w:sz w:val="34"/>
          <w:szCs w:val="34"/>
        </w:rPr>
        <w:t xml:space="preserve">Bab 1. Prinsip Pelayanan Kesehatan Reproduksi Ramah Remaja</w:t>
      </w:r>
    </w:p>
    <w:tbl>
      <w:tblPr>
        <w:tblW w:type="pct" w:w="100%"/>
        <w:tblBorders>
          <w:top w:val="single" w:color="7A1F3D" w:sz="4"/>
          <w:left w:val="single" w:color="7A1F3D" w:sz="24"/>
          <w:bottom w:val="single" w:color="7A1F3D" w:sz="4"/>
          <w:right w:val="single" w:color="7A1F3D" w:sz="4"/>
          <w:insideH w:val="single" w:color="auto" w:sz="4"/>
          <w:insideV w:val="single" w:color="auto" w:sz="4"/>
        </w:tblBorders>
      </w:tblPr>
      <w:tblGrid>
        <w:gridCol w:w="100"/>
      </w:tblGrid>
      <w:tr>
        <w:tc>
          <w:tcPr>
            <w:shd w:fill="F3E3EA" w:val="clear"/>
            <w:tcMar>
              <w:top w:type="dxa" w:w="160"/>
              <w:left w:type="dxa" w:w="220"/>
              <w:bottom w:type="dxa" w:w="160"/>
              <w:right w:type="dxa" w:w="220"/>
            </w:tcMar>
          </w:tcPr>
          <w:p>
            <w:pPr>
              <w:spacing w:after="100"/>
            </w:pPr>
            <w:r>
              <w:rPr>
                <w:rFonts w:ascii="Calibri" w:cs="Calibri" w:eastAsia="Calibri" w:hAnsi="Calibri"/>
                <w:b/>
                <w:bCs/>
                <w:color w:val="7A1F3D"/>
                <w:sz w:val="22"/>
                <w:szCs w:val="22"/>
              </w:rPr>
              <w:t xml:space="preserve">Tujuan Pembelajaran Bab</w:t>
            </w:r>
          </w:p>
          <w:p>
            <w:pPr>
              <w:pStyle w:val="ListParagraph"/>
              <w:numPr>
                <w:ilvl w:val="0"/>
                <w:numId w:val="2"/>
              </w:numPr>
              <w:spacing w:after="60"/>
            </w:pPr>
            <w:r>
              <w:rPr>
                <w:rFonts w:ascii="Calibri" w:cs="Calibri" w:eastAsia="Calibri" w:hAnsi="Calibri"/>
                <w:sz w:val="21"/>
                <w:szCs w:val="21"/>
              </w:rPr>
              <w:t xml:space="preserve">Menjelaskan konsep dan prinsip dasar pelayanan kesehatan ramah remaja (adolescent-friendly health services).</w:t>
            </w:r>
          </w:p>
          <w:p>
            <w:pPr>
              <w:pStyle w:val="ListParagraph"/>
              <w:numPr>
                <w:ilvl w:val="0"/>
                <w:numId w:val="2"/>
              </w:numPr>
              <w:spacing w:after="60"/>
            </w:pPr>
            <w:r>
              <w:rPr>
                <w:rFonts w:ascii="Calibri" w:cs="Calibri" w:eastAsia="Calibri" w:hAnsi="Calibri"/>
                <w:sz w:val="21"/>
                <w:szCs w:val="21"/>
              </w:rPr>
              <w:t xml:space="preserve">Menguraikan domain-domain kualitas dalam WHO Global Standards for Quality Health-Care Services for Adolescents secara rinci.</w:t>
            </w:r>
          </w:p>
          <w:p>
            <w:pPr>
              <w:pStyle w:val="ListParagraph"/>
              <w:numPr>
                <w:ilvl w:val="0"/>
                <w:numId w:val="2"/>
              </w:numPr>
              <w:spacing w:after="60"/>
            </w:pPr>
            <w:r>
              <w:rPr>
                <w:rFonts w:ascii="Calibri" w:cs="Calibri" w:eastAsia="Calibri" w:hAnsi="Calibri"/>
                <w:sz w:val="21"/>
                <w:szCs w:val="21"/>
              </w:rPr>
              <w:t xml:space="preserve">Menganalisis implementasi standar tersebut pada konteks sistem kesehatan primer di Indonesia, khususnya PKPR.</w:t>
            </w:r>
          </w:p>
          <w:p>
            <w:pPr>
              <w:pStyle w:val="ListParagraph"/>
              <w:numPr>
                <w:ilvl w:val="0"/>
                <w:numId w:val="2"/>
              </w:numPr>
              <w:spacing w:after="60"/>
            </w:pPr>
            <w:r>
              <w:rPr>
                <w:rFonts w:ascii="Calibri" w:cs="Calibri" w:eastAsia="Calibri" w:hAnsi="Calibri"/>
                <w:sz w:val="21"/>
                <w:szCs w:val="21"/>
              </w:rPr>
              <w:t xml:space="preserve">Mengidentifikasi hambatan struktural dan budaya dalam penerapan pelayanan ramah remaja di fasilitas kesehatan Indonesia.</w:t>
            </w:r>
          </w:p>
        </w:tc>
      </w:tr>
    </w:tbl>
    <w:p>
      <w:pPr>
        <w:spacing w:after="120"/>
      </w:pPr>
    </w:p>
    <w:p>
      <w:pPr>
        <w:pStyle w:val="Heading2"/>
        <w:spacing w:after="140" w:before="280"/>
      </w:pPr>
      <w:r>
        <w:rPr>
          <w:rFonts w:ascii="Calibri" w:cs="Calibri" w:eastAsia="Calibri" w:hAnsi="Calibri"/>
          <w:b/>
          <w:bCs/>
          <w:color w:val="7A1F3D"/>
          <w:sz w:val="27"/>
          <w:szCs w:val="27"/>
        </w:rPr>
        <w:t xml:space="preserve">1.1 Konsep Pelayanan Kesehatan Reproduksi Ramah Remaja</w:t>
      </w:r>
    </w:p>
    <w:p>
      <w:pPr>
        <w:spacing w:after="160" w:line="288"/>
        <w:jc w:val="both"/>
      </w:pPr>
      <w:r>
        <w:rPr>
          <w:rFonts w:ascii="Calibri" w:cs="Calibri" w:eastAsia="Calibri" w:hAnsi="Calibri"/>
          <w:sz w:val="22"/>
          <w:szCs w:val="22"/>
        </w:rPr>
        <w:t xml:space="preserve">Pelayanan kesehatan ramah remaja merupakan model pemberian layanan yang secara sengaja dirancang agar dapat diakses, diterima, dan dipercaya oleh populasi remaja berusia sekitar 10 hingga 19 tahun. Model ini lahir dari pengakuan bahwa remaja memiliki pola pencarian layanan kesehatan yang berbeda dari kelompok usia lain: mereka lebih sensitif terhadap stigma, lebih mengutamakan kerahasiaan, dan lebih mudah menghindari fasilitas kesehatan bila merasa dihakimi atau tidak dihormati otonominya.(1,2)</w:t>
      </w:r>
    </w:p>
    <w:p>
      <w:pPr>
        <w:spacing w:after="160" w:line="288"/>
        <w:jc w:val="both"/>
      </w:pPr>
      <w:r>
        <w:rPr>
          <w:rFonts w:ascii="Calibri" w:cs="Calibri" w:eastAsia="Calibri" w:hAnsi="Calibri"/>
          <w:sz w:val="22"/>
          <w:szCs w:val="22"/>
        </w:rPr>
        <w:t xml:space="preserve">Dalam pendekatan biopsikososial Obstetri Ginekologi Sosial, pelayanan ramah remaja tidak hanya berbicara soal aspek teknis-klinis, tetapi juga mempertimbangkan dimensi psikologis (kematangan emosi, citra diri), sosial (dukungan keluarga, tekanan sebaya), ekonomi (biaya transportasi dan layanan), budaya (norma tentang seksualitas remaja), serta hukum (status pernikahan, usia dewasa hukum, kewenangan memberi persetujuan tindakan medis). Kegagalan mempertimbangkan salah satu dimensi ini dapat menyebabkan remaja menunda pencarian layanan hingga kondisi klinisnya memberat, misalnya pada kasus kehamilan tidak diinginkan yang baru terdeteksi pada trimester lanjut.(3)</w:t>
      </w:r>
    </w:p>
    <w:p>
      <w:pPr>
        <w:spacing w:after="160" w:line="288"/>
        <w:jc w:val="both"/>
      </w:pPr>
      <w:r>
        <w:rPr>
          <w:rFonts w:ascii="Calibri" w:cs="Calibri" w:eastAsia="Calibri" w:hAnsi="Calibri"/>
          <w:sz w:val="22"/>
          <w:szCs w:val="22"/>
        </w:rPr>
        <w:t xml:space="preserve">Prinsip inti pelayanan ramah remaja mencakup kerahasiaan yang terjamin, non-diskriminasi terhadap status pernikahan maupun orientasi seksual, partisipasi remaja dalam perancangan layanan, kompetensi komunikasi tenaga kesehatan yang sesuai usia, serta lingkungan fisik yang tidak mengintimidasi. Prinsip-prinsip ini menjadi dasar penyusunan standar kualitas yang lebih rinci sebagaimana dijabarkan pada Standar Global WHO.</w:t>
      </w:r>
    </w:p>
    <w:p>
      <w:pPr>
        <w:pStyle w:val="Heading2"/>
        <w:spacing w:after="140" w:before="280"/>
      </w:pPr>
      <w:r>
        <w:rPr>
          <w:rFonts w:ascii="Calibri" w:cs="Calibri" w:eastAsia="Calibri" w:hAnsi="Calibri"/>
          <w:b/>
          <w:bCs/>
          <w:color w:val="7A1F3D"/>
          <w:sz w:val="27"/>
          <w:szCs w:val="27"/>
        </w:rPr>
        <w:t xml:space="preserve">1.2 WHO Global Standards for Quality Health-Care Services for Adolescents</w:t>
      </w:r>
    </w:p>
    <w:p>
      <w:pPr>
        <w:spacing w:after="160" w:line="288"/>
        <w:jc w:val="both"/>
      </w:pPr>
      <w:r>
        <w:rPr>
          <w:rFonts w:ascii="Calibri" w:cs="Calibri" w:eastAsia="Calibri" w:hAnsi="Calibri"/>
          <w:sz w:val="22"/>
          <w:szCs w:val="22"/>
        </w:rPr>
        <w:t xml:space="preserve">World Health Organization, bersama UNAIDS, pertama kali menyusun Global Standards for Quality Health-Care Services for Adolescents pada tahun 2015 sebagai kerangka acuan internasional untuk menilai dan meningkatkan mutu layanan kesehatan bagi remaja di berbagai jenjang fasilitas kesehatan.(4) Kerangka asli ini terdiri atas delapan domain kualitas yang saling melengkapi, mencakup sisi permintaan (demand side) maupun sisi penyediaan layanan (supply side), sebagaimana diuraikan pada bagian a-h di bawah ini.</w:t>
      </w:r>
    </w:p>
    <w:p>
      <w:pPr>
        <w:pStyle w:val="Heading3"/>
        <w:spacing w:after="100" w:before="200"/>
      </w:pPr>
      <w:r>
        <w:rPr>
          <w:rFonts w:ascii="Calibri" w:cs="Calibri" w:eastAsia="Calibri" w:hAnsi="Calibri"/>
          <w:b/>
          <w:bCs/>
          <w:color w:val="555555"/>
          <w:sz w:val="24"/>
          <w:szCs w:val="24"/>
        </w:rPr>
        <w:t xml:space="preserve">a. Literasi Kesehatan Remaja</w:t>
      </w:r>
    </w:p>
    <w:p>
      <w:pPr>
        <w:spacing w:after="160" w:line="288"/>
        <w:jc w:val="both"/>
      </w:pPr>
      <w:r>
        <w:rPr>
          <w:rFonts w:ascii="Calibri" w:cs="Calibri" w:eastAsia="Calibri" w:hAnsi="Calibri"/>
          <w:sz w:val="22"/>
          <w:szCs w:val="22"/>
        </w:rPr>
        <w:t xml:space="preserve">Domain ini menekankan bahwa remaja dan komunitasnya perlu memiliki pengetahuan memadai tentang kebutuhan kesehatan mereka sendiri, termasuk ke mana dan bagaimana mengakses layanan, serta hak mereka untuk mendapatkan pelayanan yang bermutu tanpa diskriminasi.</w:t>
      </w:r>
    </w:p>
    <w:p>
      <w:pPr>
        <w:pStyle w:val="Heading3"/>
        <w:spacing w:after="100" w:before="200"/>
      </w:pPr>
      <w:r>
        <w:rPr>
          <w:rFonts w:ascii="Calibri" w:cs="Calibri" w:eastAsia="Calibri" w:hAnsi="Calibri"/>
          <w:b/>
          <w:bCs/>
          <w:color w:val="555555"/>
          <w:sz w:val="24"/>
          <w:szCs w:val="24"/>
        </w:rPr>
        <w:t xml:space="preserve">b. Dukungan Komunitas</w:t>
      </w:r>
    </w:p>
    <w:p>
      <w:pPr>
        <w:spacing w:after="160" w:line="288"/>
        <w:jc w:val="both"/>
      </w:pPr>
      <w:r>
        <w:rPr>
          <w:rFonts w:ascii="Calibri" w:cs="Calibri" w:eastAsia="Calibri" w:hAnsi="Calibri"/>
          <w:sz w:val="22"/>
          <w:szCs w:val="22"/>
        </w:rPr>
        <w:t xml:space="preserve">Keterlibatan orang tua, tokoh masyarakat, dan pemangku kepentingan lokal penting untuk menciptakan lingkungan yang mendukung, bukan menghambat, akses remaja terhadap layanan kesehatan reproduksi.</w:t>
      </w:r>
    </w:p>
    <w:p>
      <w:pPr>
        <w:pStyle w:val="Heading3"/>
        <w:spacing w:after="100" w:before="200"/>
      </w:pPr>
      <w:r>
        <w:rPr>
          <w:rFonts w:ascii="Calibri" w:cs="Calibri" w:eastAsia="Calibri" w:hAnsi="Calibri"/>
          <w:b/>
          <w:bCs/>
          <w:color w:val="555555"/>
          <w:sz w:val="24"/>
          <w:szCs w:val="24"/>
        </w:rPr>
        <w:t xml:space="preserve">c. Paket Layanan yang Sesuai</w:t>
      </w:r>
    </w:p>
    <w:p>
      <w:pPr>
        <w:spacing w:after="160" w:line="288"/>
        <w:jc w:val="both"/>
      </w:pPr>
      <w:r>
        <w:rPr>
          <w:rFonts w:ascii="Calibri" w:cs="Calibri" w:eastAsia="Calibri" w:hAnsi="Calibri"/>
          <w:sz w:val="22"/>
          <w:szCs w:val="22"/>
        </w:rPr>
        <w:t xml:space="preserve">Fasilitas kesehatan wajib menyediakan paket layanan komprehensif—promotif, preventif, kuratif, dan rehabilitatif—yang relevan dengan kebutuhan kesehatan fisik dan mental remaja, termasuk kesehatan reproduksi, gizi, dan kesehatan jiwa.</w:t>
      </w:r>
    </w:p>
    <w:p>
      <w:pPr>
        <w:pStyle w:val="Heading3"/>
        <w:spacing w:after="100" w:before="200"/>
      </w:pPr>
      <w:r>
        <w:rPr>
          <w:rFonts w:ascii="Calibri" w:cs="Calibri" w:eastAsia="Calibri" w:hAnsi="Calibri"/>
          <w:b/>
          <w:bCs/>
          <w:color w:val="555555"/>
          <w:sz w:val="24"/>
          <w:szCs w:val="24"/>
        </w:rPr>
        <w:t xml:space="preserve">d. Kompetensi Tenaga Kesehatan</w:t>
      </w:r>
    </w:p>
    <w:p>
      <w:pPr>
        <w:spacing w:after="160" w:line="288"/>
        <w:jc w:val="both"/>
      </w:pPr>
      <w:r>
        <w:rPr>
          <w:rFonts w:ascii="Calibri" w:cs="Calibri" w:eastAsia="Calibri" w:hAnsi="Calibri"/>
          <w:sz w:val="22"/>
          <w:szCs w:val="22"/>
        </w:rPr>
        <w:t xml:space="preserve">Tenaga kesehatan harus memiliki kompetensi teknis maupun interpersonal yang memadai untuk berkomunikasi secara efektif, empatik, dan tidak menghakimi dengan klien remaja, serta memahami aspek perkembangan remaja.</w:t>
      </w:r>
    </w:p>
    <w:p>
      <w:pPr>
        <w:pStyle w:val="Heading3"/>
        <w:spacing w:after="100" w:before="200"/>
      </w:pPr>
      <w:r>
        <w:rPr>
          <w:rFonts w:ascii="Calibri" w:cs="Calibri" w:eastAsia="Calibri" w:hAnsi="Calibri"/>
          <w:b/>
          <w:bCs/>
          <w:color w:val="555555"/>
          <w:sz w:val="24"/>
          <w:szCs w:val="24"/>
        </w:rPr>
        <w:t xml:space="preserve">e. Karakteristik Fasilitas</w:t>
      </w:r>
    </w:p>
    <w:p>
      <w:pPr>
        <w:spacing w:after="160" w:line="288"/>
        <w:jc w:val="both"/>
      </w:pPr>
      <w:r>
        <w:rPr>
          <w:rFonts w:ascii="Calibri" w:cs="Calibri" w:eastAsia="Calibri" w:hAnsi="Calibri"/>
          <w:sz w:val="22"/>
          <w:szCs w:val="22"/>
        </w:rPr>
        <w:t xml:space="preserve">Fasilitas harus memiliki jam layanan yang fleksibel, ruang tunggu yang nyaman dan menjaga privasi, serta prosedur administratif yang tidak mempermalukan atau memperlambat akses remaja terhadap layanan.</w:t>
      </w:r>
    </w:p>
    <w:p>
      <w:pPr>
        <w:pStyle w:val="Heading3"/>
        <w:spacing w:after="100" w:before="200"/>
      </w:pPr>
      <w:r>
        <w:rPr>
          <w:rFonts w:ascii="Calibri" w:cs="Calibri" w:eastAsia="Calibri" w:hAnsi="Calibri"/>
          <w:b/>
          <w:bCs/>
          <w:color w:val="555555"/>
          <w:sz w:val="24"/>
          <w:szCs w:val="24"/>
        </w:rPr>
        <w:t xml:space="preserve">f. Kesetaraan dan Non-Diskriminasi</w:t>
      </w:r>
    </w:p>
    <w:p>
      <w:pPr>
        <w:spacing w:after="160" w:line="288"/>
        <w:jc w:val="both"/>
      </w:pPr>
      <w:r>
        <w:rPr>
          <w:rFonts w:ascii="Calibri" w:cs="Calibri" w:eastAsia="Calibri" w:hAnsi="Calibri"/>
          <w:sz w:val="22"/>
          <w:szCs w:val="22"/>
        </w:rPr>
        <w:t xml:space="preserve">Layanan harus dapat diakses oleh seluruh remaja tanpa memandang status sosial-ekonomi, status pernikahan, jenis kelamin, disabilitas, maupun latar belakang lainnya.</w:t>
      </w:r>
    </w:p>
    <w:p>
      <w:pPr>
        <w:pStyle w:val="Heading3"/>
        <w:spacing w:after="100" w:before="200"/>
      </w:pPr>
      <w:r>
        <w:rPr>
          <w:rFonts w:ascii="Calibri" w:cs="Calibri" w:eastAsia="Calibri" w:hAnsi="Calibri"/>
          <w:b/>
          <w:bCs/>
          <w:color w:val="555555"/>
          <w:sz w:val="24"/>
          <w:szCs w:val="24"/>
        </w:rPr>
        <w:t xml:space="preserve">g. Data dan Perbaikan Mutu Berkelanjutan</w:t>
      </w:r>
    </w:p>
    <w:p>
      <w:pPr>
        <w:spacing w:after="160" w:line="288"/>
        <w:jc w:val="both"/>
      </w:pPr>
      <w:r>
        <w:rPr>
          <w:rFonts w:ascii="Calibri" w:cs="Calibri" w:eastAsia="Calibri" w:hAnsi="Calibri"/>
          <w:sz w:val="22"/>
          <w:szCs w:val="22"/>
        </w:rPr>
        <w:t xml:space="preserve">Fasilitas perlu mengumpulkan dan menganalisis data kunjungan serta luaran klinis remaja secara berkala untuk mengidentifikasi celah mutu dan melakukan perbaikan berkesinambungan.</w:t>
      </w:r>
    </w:p>
    <w:p>
      <w:pPr>
        <w:pStyle w:val="Heading3"/>
        <w:spacing w:after="100" w:before="200"/>
      </w:pPr>
      <w:r>
        <w:rPr>
          <w:rFonts w:ascii="Calibri" w:cs="Calibri" w:eastAsia="Calibri" w:hAnsi="Calibri"/>
          <w:b/>
          <w:bCs/>
          <w:color w:val="555555"/>
          <w:sz w:val="24"/>
          <w:szCs w:val="24"/>
        </w:rPr>
        <w:t xml:space="preserve">h. Partisipasi Remaja</w:t>
      </w:r>
    </w:p>
    <w:p>
      <w:pPr>
        <w:spacing w:after="160" w:line="288"/>
        <w:jc w:val="both"/>
      </w:pPr>
      <w:r>
        <w:rPr>
          <w:rFonts w:ascii="Calibri" w:cs="Calibri" w:eastAsia="Calibri" w:hAnsi="Calibri"/>
          <w:sz w:val="22"/>
          <w:szCs w:val="22"/>
        </w:rPr>
        <w:t xml:space="preserve">Remaja perlu dilibatkan secara aktif, bukan sekadar sebagai objek layanan, dalam perancangan, pelaksanaan, dan evaluasi program kesehatan yang menyasar mereka.</w:t>
      </w:r>
    </w:p>
    <w:p>
      <w:pPr>
        <w:spacing w:after="160" w:line="288"/>
        <w:jc w:val="both"/>
      </w:pPr>
      <w:r>
        <w:rPr>
          <w:rFonts w:ascii="Calibri" w:cs="Calibri" w:eastAsia="Calibri" w:hAnsi="Calibri"/>
          <w:sz w:val="22"/>
          <w:szCs w:val="22"/>
        </w:rPr>
        <w:t xml:space="preserve">Pada Oktober 2025, WHO menerbitkan pemutakhiran kerangka ini dengan judul "Global standards for quality health care services for adolescents", yang mempertahankan keenam tema mutu inti di atas namun memperluas kerangka menjadi sembilan standar global untuk mengakomodasi isu terkini seperti kesiapsiagaan pandemi, teknologi kesehatan digital, dan pendekatan self-care remaja.(3) Pemutakhiran ini relevan bagi buku ajar ini karena menegaskan bahwa domain literasi kesehatan remaja dan partisipasi remaja kini turut mencakup kompetensi digital dan kemandirian remaja dalam mengelola kesehatan reproduksinya sendiri, sesuatu yang perlu diperhitungkan dalam perancangan layanan PKPR di Indonesia ke depan.</w:t>
      </w:r>
    </w:p>
    <w:p>
      <w:pPr>
        <w:pStyle w:val="Heading2"/>
        <w:spacing w:after="140" w:before="280"/>
      </w:pPr>
      <w:r>
        <w:rPr>
          <w:rFonts w:ascii="Calibri" w:cs="Calibri" w:eastAsia="Calibri" w:hAnsi="Calibri"/>
          <w:b/>
          <w:bCs/>
          <w:color w:val="7A1F3D"/>
          <w:sz w:val="27"/>
          <w:szCs w:val="27"/>
        </w:rPr>
        <w:t xml:space="preserve">1.3 Implementasi pada Konteks Sistem Kesehatan Primer Indonesia</w:t>
      </w:r>
    </w:p>
    <w:p>
      <w:pPr>
        <w:spacing w:after="160" w:line="288"/>
        <w:jc w:val="both"/>
      </w:pPr>
      <w:r>
        <w:rPr>
          <w:rFonts w:ascii="Calibri" w:cs="Calibri" w:eastAsia="Calibri" w:hAnsi="Calibri"/>
          <w:sz w:val="22"/>
          <w:szCs w:val="22"/>
        </w:rPr>
        <w:t xml:space="preserve">Di Indonesia, penerjemahan standar tersebut terwujud melalui program Pelayanan Kesehatan Peduli Remaja (PKPR) yang diselenggarakan Kementerian Kesehatan di tingkat Puskesmas. PKPR dirancang menyediakan konseling, pemeriksaan kesehatan reproduksi, serta rujukan bagi remaja dengan pendekatan yang menekankan kerahasiaan dan penerimaan tanpa syarat.(6) Meskipun demikian, implementasinya masih menghadapi tantangan struktural: keterbatasan tenaga terlatih, jam operasional yang sering tumpang tindih dengan jam sekolah, serta norma sosial yang menganggap pembicaraan tentang seksualitas remaja sebagai hal tabu.</w:t>
      </w:r>
    </w:p>
    <w:p>
      <w:pPr>
        <w:spacing w:after="160" w:line="288"/>
        <w:jc w:val="both"/>
      </w:pPr>
      <w:r>
        <w:rPr>
          <w:rFonts w:ascii="Calibri" w:cs="Calibri" w:eastAsia="Calibri" w:hAnsi="Calibri"/>
          <w:sz w:val="22"/>
          <w:szCs w:val="22"/>
        </w:rPr>
        <w:t xml:space="preserve">Dokter subspesialis Obstetri Ginekologi Sosial berperan strategis sebagai penghubung antara standar internasional dan penyesuaian praktis di lapangan—misalnya dengan mengadvokasi jam layanan khusus remaja di luar jam sekolah, pelatihan komunikasi berbasis hak asasi bagi tenaga PKPR, serta membangun sistem rujukan yang menjamin kerahasiaan data klien remaja lintas fasilitas.</w:t>
      </w:r>
    </w:p>
    <w:p>
      <w:pPr>
        <w:pStyle w:val="Heading2"/>
        <w:spacing w:after="140" w:before="280"/>
      </w:pPr>
      <w:r>
        <w:rPr>
          <w:rFonts w:ascii="Calibri" w:cs="Calibri" w:eastAsia="Calibri" w:hAnsi="Calibri"/>
          <w:b/>
          <w:bCs/>
          <w:color w:val="7A1F3D"/>
          <w:sz w:val="27"/>
          <w:szCs w:val="27"/>
        </w:rPr>
        <w:t xml:space="preserve">1.4 Landasan Regulasi Nasional: Kompetensi Kepkonsil Bidang Kesehatan Reproduksi Remaja</w:t>
      </w:r>
    </w:p>
    <w:p>
      <w:pPr>
        <w:spacing w:after="160" w:line="288"/>
        <w:jc w:val="both"/>
      </w:pPr>
      <w:r>
        <w:rPr>
          <w:rFonts w:ascii="Calibri" w:cs="Calibri" w:eastAsia="Calibri" w:hAnsi="Calibri"/>
          <w:sz w:val="22"/>
          <w:szCs w:val="22"/>
        </w:rPr>
        <w:t xml:space="preserve">Di Indonesia, kewenangan dan capaian kompetensi minimal dokter subspesialis Obstetri Ginekologi Sosial dalam menangani kesehatan reproduksi remaja diatur secara eksplisit dalam Keputusan Ketua Konsil Kesehatan Indonesia Nomor HK.01.02/KKI/1318/2026 tentang Standar Kompetensi Dokter Spesialis dan Subspesialis Bidang Obstetri dan Ginekologi.(5) Peraturan ini menempatkan "populasi rentan, remaja, korban kekerasan, atau kehamilan risiko sosial-ekonomi tinggi" sebagai spektrum kasus dan populasi pasien yang menjadi fokus kompetensi subspesialisasi Obstetri Ginekologi Sosial, membedakannya dari subspesialisasi Obstetri dan Ginekologi lain yang berfokus pada risiko biomedis murni.(5)</w:t>
      </w:r>
    </w:p>
    <w:p>
      <w:pPr>
        <w:spacing w:after="160" w:line="288"/>
        <w:jc w:val="both"/>
      </w:pPr>
      <w:r>
        <w:rPr>
          <w:rFonts w:ascii="Calibri" w:cs="Calibri" w:eastAsia="Calibri" w:hAnsi="Calibri"/>
          <w:sz w:val="22"/>
          <w:szCs w:val="22"/>
        </w:rPr>
        <w:t xml:space="preserve">Pada Tabel 19 (Kompetensi Penatalaksanaan Klinis) dan Tabel 25 (Kompetensi Prosedur Klinis) lampiran Kepkonsil tersebut, komponen kompetensi nomor 14 "Kesehatan Reproduksi Remaja" menetapkan cakupan kompetensi yang meliputi anamnesis masalah kesehatan reproduksi remaja (kehamilan dini, kontrasepsi, infeksi menular seksual), edukasi kesehatan reproduksi (pubertas, perilaku seksual aman, pencegahan kehamilan), konseling psikologis dan sosial dengan pendekatan ramah remaja, kolaborasi dengan sekolah, psikologi, dan pekerja sosial, serta dokumentasi konseling dan tindak lanjut—struktur yang menjadi kerangka acuan penyusunan lima bab pada buku ini.(5) Kriteria kinerja minimal yang ditetapkan mencakup 100% remaja mendapat edukasi menyeluruh, dokumentasi konseling lengkap, tingkat kepuasan peserta/klien sekurang-kurangnya 80%, serta volume kasus minimal (satu kasus kesehatan reproduksi remaja ditangani untuk kelulusan prosedural, dengan capaian pembelajaran tambahan berupa sekurang-kurangnya dua kegiatan Pelayanan Kesehatan Peduli Remaja/PKPR dan nilai OSCE konseling remaja minimal 70%).(5)</w:t>
      </w:r>
    </w:p>
    <w:p>
      <w:pPr>
        <w:spacing w:after="160" w:line="288"/>
        <w:jc w:val="both"/>
      </w:pPr>
      <w:r>
        <w:rPr>
          <w:rFonts w:ascii="Calibri" w:cs="Calibri" w:eastAsia="Calibri" w:hAnsi="Calibri"/>
          <w:sz w:val="22"/>
          <w:szCs w:val="22"/>
        </w:rPr>
        <w:t xml:space="preserve">Komponen kompetensi nomor 7 "Penatalaksanaan Kehamilan Remaja" pada kedua tabel tersebut secara khusus menuntut penguasaan epidemiologi dan faktor risiko kehamilan remaja dari aspek biologis, psikologis, dan sosial; konsep life-course approach dan Developmental Origins of Health and Disease (DOHaD) yang menjelaskan bagaimana paparan risiko pada masa remaja dan kehamilan dini berdampak pada kesehatan jangka panjang ibu maupun keturunannya; risiko obstetri seperti anemia, preeklamsia, berat bayi lahir rendah, dan komplikasi persalinan; serta dampak psikososial berupa stigma, putus sekolah, dan pernikahan anak.(5) Kriteria kinerja minimalnya menetapkan bahwa 100% kehamilan remaja disertai asesmen biopsikososial dan sekurang-kurangnya 90% mendapat konseling remaja beserta rencana tindak lanjut, dengan volume kasus minimal lima kasus kehamilan remaja yang dikelola peserta didik selama masa pendidikan.(5) Ketentuan-ketentuan ini menjadi tolok ukur objektif yang melengkapi standar kualitatif WHO pada subbab 1.2, sekaligus menegaskan bahwa kompetensi biopsikososial remaja bukan sekadar pendekatan filosofis, melainkan capaian pembelajaran terukur dalam sistem pendidikan subspesialis di Indonesia.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1800"/>
        <w:gridCol w:w="1800"/>
        <w:gridCol w:w="1800"/>
      </w:tblGrid>
      <w:tr>
        <w:tc>
          <w:tcPr>
            <w:tcW w:type="dxa" w:w="1800"/>
            <w:shd w:fill="7A1F3D" w:val="clear"/>
            <w:tcMar>
              <w:top w:type="dxa" w:w="120"/>
              <w:left w:type="dxa" w:w="100"/>
              <w:bottom w:type="dxa" w:w="120"/>
              <w:right w:type="dxa" w:w="100"/>
            </w:tcMar>
            <w:vAlign w:val="center"/>
          </w:tcPr>
          <w:p>
            <w:pPr>
              <w:jc w:val="center"/>
            </w:pPr>
            <w:r>
              <w:rPr>
                <w:rFonts w:ascii="Calibri" w:cs="Calibri" w:eastAsia="Calibri" w:hAnsi="Calibri"/>
                <w:b/>
                <w:bCs/>
                <w:color w:val="FFFFFF"/>
                <w:sz w:val="19"/>
                <w:szCs w:val="19"/>
              </w:rPr>
              <w:t xml:space="preserve">Remaja Datang / Dirujuk</w:t>
            </w:r>
          </w:p>
        </w:tc>
        <w:tc>
          <w:tcPr>
            <w:tcW w:type="dxa" w:w="1800"/>
            <w:shd w:fill="555555" w:val="clear"/>
            <w:tcMar>
              <w:top w:type="dxa" w:w="120"/>
              <w:left w:type="dxa" w:w="100"/>
              <w:bottom w:type="dxa" w:w="120"/>
              <w:right w:type="dxa" w:w="100"/>
            </w:tcMar>
            <w:vAlign w:val="center"/>
          </w:tcPr>
          <w:p>
            <w:pPr>
              <w:jc w:val="center"/>
            </w:pPr>
            <w:r>
              <w:rPr>
                <w:rFonts w:ascii="Calibri" w:cs="Calibri" w:eastAsia="Calibri" w:hAnsi="Calibri"/>
                <w:b/>
                <w:bCs/>
                <w:color w:val="FFFFFF"/>
                <w:sz w:val="19"/>
                <w:szCs w:val="19"/>
              </w:rPr>
              <w:t xml:space="preserve">Skrining Awal Rahasia</w:t>
            </w:r>
          </w:p>
        </w:tc>
        <w:tc>
          <w:tcPr>
            <w:tcW w:type="dxa" w:w="1800"/>
            <w:shd w:fill="7A1F3D" w:val="clear"/>
            <w:tcMar>
              <w:top w:type="dxa" w:w="120"/>
              <w:left w:type="dxa" w:w="100"/>
              <w:bottom w:type="dxa" w:w="120"/>
              <w:right w:type="dxa" w:w="100"/>
            </w:tcMar>
            <w:vAlign w:val="center"/>
          </w:tcPr>
          <w:p>
            <w:pPr>
              <w:jc w:val="center"/>
            </w:pPr>
            <w:r>
              <w:rPr>
                <w:rFonts w:ascii="Calibri" w:cs="Calibri" w:eastAsia="Calibri" w:hAnsi="Calibri"/>
                <w:b/>
                <w:bCs/>
                <w:color w:val="FFFFFF"/>
                <w:sz w:val="19"/>
                <w:szCs w:val="19"/>
              </w:rPr>
              <w:t xml:space="preserve">Konseling Biopsikososial</w:t>
            </w:r>
          </w:p>
        </w:tc>
        <w:tc>
          <w:tcPr>
            <w:tcW w:type="dxa" w:w="1800"/>
            <w:shd w:fill="555555" w:val="clear"/>
            <w:tcMar>
              <w:top w:type="dxa" w:w="120"/>
              <w:left w:type="dxa" w:w="100"/>
              <w:bottom w:type="dxa" w:w="120"/>
              <w:right w:type="dxa" w:w="100"/>
            </w:tcMar>
            <w:vAlign w:val="center"/>
          </w:tcPr>
          <w:p>
            <w:pPr>
              <w:jc w:val="center"/>
            </w:pPr>
            <w:r>
              <w:rPr>
                <w:rFonts w:ascii="Calibri" w:cs="Calibri" w:eastAsia="Calibri" w:hAnsi="Calibri"/>
                <w:b/>
                <w:bCs/>
                <w:color w:val="FFFFFF"/>
                <w:sz w:val="19"/>
                <w:szCs w:val="19"/>
              </w:rPr>
              <w:t xml:space="preserve">Layanan Klinis/Rujukan</w:t>
            </w:r>
          </w:p>
        </w:tc>
        <w:tc>
          <w:tcPr>
            <w:tcW w:type="dxa" w:w="1800"/>
            <w:shd w:fill="7A1F3D" w:val="clear"/>
            <w:tcMar>
              <w:top w:type="dxa" w:w="120"/>
              <w:left w:type="dxa" w:w="100"/>
              <w:bottom w:type="dxa" w:w="120"/>
              <w:right w:type="dxa" w:w="100"/>
            </w:tcMar>
            <w:vAlign w:val="center"/>
          </w:tcPr>
          <w:p>
            <w:pPr>
              <w:jc w:val="center"/>
            </w:pPr>
            <w:r>
              <w:rPr>
                <w:rFonts w:ascii="Calibri" w:cs="Calibri" w:eastAsia="Calibri" w:hAnsi="Calibri"/>
                <w:b/>
                <w:bCs/>
                <w:color w:val="FFFFFF"/>
                <w:sz w:val="19"/>
                <w:szCs w:val="19"/>
              </w:rPr>
              <w:t xml:space="preserve">Tindak Lanjut &amp; Evaluasi</w:t>
            </w:r>
          </w:p>
        </w:tc>
      </w:tr>
    </w:tbl>
    <w:p>
      <w:pPr>
        <w:spacing w:after="120"/>
      </w:pPr>
    </w:p>
    <w:tbl>
      <w:tblPr>
        <w:tblW w:type="pct" w:w="100%"/>
        <w:tblBorders>
          <w:top w:val="single" w:color="7A1F3D" w:sz="4"/>
          <w:left w:val="single" w:color="7A1F3D" w:sz="24"/>
          <w:bottom w:val="single" w:color="7A1F3D" w:sz="4"/>
          <w:right w:val="single" w:color="7A1F3D" w:sz="4"/>
          <w:insideH w:val="single" w:color="auto" w:sz="4"/>
          <w:insideV w:val="single" w:color="auto" w:sz="4"/>
        </w:tblBorders>
      </w:tblPr>
      <w:tblGrid>
        <w:gridCol w:w="100"/>
      </w:tblGrid>
      <w:tr>
        <w:tc>
          <w:tcPr>
            <w:shd w:fill="FBF6F8" w:val="clear"/>
            <w:tcMar>
              <w:top w:type="dxa" w:w="160"/>
              <w:left w:type="dxa" w:w="220"/>
              <w:bottom w:type="dxa" w:w="160"/>
              <w:right w:type="dxa" w:w="220"/>
            </w:tcMar>
          </w:tcPr>
          <w:p>
            <w:pPr>
              <w:spacing w:after="100"/>
            </w:pPr>
            <w:r>
              <w:rPr>
                <w:rFonts w:ascii="Calibri" w:cs="Calibri" w:eastAsia="Calibri" w:hAnsi="Calibri"/>
                <w:b/>
                <w:bCs/>
                <w:color w:val="7A1F3D"/>
                <w:sz w:val="22"/>
                <w:szCs w:val="22"/>
              </w:rPr>
              <w:t xml:space="preserve">Vignette Klinis (Ilustratif, Tidak Identifiable)</w:t>
            </w:r>
          </w:p>
          <w:p>
            <w:pPr>
              <w:spacing w:after="160" w:line="288"/>
              <w:jc w:val="both"/>
            </w:pPr>
            <w:r>
              <w:rPr>
                <w:rFonts w:ascii="Calibri" w:cs="Calibri" w:eastAsia="Calibri" w:hAnsi="Calibri"/>
                <w:sz w:val="22"/>
                <w:szCs w:val="22"/>
              </w:rPr>
              <w:t xml:space="preserve">Seorang remaja perempuan berusia 16 tahun datang sendirian ke Puskesmas dengan keluhan nyeri haid, namun tampak enggan menjawab pertanyaan tentang riwayat aktivitas seksual di ruang periksa yang tidak tertutup penuh. Setelah dipindahkan ke ruang konseling privat dan diyakinkan tentang kerahasiaan, remaja tersebut mengungkapkan kekhawatiran mengenai kemungkinan kehamilan. Kasus ini menggambarkan pentingnya karakteristik fasilitas yang menjamin privasi sebagai prasyarat keterbukaan klien remaja.</w:t>
            </w:r>
          </w:p>
        </w:tc>
      </w:tr>
    </w:tbl>
    <w:p>
      <w:pPr>
        <w:spacing w:after="120"/>
      </w:pPr>
    </w:p>
    <w:tbl>
      <w:tblPr>
        <w:tblW w:type="pct" w:w="100%"/>
        <w:tblBorders>
          <w:top w:val="single" w:color="7A1F3D" w:sz="4"/>
          <w:left w:val="single" w:color="7A1F3D" w:sz="24"/>
          <w:bottom w:val="single" w:color="7A1F3D" w:sz="4"/>
          <w:right w:val="single" w:color="7A1F3D" w:sz="4"/>
          <w:insideH w:val="single" w:color="auto" w:sz="4"/>
          <w:insideV w:val="single" w:color="auto" w:sz="4"/>
        </w:tblBorders>
      </w:tblPr>
      <w:tblGrid>
        <w:gridCol w:w="100"/>
      </w:tblGrid>
      <w:tr>
        <w:tc>
          <w:tcPr>
            <w:shd w:fill="F3E3EA" w:val="clear"/>
            <w:tcMar>
              <w:top w:type="dxa" w:w="160"/>
              <w:left w:type="dxa" w:w="220"/>
              <w:bottom w:type="dxa" w:w="160"/>
              <w:right w:type="dxa" w:w="220"/>
            </w:tcMar>
          </w:tcPr>
          <w:p>
            <w:pPr>
              <w:spacing w:after="100"/>
            </w:pPr>
            <w:r>
              <w:rPr>
                <w:rFonts w:ascii="Calibri" w:cs="Calibri" w:eastAsia="Calibri" w:hAnsi="Calibri"/>
                <w:b/>
                <w:bCs/>
                <w:color w:val="7A1F3D"/>
                <w:sz w:val="22"/>
                <w:szCs w:val="22"/>
              </w:rPr>
              <w:t xml:space="preserve">Poin Kunci</w:t>
            </w:r>
          </w:p>
          <w:p>
            <w:pPr>
              <w:pStyle w:val="ListParagraph"/>
              <w:numPr>
                <w:ilvl w:val="0"/>
                <w:numId w:val="2"/>
              </w:numPr>
              <w:spacing w:after="60"/>
            </w:pPr>
            <w:r>
              <w:rPr>
                <w:rFonts w:ascii="Calibri" w:cs="Calibri" w:eastAsia="Calibri" w:hAnsi="Calibri"/>
                <w:sz w:val="21"/>
                <w:szCs w:val="21"/>
              </w:rPr>
              <w:t xml:space="preserve">Pelayanan ramah remaja mempertimbangkan dimensi biologis, psikologis, sosial, ekonomi, budaya, dan hukum secara terpadu.</w:t>
            </w:r>
          </w:p>
          <w:p>
            <w:pPr>
              <w:pStyle w:val="ListParagraph"/>
              <w:numPr>
                <w:ilvl w:val="0"/>
                <w:numId w:val="2"/>
              </w:numPr>
              <w:spacing w:after="60"/>
            </w:pPr>
            <w:r>
              <w:rPr>
                <w:rFonts w:ascii="Calibri" w:cs="Calibri" w:eastAsia="Calibri" w:hAnsi="Calibri"/>
                <w:sz w:val="21"/>
                <w:szCs w:val="21"/>
              </w:rPr>
              <w:t xml:space="preserve">WHO Global Standards for Quality Health-Care Services for Adolescents (2015) terdiri atas delapan domain kualitas; edisi pemutakhiran WHO Oktober 2025 memperluasnya menjadi sembilan standar yang turut mencakup kesehatan digital dan self-care remaja.</w:t>
            </w:r>
          </w:p>
          <w:p>
            <w:pPr>
              <w:pStyle w:val="ListParagraph"/>
              <w:numPr>
                <w:ilvl w:val="0"/>
                <w:numId w:val="2"/>
              </w:numPr>
              <w:spacing w:after="60"/>
            </w:pPr>
            <w:r>
              <w:rPr>
                <w:rFonts w:ascii="Calibri" w:cs="Calibri" w:eastAsia="Calibri" w:hAnsi="Calibri"/>
                <w:sz w:val="21"/>
                <w:szCs w:val="21"/>
              </w:rPr>
              <w:t xml:space="preserve">Literasi kesehatan remaja dan dukungan komunitas merupakan prasyarat sisi permintaan layanan.</w:t>
            </w:r>
          </w:p>
          <w:p>
            <w:pPr>
              <w:pStyle w:val="ListParagraph"/>
              <w:numPr>
                <w:ilvl w:val="0"/>
                <w:numId w:val="2"/>
              </w:numPr>
              <w:spacing w:after="60"/>
            </w:pPr>
            <w:r>
              <w:rPr>
                <w:rFonts w:ascii="Calibri" w:cs="Calibri" w:eastAsia="Calibri" w:hAnsi="Calibri"/>
                <w:sz w:val="21"/>
                <w:szCs w:val="21"/>
              </w:rPr>
              <w:t xml:space="preserve">Kompetensi tenaga kesehatan dan karakteristik fasilitas merupakan prasyarat sisi penyediaan layanan.</w:t>
            </w:r>
          </w:p>
          <w:p>
            <w:pPr>
              <w:pStyle w:val="ListParagraph"/>
              <w:numPr>
                <w:ilvl w:val="0"/>
                <w:numId w:val="2"/>
              </w:numPr>
              <w:spacing w:after="60"/>
            </w:pPr>
            <w:r>
              <w:rPr>
                <w:rFonts w:ascii="Calibri" w:cs="Calibri" w:eastAsia="Calibri" w:hAnsi="Calibri"/>
                <w:sz w:val="21"/>
                <w:szCs w:val="21"/>
              </w:rPr>
              <w:t xml:space="preserve">PKPR merupakan wujud implementasi standar ramah remaja di Indonesia, namun masih menghadapi hambatan struktural dan budaya.</w:t>
            </w:r>
          </w:p>
          <w:p>
            <w:pPr>
              <w:pStyle w:val="ListParagraph"/>
              <w:numPr>
                <w:ilvl w:val="0"/>
                <w:numId w:val="2"/>
              </w:numPr>
              <w:spacing w:after="60"/>
            </w:pPr>
            <w:r>
              <w:rPr>
                <w:rFonts w:ascii="Calibri" w:cs="Calibri" w:eastAsia="Calibri" w:hAnsi="Calibri"/>
                <w:sz w:val="21"/>
                <w:szCs w:val="21"/>
              </w:rPr>
              <w:t xml:space="preserve">Kepkonsil Nomor HK.01.02/KKI/1318/2026 menetapkan kompetensi Kesehatan Reproduksi Remaja dan Penatalaksanaan Kehamilan Remaja secara terukur (Tabel 19 &amp; 25, komponen 7 dan 14), termasuk kriteria kinerja minimal dan volume kasus.</w:t>
            </w:r>
          </w:p>
          <w:p>
            <w:pPr>
              <w:pStyle w:val="ListParagraph"/>
              <w:numPr>
                <w:ilvl w:val="0"/>
                <w:numId w:val="2"/>
              </w:numPr>
              <w:spacing w:after="60"/>
            </w:pPr>
            <w:r>
              <w:rPr>
                <w:rFonts w:ascii="Calibri" w:cs="Calibri" w:eastAsia="Calibri" w:hAnsi="Calibri"/>
                <w:sz w:val="21"/>
                <w:szCs w:val="21"/>
              </w:rPr>
              <w:t xml:space="preserve">Partisipasi aktif remaja dalam perancangan layanan meningkatkan relevansi dan keberlanjutan program.</w:t>
            </w:r>
          </w:p>
        </w:tc>
      </w:tr>
    </w:tbl>
    <w:p>
      <w:pPr>
        <w:pBdr>
          <w:top w:val="single" w:color="555555" w:sz="4" w:space="6"/>
        </w:pBdr>
        <w:spacing w:after="120" w:before="300"/>
      </w:pPr>
      <w:r>
        <w:rPr>
          <w:rFonts w:ascii="Calibri" w:cs="Calibri" w:eastAsia="Calibri" w:hAnsi="Calibri"/>
          <w:b/>
          <w:bCs/>
          <w:i/>
          <w:iCs/>
          <w:color w:val="555555"/>
          <w:sz w:val="22"/>
          <w:szCs w:val="22"/>
        </w:rPr>
        <w:t xml:space="preserve">Referensi Bab</w:t>
      </w:r>
    </w:p>
    <w:p>
      <w:pPr>
        <w:spacing w:after="80"/>
        <w:ind w:left="400" w:hanging="400"/>
      </w:pPr>
      <w:r>
        <w:rPr>
          <w:rFonts w:ascii="Calibri" w:cs="Calibri" w:eastAsia="Calibri" w:hAnsi="Calibri"/>
          <w:sz w:val="20"/>
          <w:szCs w:val="20"/>
        </w:rPr>
        <w:t xml:space="preserve">1. Tylee A, Haller DM, Graham T, Churchill R, Sanci LA. Youth-friendly primary-care services: how are we doing and what more needs to be done? Lancet. 2007;369(9572):1565-73.</w:t>
      </w:r>
    </w:p>
    <w:p>
      <w:pPr>
        <w:spacing w:after="80"/>
        <w:ind w:left="400" w:hanging="400"/>
      </w:pPr>
      <w:r>
        <w:rPr>
          <w:rFonts w:ascii="Calibri" w:cs="Calibri" w:eastAsia="Calibri" w:hAnsi="Calibri"/>
          <w:sz w:val="20"/>
          <w:szCs w:val="20"/>
        </w:rPr>
        <w:t xml:space="preserve">2. Nair M, Baltag V, Bose K, Boschi-Pinto C, Lambrechts T, Mathai M. Improving the quality of health care services for adolescents globally: a standards-driven approach. J Adolesc Health. 2015;57(3):288-98.</w:t>
      </w:r>
    </w:p>
    <w:p>
      <w:pPr>
        <w:spacing w:after="80"/>
        <w:ind w:left="400" w:hanging="400"/>
      </w:pPr>
      <w:r>
        <w:rPr>
          <w:rFonts w:ascii="Calibri" w:cs="Calibri" w:eastAsia="Calibri" w:hAnsi="Calibri"/>
          <w:sz w:val="20"/>
          <w:szCs w:val="20"/>
        </w:rPr>
        <w:t xml:space="preserve">3. World Health Organization (WHO). Global standards for quality health care services for adolescents. Geneva: WHO; 2025.</w:t>
      </w:r>
    </w:p>
    <w:p>
      <w:pPr>
        <w:spacing w:after="80"/>
        <w:ind w:left="400" w:hanging="400"/>
      </w:pPr>
      <w:r>
        <w:rPr>
          <w:rFonts w:ascii="Calibri" w:cs="Calibri" w:eastAsia="Calibri" w:hAnsi="Calibri"/>
          <w:sz w:val="20"/>
          <w:szCs w:val="20"/>
        </w:rPr>
        <w:t xml:space="preserve">4. Cunningham FG, Leveno KJ, Dashe JS, Hoffman BL, Casey BM, Spong CY, editors. Williams Obstetrics. 26th ed. New York: McGraw Hill; 2022.</w:t>
      </w:r>
    </w:p>
    <w:p>
      <w:pPr>
        <w:spacing w:after="80"/>
        <w:ind w:left="400" w:hanging="400"/>
      </w:pPr>
      <w:r>
        <w:rPr>
          <w:rFonts w:ascii="Calibri" w:cs="Calibri" w:eastAsia="Calibri" w:hAnsi="Calibri"/>
          <w:sz w:val="20"/>
          <w:szCs w:val="20"/>
        </w:rPr>
        <w:t xml:space="preserve">5. Konsil Kesehatan Indonesia. Keputusan Ketua Konsil Kesehatan Indonesia Nomor HK.01.02/KKI/1318/2026 tentang Standar Kompetensi Dokter Spesialis dan Subspesialis Bidang Obstetri dan Ginekologi, Tabel 19 dan Tabel 25, komponen 7 dan 14.</w:t>
      </w:r>
    </w:p>
    <w:p>
      <w:pPr>
        <w:spacing w:after="80"/>
        <w:ind w:left="400" w:hanging="400"/>
      </w:pPr>
      <w:r>
        <w:rPr>
          <w:rFonts w:ascii="Calibri" w:cs="Calibri" w:eastAsia="Calibri" w:hAnsi="Calibri"/>
          <w:sz w:val="20"/>
          <w:szCs w:val="20"/>
        </w:rPr>
        <w:t xml:space="preserve">6. Kementerian Kesehatan Republik Indonesia. Pedoman Pelayanan Kesehatan Reproduksi Terpadu di Tingkat Pelayanan Kesehatan Dasar dan Rujukan.</w:t>
      </w:r>
    </w:p>
    <w:p>
      <w:r>
        <w:br w:type="page"/>
      </w:r>
    </w:p>
    <w:p>
      <w:pPr>
        <w:pStyle w:val="Heading1"/>
        <w:pBdr>
          <w:bottom w:val="single" w:color="7A1F3D" w:sz="12" w:space="8"/>
        </w:pBdr>
        <w:spacing w:after="240" w:before="240"/>
      </w:pPr>
      <w:r>
        <w:rPr>
          <w:rFonts w:ascii="Calibri" w:cs="Calibri" w:eastAsia="Calibri" w:hAnsi="Calibri"/>
          <w:b/>
          <w:bCs/>
          <w:color w:val="7A1F3D"/>
          <w:sz w:val="34"/>
          <w:szCs w:val="34"/>
        </w:rPr>
        <w:t xml:space="preserve">Bab 2. Edukasi Pubertas dan Seksualitas Aman</w:t>
      </w:r>
    </w:p>
    <w:tbl>
      <w:tblPr>
        <w:tblW w:type="pct" w:w="100%"/>
        <w:tblBorders>
          <w:top w:val="single" w:color="7A1F3D" w:sz="4"/>
          <w:left w:val="single" w:color="7A1F3D" w:sz="24"/>
          <w:bottom w:val="single" w:color="7A1F3D" w:sz="4"/>
          <w:right w:val="single" w:color="7A1F3D" w:sz="4"/>
          <w:insideH w:val="single" w:color="auto" w:sz="4"/>
          <w:insideV w:val="single" w:color="auto" w:sz="4"/>
        </w:tblBorders>
      </w:tblPr>
      <w:tblGrid>
        <w:gridCol w:w="100"/>
      </w:tblGrid>
      <w:tr>
        <w:tc>
          <w:tcPr>
            <w:shd w:fill="F3E3EA" w:val="clear"/>
            <w:tcMar>
              <w:top w:type="dxa" w:w="160"/>
              <w:left w:type="dxa" w:w="220"/>
              <w:bottom w:type="dxa" w:w="160"/>
              <w:right w:type="dxa" w:w="220"/>
            </w:tcMar>
          </w:tcPr>
          <w:p>
            <w:pPr>
              <w:spacing w:after="100"/>
            </w:pPr>
            <w:r>
              <w:rPr>
                <w:rFonts w:ascii="Calibri" w:cs="Calibri" w:eastAsia="Calibri" w:hAnsi="Calibri"/>
                <w:b/>
                <w:bCs/>
                <w:color w:val="7A1F3D"/>
                <w:sz w:val="22"/>
                <w:szCs w:val="22"/>
              </w:rPr>
              <w:t xml:space="preserve">Tujuan Pembelajaran Bab</w:t>
            </w:r>
          </w:p>
          <w:p>
            <w:pPr>
              <w:pStyle w:val="ListParagraph"/>
              <w:numPr>
                <w:ilvl w:val="0"/>
                <w:numId w:val="2"/>
              </w:numPr>
              <w:spacing w:after="60"/>
            </w:pPr>
            <w:r>
              <w:rPr>
                <w:rFonts w:ascii="Calibri" w:cs="Calibri" w:eastAsia="Calibri" w:hAnsi="Calibri"/>
                <w:sz w:val="21"/>
                <w:szCs w:val="21"/>
              </w:rPr>
              <w:t xml:space="preserve">Menjelaskan tahapan pubertas dan perkembangan psikososial remaja awal, menengah, dan akhir.</w:t>
            </w:r>
          </w:p>
          <w:p>
            <w:pPr>
              <w:pStyle w:val="ListParagraph"/>
              <w:numPr>
                <w:ilvl w:val="0"/>
                <w:numId w:val="2"/>
              </w:numPr>
              <w:spacing w:after="60"/>
            </w:pPr>
            <w:r>
              <w:rPr>
                <w:rFonts w:ascii="Calibri" w:cs="Calibri" w:eastAsia="Calibri" w:hAnsi="Calibri"/>
                <w:sz w:val="21"/>
                <w:szCs w:val="21"/>
              </w:rPr>
              <w:t xml:space="preserve">Menguraikan pendekatan komunikasi seksualitas komprehensif yang disesuaikan dengan tahap perkembangan remaja.</w:t>
            </w:r>
          </w:p>
          <w:p>
            <w:pPr>
              <w:pStyle w:val="ListParagraph"/>
              <w:numPr>
                <w:ilvl w:val="0"/>
                <w:numId w:val="2"/>
              </w:numPr>
              <w:spacing w:after="60"/>
            </w:pPr>
            <w:r>
              <w:rPr>
                <w:rFonts w:ascii="Calibri" w:cs="Calibri" w:eastAsia="Calibri" w:hAnsi="Calibri"/>
                <w:sz w:val="21"/>
                <w:szCs w:val="21"/>
              </w:rPr>
              <w:t xml:space="preserve">Menganalisis peran orang tua, sekolah, dan tenaga kesehatan dalam edukasi seksualitas yang aman dan berbasis bukti.</w:t>
            </w:r>
          </w:p>
          <w:p>
            <w:pPr>
              <w:pStyle w:val="ListParagraph"/>
              <w:numPr>
                <w:ilvl w:val="0"/>
                <w:numId w:val="2"/>
              </w:numPr>
              <w:spacing w:after="60"/>
            </w:pPr>
            <w:r>
              <w:rPr>
                <w:rFonts w:ascii="Calibri" w:cs="Calibri" w:eastAsia="Calibri" w:hAnsi="Calibri"/>
                <w:sz w:val="21"/>
                <w:szCs w:val="21"/>
              </w:rPr>
              <w:t xml:space="preserve">Mengidentifikasi hambatan sosial-budaya dalam penyampaian edukasi seksualitas di Indonesia.</w:t>
            </w:r>
          </w:p>
        </w:tc>
      </w:tr>
    </w:tbl>
    <w:p>
      <w:pPr>
        <w:spacing w:after="120"/>
      </w:pPr>
    </w:p>
    <w:p>
      <w:pPr>
        <w:pStyle w:val="Heading2"/>
        <w:spacing w:after="140" w:before="280"/>
      </w:pPr>
      <w:r>
        <w:rPr>
          <w:rFonts w:ascii="Calibri" w:cs="Calibri" w:eastAsia="Calibri" w:hAnsi="Calibri"/>
          <w:b/>
          <w:bCs/>
          <w:color w:val="7A1F3D"/>
          <w:sz w:val="27"/>
          <w:szCs w:val="27"/>
        </w:rPr>
        <w:t xml:space="preserve">2.1 Tahapan Pubertas dan Perkembangan Psikososial Remaja</w:t>
      </w:r>
    </w:p>
    <w:p>
      <w:pPr>
        <w:spacing w:after="160" w:line="288"/>
        <w:jc w:val="both"/>
      </w:pPr>
      <w:r>
        <w:rPr>
          <w:rFonts w:ascii="Calibri" w:cs="Calibri" w:eastAsia="Calibri" w:hAnsi="Calibri"/>
          <w:sz w:val="22"/>
          <w:szCs w:val="22"/>
        </w:rPr>
        <w:t xml:space="preserve">Pubertas merupakan proses biologis pematangan organ reproduksi dan ciri seks sekunder yang pada umumnya dimulai usia 8-13 tahun pada perempuan dan 9-14 tahun pada laki-laki, dinilai secara klinis menggunakan stadium Tanner untuk payudara dan pubis pada perempuan serta genitalia dan pubis pada laki-laki.(1) Namun demikian, perkembangan remaja tidak berhenti pada aspek biologis; proses ini berjalan paralel dengan pematangan kognitif dan psikososial yang lazim dibagi menjadi tiga fase.</w:t>
      </w:r>
    </w:p>
    <w:p>
      <w:pPr>
        <w:spacing w:after="160" w:line="288"/>
        <w:jc w:val="both"/>
      </w:pPr>
      <w:r>
        <w:rPr>
          <w:rFonts w:ascii="Calibri" w:cs="Calibri" w:eastAsia="Calibri" w:hAnsi="Calibri"/>
          <w:sz w:val="22"/>
          <w:szCs w:val="22"/>
        </w:rPr>
        <w:t xml:space="preserve">Remaja awal (kurang lebih 10-13 tahun) ditandai oleh preokupasi terhadap perubahan tubuh, rasa ingin tahu terhadap identitas fisik, serta pemikiran yang masih konkret. Remaja menengah (kurang lebih 14-16 tahun) ditandai oleh penguatan pengaruh kelompok sebaya, eksperimen identitas, serta mulai berkembangnya pemikiran abstrak meski penilaian risiko masih belum matang. Remaja akhir (kurang lebih 17-19 tahun) ditandai oleh konsolidasi identitas personal, kemampuan berpikir abstrak dan mempertimbangkan konsekuensi jangka panjang yang lebih matang, serta mulai terbentuknya relasi romantis yang lebih stabil.(2,3) Pemahaman tahapan ini krusial agar edukasi seksualitas dapat disesuaikan secara tepat, bukan diberikan secara seragam pada seluruh rentang usia remaja.</w:t>
      </w:r>
    </w:p>
    <w:p>
      <w:pPr>
        <w:pStyle w:val="Heading2"/>
        <w:spacing w:after="140" w:before="280"/>
      </w:pPr>
      <w:r>
        <w:rPr>
          <w:rFonts w:ascii="Calibri" w:cs="Calibri" w:eastAsia="Calibri" w:hAnsi="Calibri"/>
          <w:b/>
          <w:bCs/>
          <w:color w:val="7A1F3D"/>
          <w:sz w:val="27"/>
          <w:szCs w:val="27"/>
        </w:rPr>
        <w:t xml:space="preserve">2.2 Komunikasi Seksualitas Komprehensif Sesuai Tahap Perkembangan</w:t>
      </w:r>
    </w:p>
    <w:p>
      <w:pPr>
        <w:spacing w:after="160" w:line="288"/>
        <w:jc w:val="both"/>
      </w:pPr>
      <w:r>
        <w:rPr>
          <w:rFonts w:ascii="Calibri" w:cs="Calibri" w:eastAsia="Calibri" w:hAnsi="Calibri"/>
          <w:sz w:val="22"/>
          <w:szCs w:val="22"/>
        </w:rPr>
        <w:t xml:space="preserve">Comprehensive sexuality education menekankan penyampaian informasi yang akurat secara bertahap, sesuai usia, dan berbasis hak, bukan sekadar pesan pencegahan berbasis ketakutan.(4) Pendekatan ini mencakup pengetahuan tentang tubuh, hubungan, persetujuan (consent), serta keterampilan mengambil keputusan.</w:t>
      </w:r>
    </w:p>
    <w:p>
      <w:pPr>
        <w:pStyle w:val="Heading3"/>
        <w:spacing w:after="100" w:before="200"/>
      </w:pPr>
      <w:r>
        <w:rPr>
          <w:rFonts w:ascii="Calibri" w:cs="Calibri" w:eastAsia="Calibri" w:hAnsi="Calibri"/>
          <w:b/>
          <w:bCs/>
          <w:color w:val="555555"/>
          <w:sz w:val="24"/>
          <w:szCs w:val="24"/>
        </w:rPr>
        <w:t xml:space="preserve">a. Remaja Awal</w:t>
      </w:r>
    </w:p>
    <w:p>
      <w:pPr>
        <w:spacing w:after="160" w:line="288"/>
        <w:jc w:val="both"/>
      </w:pPr>
      <w:r>
        <w:rPr>
          <w:rFonts w:ascii="Calibri" w:cs="Calibri" w:eastAsia="Calibri" w:hAnsi="Calibri"/>
          <w:sz w:val="22"/>
          <w:szCs w:val="22"/>
        </w:rPr>
        <w:t xml:space="preserve">Fokus edukasi pada pengenalan perubahan tubuh yang normal, kebersihan organ reproduksi, batasan personal (personal boundaries), pengenalan sentuhan yang pantas dan tidak pantas, serta penguatan kemampuan mengatakan "tidak" terhadap situasi yang membuat tidak nyaman.</w:t>
      </w:r>
    </w:p>
    <w:p>
      <w:pPr>
        <w:pStyle w:val="Heading3"/>
        <w:spacing w:after="100" w:before="200"/>
      </w:pPr>
      <w:r>
        <w:rPr>
          <w:rFonts w:ascii="Calibri" w:cs="Calibri" w:eastAsia="Calibri" w:hAnsi="Calibri"/>
          <w:b/>
          <w:bCs/>
          <w:color w:val="555555"/>
          <w:sz w:val="24"/>
          <w:szCs w:val="24"/>
        </w:rPr>
        <w:t xml:space="preserve">b. Remaja Menengah</w:t>
      </w:r>
    </w:p>
    <w:p>
      <w:pPr>
        <w:spacing w:after="160" w:line="288"/>
        <w:jc w:val="both"/>
      </w:pPr>
      <w:r>
        <w:rPr>
          <w:rFonts w:ascii="Calibri" w:cs="Calibri" w:eastAsia="Calibri" w:hAnsi="Calibri"/>
          <w:sz w:val="22"/>
          <w:szCs w:val="22"/>
        </w:rPr>
        <w:t xml:space="preserve">Fokus edukasi diperluas pada pemahaman tentang identitas gender dan orientasi seksual secara faktual dan tidak menghakimi, tekanan sebaya terkait aktivitas seksual, risiko kehamilan dan infeksi menular seksual, serta pengenalan awal konsep persetujuan dalam relasi romantis.</w:t>
      </w:r>
    </w:p>
    <w:p>
      <w:pPr>
        <w:pStyle w:val="Heading3"/>
        <w:spacing w:after="100" w:before="200"/>
      </w:pPr>
      <w:r>
        <w:rPr>
          <w:rFonts w:ascii="Calibri" w:cs="Calibri" w:eastAsia="Calibri" w:hAnsi="Calibri"/>
          <w:b/>
          <w:bCs/>
          <w:color w:val="555555"/>
          <w:sz w:val="24"/>
          <w:szCs w:val="24"/>
        </w:rPr>
        <w:t xml:space="preserve">c. Remaja Akhir</w:t>
      </w:r>
    </w:p>
    <w:p>
      <w:pPr>
        <w:spacing w:after="160" w:line="288"/>
        <w:jc w:val="both"/>
      </w:pPr>
      <w:r>
        <w:rPr>
          <w:rFonts w:ascii="Calibri" w:cs="Calibri" w:eastAsia="Calibri" w:hAnsi="Calibri"/>
          <w:sz w:val="22"/>
          <w:szCs w:val="22"/>
        </w:rPr>
        <w:t xml:space="preserve">Fokus edukasi pada keterampilan negosiasi dalam relasi intim, pengambilan keputusan reproduksi yang matang termasuk pemilihan metode kontrasepsi, pengenalan risiko kekerasan dalam pacaran (dating violence), serta penguatan otonomi dalam mengakses layanan kesehatan reproduksi secara mandiri.</w:t>
      </w:r>
    </w:p>
    <w:p>
      <w:pPr>
        <w:spacing w:after="160" w:line="288"/>
        <w:jc w:val="both"/>
      </w:pPr>
      <w:r>
        <w:rPr>
          <w:rFonts w:ascii="Calibri" w:cs="Calibri" w:eastAsia="Calibri" w:hAnsi="Calibri"/>
          <w:sz w:val="22"/>
          <w:szCs w:val="22"/>
        </w:rPr>
        <w:t xml:space="preserve">Pada setiap tahap, komunikasi wajib disampaikan dengan bahasa yang netral, tidak menghakimi, dan menghormati privasi, terutama saat membahas topik yang berpotensi sensitif secara budaya seperti aktivitas seksual pranikah.</w:t>
      </w:r>
    </w:p>
    <w:p>
      <w:pPr>
        <w:pStyle w:val="Heading2"/>
        <w:spacing w:after="140" w:before="280"/>
      </w:pPr>
      <w:r>
        <w:rPr>
          <w:rFonts w:ascii="Calibri" w:cs="Calibri" w:eastAsia="Calibri" w:hAnsi="Calibri"/>
          <w:b/>
          <w:bCs/>
          <w:color w:val="7A1F3D"/>
          <w:sz w:val="27"/>
          <w:szCs w:val="27"/>
        </w:rPr>
        <w:t xml:space="preserve">2.3 Peran Orang Tua, Sekolah, dan Tenaga Kesehatan</w:t>
      </w:r>
    </w:p>
    <w:p>
      <w:pPr>
        <w:spacing w:after="160" w:line="288"/>
        <w:jc w:val="both"/>
      </w:pPr>
      <w:r>
        <w:rPr>
          <w:rFonts w:ascii="Calibri" w:cs="Calibri" w:eastAsia="Calibri" w:hAnsi="Calibri"/>
          <w:sz w:val="22"/>
          <w:szCs w:val="22"/>
        </w:rPr>
        <w:t xml:space="preserve">Edukasi seksualitas paling efektif ketika berlangsung sebagai upaya kolaboratif tiga pihak. Orang tua berperan sebagai sumber nilai dan pengasuhan sehari-hari, namun sering merasa tidak nyaman atau tidak memiliki pengetahuan teknis memadai untuk mendiskusikan topik ini secara terbuka.(5) Sekolah, melalui kurikulum pendidikan kesehatan dan program UKS, dapat menyediakan informasi terstandar secara sistematis kepada seluruh peserta didik. Tenaga kesehatan berperan memberikan informasi klinis yang akurat serta layanan konseling individual bagi remaja dengan kebutuhan atau risiko spesifik.</w:t>
      </w:r>
    </w:p>
    <w:p>
      <w:pPr>
        <w:spacing w:after="160" w:line="288"/>
        <w:jc w:val="both"/>
      </w:pPr>
      <w:r>
        <w:rPr>
          <w:rFonts w:ascii="Calibri" w:cs="Calibri" w:eastAsia="Calibri" w:hAnsi="Calibri"/>
          <w:sz w:val="22"/>
          <w:szCs w:val="22"/>
        </w:rPr>
        <w:t xml:space="preserve">Di Indonesia, tantangan utama kolaborasi ini adalah kesenjangan pemahaman antarpihak mengenai batasan materi yang dianggap sesuai norma sosial-budaya setempat, sehingga edukasi seksualitas komprehensif kerap tereduksi menjadi edukasi abstinensia semata. Dokter subspesialis Obstetri Ginekologi Sosial dapat berperan sebagai fasilitator dialog antara sekolah, orang tua, dan otoritas kesehatan agar materi edukasi tetap berbasis bukti tanpa mengabaikan konteks budaya setempat.</w:t>
      </w:r>
    </w:p>
    <w:tbl>
      <w:tblPr>
        <w:tblW w:type="pct" w:w="100%"/>
        <w:tblBorders>
          <w:top w:val="single" w:color="555555" w:sz="4"/>
          <w:left w:val="single" w:color="555555" w:sz="24"/>
          <w:bottom w:val="single" w:color="555555" w:sz="4"/>
          <w:right w:val="single" w:color="555555" w:sz="4"/>
          <w:insideH w:val="single" w:color="auto" w:sz="4"/>
          <w:insideV w:val="single" w:color="auto" w:sz="4"/>
        </w:tblBorders>
      </w:tblPr>
      <w:tblGrid>
        <w:gridCol w:w="100"/>
      </w:tblGrid>
      <w:tr>
        <w:tc>
          <w:tcPr>
            <w:shd w:fill="F2F2F2" w:val="clear"/>
            <w:tcMar>
              <w:top w:type="dxa" w:w="160"/>
              <w:left w:type="dxa" w:w="220"/>
              <w:bottom w:type="dxa" w:w="160"/>
              <w:right w:type="dxa" w:w="220"/>
            </w:tcMar>
          </w:tcPr>
          <w:p>
            <w:pPr>
              <w:spacing w:after="100"/>
            </w:pPr>
            <w:r>
              <w:rPr>
                <w:rFonts w:ascii="Calibri" w:cs="Calibri" w:eastAsia="Calibri" w:hAnsi="Calibri"/>
                <w:b/>
                <w:bCs/>
                <w:color w:val="555555"/>
                <w:sz w:val="22"/>
                <w:szCs w:val="22"/>
              </w:rPr>
              <w:t xml:space="preserve">Perbedaan Standar Internasional vs Konteks Indonesia</w:t>
            </w:r>
          </w:p>
          <w:p>
            <w:pPr>
              <w:spacing w:after="60"/>
            </w:pPr>
            <w:r>
              <w:rPr>
                <w:rFonts w:ascii="Calibri" w:cs="Calibri" w:eastAsia="Calibri" w:hAnsi="Calibri"/>
                <w:b/>
                <w:bCs/>
                <w:sz w:val="21"/>
                <w:szCs w:val="21"/>
              </w:rPr>
              <w:t xml:space="preserve">Standar Internasional: </w:t>
            </w:r>
            <w:r>
              <w:rPr>
                <w:rFonts w:ascii="Calibri" w:cs="Calibri" w:eastAsia="Calibri" w:hAnsi="Calibri"/>
                <w:sz w:val="21"/>
                <w:szCs w:val="21"/>
              </w:rPr>
              <w:t xml:space="preserve">WHO dan UNESCO merekomendasikan comprehensive sexuality education yang mencakup topik consent, orientasi seksual, dan kontrasepsi disampaikan sejak usia dini secara bertahap tanpa penundaan berdasarkan status pernikahan.</w:t>
            </w:r>
          </w:p>
          <w:p>
            <w:pPr>
              <w:spacing w:after="0"/>
            </w:pPr>
            <w:r>
              <w:rPr>
                <w:rFonts w:ascii="Calibri" w:cs="Calibri" w:eastAsia="Calibri" w:hAnsi="Calibri"/>
                <w:b/>
                <w:bCs/>
                <w:sz w:val="21"/>
                <w:szCs w:val="21"/>
              </w:rPr>
              <w:t xml:space="preserve">Konteks Indonesia: </w:t>
            </w:r>
            <w:r>
              <w:rPr>
                <w:rFonts w:ascii="Calibri" w:cs="Calibri" w:eastAsia="Calibri" w:hAnsi="Calibri"/>
                <w:sz w:val="21"/>
                <w:szCs w:val="21"/>
              </w:rPr>
              <w:t xml:space="preserve">Kurikulum pendidikan kesehatan reproduksi di Indonesia umumnya menekankan pendekatan abstinensia dan nilai keagamaan; pembahasan eksplisit tentang kontrasepsi bagi remaja belum menikah masih menghadapi resistensi sosial dan keterbatasan regulasi, sehingga penyampaiannya memerlukan kontekstualisasi budaya tanpa mengorbankan akurasi informasi klinis.</w:t>
            </w:r>
          </w:p>
        </w:tc>
      </w:tr>
    </w:tbl>
    <w:p>
      <w:pPr>
        <w:spacing w:after="120"/>
      </w:pPr>
    </w:p>
    <w:tbl>
      <w:tblPr>
        <w:tblW w:type="pct" w:w="100%"/>
        <w:tblBorders>
          <w:top w:val="single" w:color="7A1F3D" w:sz="4"/>
          <w:left w:val="single" w:color="7A1F3D" w:sz="24"/>
          <w:bottom w:val="single" w:color="7A1F3D" w:sz="4"/>
          <w:right w:val="single" w:color="7A1F3D" w:sz="4"/>
          <w:insideH w:val="single" w:color="auto" w:sz="4"/>
          <w:insideV w:val="single" w:color="auto" w:sz="4"/>
        </w:tblBorders>
      </w:tblPr>
      <w:tblGrid>
        <w:gridCol w:w="100"/>
      </w:tblGrid>
      <w:tr>
        <w:tc>
          <w:tcPr>
            <w:shd w:fill="FBF6F8" w:val="clear"/>
            <w:tcMar>
              <w:top w:type="dxa" w:w="160"/>
              <w:left w:type="dxa" w:w="220"/>
              <w:bottom w:type="dxa" w:w="160"/>
              <w:right w:type="dxa" w:w="220"/>
            </w:tcMar>
          </w:tcPr>
          <w:p>
            <w:pPr>
              <w:spacing w:after="100"/>
            </w:pPr>
            <w:r>
              <w:rPr>
                <w:rFonts w:ascii="Calibri" w:cs="Calibri" w:eastAsia="Calibri" w:hAnsi="Calibri"/>
                <w:b/>
                <w:bCs/>
                <w:color w:val="7A1F3D"/>
                <w:sz w:val="22"/>
                <w:szCs w:val="22"/>
              </w:rPr>
              <w:t xml:space="preserve">Vignette Klinis (Ilustratif, Tidak Identifiable)</w:t>
            </w:r>
          </w:p>
          <w:p>
            <w:pPr>
              <w:spacing w:after="160" w:line="288"/>
              <w:jc w:val="both"/>
            </w:pPr>
            <w:r>
              <w:rPr>
                <w:rFonts w:ascii="Calibri" w:cs="Calibri" w:eastAsia="Calibri" w:hAnsi="Calibri"/>
                <w:sz w:val="22"/>
                <w:szCs w:val="22"/>
              </w:rPr>
              <w:t xml:space="preserve">Seorang guru bimbingan konseling di sekolah menengah meminta pendapat dokter Puskesmas mengenai keluhan beberapa siswa yang bertanya tentang menstruasi dan mimpi basah namun malu bertanya kepada orang tua. Dokter memberikan sesi edukasi kelompok kecil dengan bahasa yang sesuai usia, disertai kesempatan bertanya secara anonim melalui kotak pertanyaan tertulis, sehingga siswa yang malu tetap dapat memperoleh informasi yang mereka butuhkan.</w:t>
            </w:r>
          </w:p>
        </w:tc>
      </w:tr>
    </w:tbl>
    <w:p>
      <w:pPr>
        <w:spacing w:after="120"/>
      </w:pPr>
    </w:p>
    <w:tbl>
      <w:tblPr>
        <w:tblW w:type="pct" w:w="100%"/>
        <w:tblBorders>
          <w:top w:val="single" w:color="7A1F3D" w:sz="4"/>
          <w:left w:val="single" w:color="7A1F3D" w:sz="24"/>
          <w:bottom w:val="single" w:color="7A1F3D" w:sz="4"/>
          <w:right w:val="single" w:color="7A1F3D" w:sz="4"/>
          <w:insideH w:val="single" w:color="auto" w:sz="4"/>
          <w:insideV w:val="single" w:color="auto" w:sz="4"/>
        </w:tblBorders>
      </w:tblPr>
      <w:tblGrid>
        <w:gridCol w:w="100"/>
      </w:tblGrid>
      <w:tr>
        <w:tc>
          <w:tcPr>
            <w:shd w:fill="F3E3EA" w:val="clear"/>
            <w:tcMar>
              <w:top w:type="dxa" w:w="160"/>
              <w:left w:type="dxa" w:w="220"/>
              <w:bottom w:type="dxa" w:w="160"/>
              <w:right w:type="dxa" w:w="220"/>
            </w:tcMar>
          </w:tcPr>
          <w:p>
            <w:pPr>
              <w:spacing w:after="100"/>
            </w:pPr>
            <w:r>
              <w:rPr>
                <w:rFonts w:ascii="Calibri" w:cs="Calibri" w:eastAsia="Calibri" w:hAnsi="Calibri"/>
                <w:b/>
                <w:bCs/>
                <w:color w:val="7A1F3D"/>
                <w:sz w:val="22"/>
                <w:szCs w:val="22"/>
              </w:rPr>
              <w:t xml:space="preserve">Poin Kunci</w:t>
            </w:r>
          </w:p>
          <w:p>
            <w:pPr>
              <w:pStyle w:val="ListParagraph"/>
              <w:numPr>
                <w:ilvl w:val="0"/>
                <w:numId w:val="2"/>
              </w:numPr>
              <w:spacing w:after="60"/>
            </w:pPr>
            <w:r>
              <w:rPr>
                <w:rFonts w:ascii="Calibri" w:cs="Calibri" w:eastAsia="Calibri" w:hAnsi="Calibri"/>
                <w:sz w:val="21"/>
                <w:szCs w:val="21"/>
              </w:rPr>
              <w:t xml:space="preserve">Pubertas adalah proses biologis yang berjalan paralel dengan tiga fase perkembangan psikososial: remaja awal, menengah, dan akhir.</w:t>
            </w:r>
          </w:p>
          <w:p>
            <w:pPr>
              <w:pStyle w:val="ListParagraph"/>
              <w:numPr>
                <w:ilvl w:val="0"/>
                <w:numId w:val="2"/>
              </w:numPr>
              <w:spacing w:after="60"/>
            </w:pPr>
            <w:r>
              <w:rPr>
                <w:rFonts w:ascii="Calibri" w:cs="Calibri" w:eastAsia="Calibri" w:hAnsi="Calibri"/>
                <w:sz w:val="21"/>
                <w:szCs w:val="21"/>
              </w:rPr>
              <w:t xml:space="preserve">Comprehensive sexuality education menyesuaikan kedalaman materi dengan tahap perkembangan, bukan diberikan secara seragam.</w:t>
            </w:r>
          </w:p>
          <w:p>
            <w:pPr>
              <w:pStyle w:val="ListParagraph"/>
              <w:numPr>
                <w:ilvl w:val="0"/>
                <w:numId w:val="2"/>
              </w:numPr>
              <w:spacing w:after="60"/>
            </w:pPr>
            <w:r>
              <w:rPr>
                <w:rFonts w:ascii="Calibri" w:cs="Calibri" w:eastAsia="Calibri" w:hAnsi="Calibri"/>
                <w:sz w:val="21"/>
                <w:szCs w:val="21"/>
              </w:rPr>
              <w:t xml:space="preserve">Remaja awal membutuhkan edukasi tentang tubuh dan batasan personal; remaja akhir membutuhkan keterampilan pengambilan keputusan reproduksi.</w:t>
            </w:r>
          </w:p>
          <w:p>
            <w:pPr>
              <w:pStyle w:val="ListParagraph"/>
              <w:numPr>
                <w:ilvl w:val="0"/>
                <w:numId w:val="2"/>
              </w:numPr>
              <w:spacing w:after="60"/>
            </w:pPr>
            <w:r>
              <w:rPr>
                <w:rFonts w:ascii="Calibri" w:cs="Calibri" w:eastAsia="Calibri" w:hAnsi="Calibri"/>
                <w:sz w:val="21"/>
                <w:szCs w:val="21"/>
              </w:rPr>
              <w:t xml:space="preserve">Kolaborasi orang tua, sekolah, dan tenaga kesehatan meningkatkan efektivitas edukasi seksualitas.</w:t>
            </w:r>
          </w:p>
          <w:p>
            <w:pPr>
              <w:pStyle w:val="ListParagraph"/>
              <w:numPr>
                <w:ilvl w:val="0"/>
                <w:numId w:val="2"/>
              </w:numPr>
              <w:spacing w:after="60"/>
            </w:pPr>
            <w:r>
              <w:rPr>
                <w:rFonts w:ascii="Calibri" w:cs="Calibri" w:eastAsia="Calibri" w:hAnsi="Calibri"/>
                <w:sz w:val="21"/>
                <w:szCs w:val="21"/>
              </w:rPr>
              <w:t xml:space="preserve">Kesenjangan norma budaya di Indonesia sering mereduksi edukasi seksualitas menjadi pendekatan abstinensia semata.</w:t>
            </w:r>
          </w:p>
          <w:p>
            <w:pPr>
              <w:pStyle w:val="ListParagraph"/>
              <w:numPr>
                <w:ilvl w:val="0"/>
                <w:numId w:val="2"/>
              </w:numPr>
              <w:spacing w:after="60"/>
            </w:pPr>
            <w:r>
              <w:rPr>
                <w:rFonts w:ascii="Calibri" w:cs="Calibri" w:eastAsia="Calibri" w:hAnsi="Calibri"/>
                <w:sz w:val="21"/>
                <w:szCs w:val="21"/>
              </w:rPr>
              <w:t xml:space="preserve">Dokter Obginsos berperan sebagai fasilitator dialog lintas pihak agar materi tetap berbasis bukti dan kontekstual.</w:t>
            </w:r>
          </w:p>
        </w:tc>
      </w:tr>
    </w:tbl>
    <w:p>
      <w:pPr>
        <w:pBdr>
          <w:top w:val="single" w:color="555555" w:sz="4" w:space="6"/>
        </w:pBdr>
        <w:spacing w:after="120" w:before="300"/>
      </w:pPr>
      <w:r>
        <w:rPr>
          <w:rFonts w:ascii="Calibri" w:cs="Calibri" w:eastAsia="Calibri" w:hAnsi="Calibri"/>
          <w:b/>
          <w:bCs/>
          <w:i/>
          <w:iCs/>
          <w:color w:val="555555"/>
          <w:sz w:val="22"/>
          <w:szCs w:val="22"/>
        </w:rPr>
        <w:t xml:space="preserve">Referensi Bab</w:t>
      </w:r>
    </w:p>
    <w:p>
      <w:pPr>
        <w:spacing w:after="80"/>
        <w:ind w:left="400" w:hanging="400"/>
      </w:pPr>
      <w:r>
        <w:rPr>
          <w:rFonts w:ascii="Calibri" w:cs="Calibri" w:eastAsia="Calibri" w:hAnsi="Calibri"/>
          <w:sz w:val="20"/>
          <w:szCs w:val="20"/>
        </w:rPr>
        <w:t xml:space="preserve">1. Berek JS, editor. Berek &amp; Novak's Gynecology. 17th ed. Philadelphia: Wolters Kluwer; 2023.</w:t>
      </w:r>
    </w:p>
    <w:p>
      <w:pPr>
        <w:spacing w:after="80"/>
        <w:ind w:left="400" w:hanging="400"/>
      </w:pPr>
      <w:r>
        <w:rPr>
          <w:rFonts w:ascii="Calibri" w:cs="Calibri" w:eastAsia="Calibri" w:hAnsi="Calibri"/>
          <w:sz w:val="20"/>
          <w:szCs w:val="20"/>
        </w:rPr>
        <w:t xml:space="preserve">2. Steinberg L. Adolescence. 13th ed. New York: McGraw Hill; 2023.</w:t>
      </w:r>
    </w:p>
    <w:p>
      <w:pPr>
        <w:spacing w:after="80"/>
        <w:ind w:left="400" w:hanging="400"/>
      </w:pPr>
      <w:r>
        <w:rPr>
          <w:rFonts w:ascii="Calibri" w:cs="Calibri" w:eastAsia="Calibri" w:hAnsi="Calibri"/>
          <w:sz w:val="20"/>
          <w:szCs w:val="20"/>
        </w:rPr>
        <w:t xml:space="preserve">3. American College of Obstetricians and Gynecologists (ACOG). The Initial Reproductive Health Visit. ACOG Committee Opinion No. 811. Obstet Gynecol. 2020;136(4):e70-80.</w:t>
      </w:r>
    </w:p>
    <w:p>
      <w:pPr>
        <w:spacing w:after="80"/>
        <w:ind w:left="400" w:hanging="400"/>
      </w:pPr>
      <w:r>
        <w:rPr>
          <w:rFonts w:ascii="Calibri" w:cs="Calibri" w:eastAsia="Calibri" w:hAnsi="Calibri"/>
          <w:sz w:val="20"/>
          <w:szCs w:val="20"/>
        </w:rPr>
        <w:t xml:space="preserve">4. UNESCO, UNAIDS, UNFPA, UNICEF, UN Women, WHO. International Technical Guidance on Sexuality Education: An Evidence-Informed Approach. Revised ed. Paris: UNESCO; 2018.</w:t>
      </w:r>
    </w:p>
    <w:p>
      <w:pPr>
        <w:spacing w:after="80"/>
        <w:ind w:left="400" w:hanging="400"/>
      </w:pPr>
      <w:r>
        <w:rPr>
          <w:rFonts w:ascii="Calibri" w:cs="Calibri" w:eastAsia="Calibri" w:hAnsi="Calibri"/>
          <w:sz w:val="20"/>
          <w:szCs w:val="20"/>
        </w:rPr>
        <w:t xml:space="preserve">5. World Health Organization (WHO). Global standards for quality health care services for adolescents. Geneva: WHO; 2025.</w:t>
      </w:r>
    </w:p>
    <w:p>
      <w:r>
        <w:br w:type="page"/>
      </w:r>
    </w:p>
    <w:p>
      <w:pPr>
        <w:pStyle w:val="Heading1"/>
        <w:pBdr>
          <w:bottom w:val="single" w:color="7A1F3D" w:sz="12" w:space="8"/>
        </w:pBdr>
        <w:spacing w:after="240" w:before="240"/>
      </w:pPr>
      <w:r>
        <w:rPr>
          <w:rFonts w:ascii="Calibri" w:cs="Calibri" w:eastAsia="Calibri" w:hAnsi="Calibri"/>
          <w:b/>
          <w:bCs/>
          <w:color w:val="7A1F3D"/>
          <w:sz w:val="34"/>
          <w:szCs w:val="34"/>
        </w:rPr>
        <w:t xml:space="preserve">Bab 3. Pencegahan Kehamilan Dini dan Konseling Kontrasepsi Remaja</w:t>
      </w:r>
    </w:p>
    <w:tbl>
      <w:tblPr>
        <w:tblW w:type="pct" w:w="100%"/>
        <w:tblBorders>
          <w:top w:val="single" w:color="7A1F3D" w:sz="4"/>
          <w:left w:val="single" w:color="7A1F3D" w:sz="24"/>
          <w:bottom w:val="single" w:color="7A1F3D" w:sz="4"/>
          <w:right w:val="single" w:color="7A1F3D" w:sz="4"/>
          <w:insideH w:val="single" w:color="auto" w:sz="4"/>
          <w:insideV w:val="single" w:color="auto" w:sz="4"/>
        </w:tblBorders>
      </w:tblPr>
      <w:tblGrid>
        <w:gridCol w:w="100"/>
      </w:tblGrid>
      <w:tr>
        <w:tc>
          <w:tcPr>
            <w:shd w:fill="F3E3EA" w:val="clear"/>
            <w:tcMar>
              <w:top w:type="dxa" w:w="160"/>
              <w:left w:type="dxa" w:w="220"/>
              <w:bottom w:type="dxa" w:w="160"/>
              <w:right w:type="dxa" w:w="220"/>
            </w:tcMar>
          </w:tcPr>
          <w:p>
            <w:pPr>
              <w:spacing w:after="100"/>
            </w:pPr>
            <w:r>
              <w:rPr>
                <w:rFonts w:ascii="Calibri" w:cs="Calibri" w:eastAsia="Calibri" w:hAnsi="Calibri"/>
                <w:b/>
                <w:bCs/>
                <w:color w:val="7A1F3D"/>
                <w:sz w:val="22"/>
                <w:szCs w:val="22"/>
              </w:rPr>
              <w:t xml:space="preserve">Tujuan Pembelajaran Bab</w:t>
            </w:r>
          </w:p>
          <w:p>
            <w:pPr>
              <w:pStyle w:val="ListParagraph"/>
              <w:numPr>
                <w:ilvl w:val="0"/>
                <w:numId w:val="2"/>
              </w:numPr>
              <w:spacing w:after="60"/>
            </w:pPr>
            <w:r>
              <w:rPr>
                <w:rFonts w:ascii="Calibri" w:cs="Calibri" w:eastAsia="Calibri" w:hAnsi="Calibri"/>
                <w:sz w:val="21"/>
                <w:szCs w:val="21"/>
              </w:rPr>
              <w:t xml:space="preserve">Menjelaskan epidemiologi dan faktor risiko kehamilan pada usia remaja di Indonesia.</w:t>
            </w:r>
          </w:p>
          <w:p>
            <w:pPr>
              <w:pStyle w:val="ListParagraph"/>
              <w:numPr>
                <w:ilvl w:val="0"/>
                <w:numId w:val="2"/>
              </w:numPr>
              <w:spacing w:after="60"/>
            </w:pPr>
            <w:r>
              <w:rPr>
                <w:rFonts w:ascii="Calibri" w:cs="Calibri" w:eastAsia="Calibri" w:hAnsi="Calibri"/>
                <w:sz w:val="21"/>
                <w:szCs w:val="21"/>
              </w:rPr>
              <w:t xml:space="preserve">Menguraikan pilihan metode kontrasepsi yang sesuai dengan usia dan status pernikahan remaja.</w:t>
            </w:r>
          </w:p>
          <w:p>
            <w:pPr>
              <w:pStyle w:val="ListParagraph"/>
              <w:numPr>
                <w:ilvl w:val="0"/>
                <w:numId w:val="2"/>
              </w:numPr>
              <w:spacing w:after="60"/>
            </w:pPr>
            <w:r>
              <w:rPr>
                <w:rFonts w:ascii="Calibri" w:cs="Calibri" w:eastAsia="Calibri" w:hAnsi="Calibri"/>
                <w:sz w:val="21"/>
                <w:szCs w:val="21"/>
              </w:rPr>
              <w:t xml:space="preserve">Menganalisis hambatan akses layanan kontrasepsi bagi remaja belum menikah di konteks Indonesia.</w:t>
            </w:r>
          </w:p>
          <w:p>
            <w:pPr>
              <w:pStyle w:val="ListParagraph"/>
              <w:numPr>
                <w:ilvl w:val="0"/>
                <w:numId w:val="2"/>
              </w:numPr>
              <w:spacing w:after="60"/>
            </w:pPr>
            <w:r>
              <w:rPr>
                <w:rFonts w:ascii="Calibri" w:cs="Calibri" w:eastAsia="Calibri" w:hAnsi="Calibri"/>
                <w:sz w:val="21"/>
                <w:szCs w:val="21"/>
              </w:rPr>
              <w:t xml:space="preserve">Membandingkan standar internasional dan regulasi nasional terkait akses kontrasepsi remaja.</w:t>
            </w:r>
          </w:p>
        </w:tc>
      </w:tr>
    </w:tbl>
    <w:p>
      <w:pPr>
        <w:spacing w:after="120"/>
      </w:pPr>
    </w:p>
    <w:p>
      <w:pPr>
        <w:pStyle w:val="Heading2"/>
        <w:spacing w:after="140" w:before="280"/>
      </w:pPr>
      <w:r>
        <w:rPr>
          <w:rFonts w:ascii="Calibri" w:cs="Calibri" w:eastAsia="Calibri" w:hAnsi="Calibri"/>
          <w:b/>
          <w:bCs/>
          <w:color w:val="7A1F3D"/>
          <w:sz w:val="27"/>
          <w:szCs w:val="27"/>
        </w:rPr>
        <w:t xml:space="preserve">3.1 Epidemiologi dan Faktor Risiko Kehamilan pada Usia Remaja</w:t>
      </w:r>
    </w:p>
    <w:p>
      <w:pPr>
        <w:spacing w:after="160" w:line="288"/>
        <w:jc w:val="both"/>
      </w:pPr>
      <w:r>
        <w:rPr>
          <w:rFonts w:ascii="Calibri" w:cs="Calibri" w:eastAsia="Calibri" w:hAnsi="Calibri"/>
          <w:sz w:val="22"/>
          <w:szCs w:val="22"/>
        </w:rPr>
        <w:t xml:space="preserve">Kehamilan pada usia remaja tetap menjadi tantangan kesehatan masyarakat di Indonesia, dengan angka kelahiran remaja (usia 15-19 tahun) yang bervariasi antarwilayah dan lebih tinggi pada daerah dengan angka perkawinan anak yang tinggi.(1) Kehamilan remaja berasosiasi dengan risiko komplikasi obstetri yang lebih tinggi, termasuk preeklamsia, persalinan preterm, dan berat bayi lahir rendah, akibat ketidakmatangan fisiologis panggul dan jalan lahir serta keterlambatan akses layanan antenatal.(2)</w:t>
      </w:r>
    </w:p>
    <w:p>
      <w:pPr>
        <w:spacing w:after="160" w:line="288"/>
        <w:jc w:val="both"/>
      </w:pPr>
      <w:r>
        <w:rPr>
          <w:rFonts w:ascii="Calibri" w:cs="Calibri" w:eastAsia="Calibri" w:hAnsi="Calibri"/>
          <w:sz w:val="22"/>
          <w:szCs w:val="22"/>
        </w:rPr>
        <w:t xml:space="preserve">Faktor risiko kehamilan dini bersifat multidimensi: faktor individu seperti rendahnya literasi kesehatan reproduksi dan pengambilan keputusan yang belum matang; faktor keluarga seperti kemiskinan dan tekanan perkawinan anak; faktor sosial seperti norma budaya yang menormalisasi perkawinan usia dini; serta faktor sistem layanan seperti terbatasnya akses remaja belum menikah terhadap informasi dan metode kontrasepsi. Pendekatan pencegahan yang efektif harus menyasar seluruh lapisan faktor risiko ini secara simultan, bukan hanya intervensi klinis semata.</w:t>
      </w:r>
    </w:p>
    <w:p>
      <w:pPr>
        <w:spacing w:after="160" w:line="288"/>
        <w:jc w:val="both"/>
      </w:pPr>
      <w:r>
        <w:rPr>
          <w:rFonts w:ascii="Calibri" w:cs="Calibri" w:eastAsia="Calibri" w:hAnsi="Calibri"/>
          <w:sz w:val="22"/>
          <w:szCs w:val="22"/>
        </w:rPr>
        <w:t xml:space="preserve">Kepkonsil Nomor HK.01.02/KKI/1318/2026 secara eksplisit mensyaratkan penguasaan konsep life-course approach dan Developmental Origins of Health and Disease (DOHaD) dalam kompetensi penatalaksanaan kehamilan remaja, yaitu kerangka berpikir yang menjelaskan bagaimana paparan biopsikososial pada masa remaja dan kehamilan dini dapat memengaruhi lintasan kesehatan ibu maupun keturunannya hingga dewasa.(7) Dalam klasifikasi penyakit yang digunakan sistem rekam medis Indonesia, kehamilan remaja (teenage pregnancy) dikodekan sebagai Z35.6 pada ICD-10 dan QA43.5 pada ICD-11, dengan kompetensi klinis yang dituntut berupa supervisi kehamilan remaja secara terstruktur.(7)</w:t>
      </w:r>
    </w:p>
    <w:p>
      <w:pPr>
        <w:pStyle w:val="Heading2"/>
        <w:spacing w:after="140" w:before="280"/>
      </w:pPr>
      <w:r>
        <w:rPr>
          <w:rFonts w:ascii="Calibri" w:cs="Calibri" w:eastAsia="Calibri" w:hAnsi="Calibri"/>
          <w:b/>
          <w:bCs/>
          <w:color w:val="7A1F3D"/>
          <w:sz w:val="27"/>
          <w:szCs w:val="27"/>
        </w:rPr>
        <w:t xml:space="preserve">3.2 Pilihan Kontrasepsi Sesuai Usia dan Status Pernikahan</w:t>
      </w:r>
    </w:p>
    <w:p>
      <w:pPr>
        <w:spacing w:after="160" w:line="288"/>
        <w:jc w:val="both"/>
      </w:pPr>
      <w:r>
        <w:rPr>
          <w:rFonts w:ascii="Calibri" w:cs="Calibri" w:eastAsia="Calibri" w:hAnsi="Calibri"/>
          <w:sz w:val="22"/>
          <w:szCs w:val="22"/>
        </w:rPr>
        <w:t xml:space="preserve">Pemilihan metode kontrasepsi bagi remaja mempertimbangkan keamanan medis, efektivitas, kemudahan kepatuhan, serta penerimaan sosial. Metode kontrasepsi reversibel jangka panjang (Long-Acting Reversible Contraception/LARC)—seperti implan dan alat kontrasepsi dalam rahim (AKDR)—direkomendasikan sebagai pilihan lini pertama bagi remaja yang aktif secara seksual karena efektivitasnya tidak bergantung pada kepatuhan harian pengguna, dengan profil keamanan yang baik terlepas dari status paritas.(3,4)</w:t>
      </w:r>
    </w:p>
    <w:p>
      <w:pPr>
        <w:spacing w:after="160" w:line="288"/>
        <w:jc w:val="both"/>
      </w:pPr>
      <w:r>
        <w:rPr>
          <w:rFonts w:ascii="Calibri" w:cs="Calibri" w:eastAsia="Calibri" w:hAnsi="Calibri"/>
          <w:sz w:val="22"/>
          <w:szCs w:val="22"/>
        </w:rPr>
        <w:t xml:space="preserve">Metode hormonal jangka pendek seperti pil kombinasi atau suntik dapat menjadi pilihan bagi remaja yang menginginkan kendali siklus haid atau memiliki preferensi metode yang dapat dihentikan sendiri, namun membutuhkan konseling kepatuhan yang lebih intensif. Kondom tetap direkomendasikan sebagai metode pelengkap (dual protection) untuk pencegahan infeksi menular seksual, terlepas dari metode kontrasepsi utama yang dipilih.</w:t>
      </w:r>
    </w:p>
    <w:p>
      <w:pPr>
        <w:spacing w:after="160" w:line="288"/>
        <w:jc w:val="both"/>
      </w:pPr>
      <w:r>
        <w:rPr>
          <w:rFonts w:ascii="Calibri" w:cs="Calibri" w:eastAsia="Calibri" w:hAnsi="Calibri"/>
          <w:sz w:val="22"/>
          <w:szCs w:val="22"/>
        </w:rPr>
        <w:t xml:space="preserve">Status pernikahan turut memengaruhi pertimbangan klinis dan sosial: pada remaja menikah, konseling kontrasepsi umumnya lebih mudah diterima secara sosial dan dapat melibatkan pasangan, sedangkan pada remaja belum menikah, konseling perlu lebih menekankan kerahasiaan serta kesiapan menghadapi kemungkinan stigma sosial maupun hambatan regulasi dalam mengakses layanan tersebut.</w:t>
      </w:r>
    </w:p>
    <w:tbl>
      <w:tblPr>
        <w:tblW w:type="pct" w:w="100%"/>
        <w:tblBorders>
          <w:top w:val="single" w:color="555555" w:sz="4"/>
          <w:left w:val="single" w:color="555555" w:sz="24"/>
          <w:bottom w:val="single" w:color="555555" w:sz="4"/>
          <w:right w:val="single" w:color="555555" w:sz="4"/>
          <w:insideH w:val="single" w:color="auto" w:sz="4"/>
          <w:insideV w:val="single" w:color="auto" w:sz="4"/>
        </w:tblBorders>
      </w:tblPr>
      <w:tblGrid>
        <w:gridCol w:w="100"/>
      </w:tblGrid>
      <w:tr>
        <w:tc>
          <w:tcPr>
            <w:shd w:fill="F2F2F2" w:val="clear"/>
            <w:tcMar>
              <w:top w:type="dxa" w:w="160"/>
              <w:left w:type="dxa" w:w="220"/>
              <w:bottom w:type="dxa" w:w="160"/>
              <w:right w:type="dxa" w:w="220"/>
            </w:tcMar>
          </w:tcPr>
          <w:p>
            <w:pPr>
              <w:spacing w:after="100"/>
            </w:pPr>
            <w:r>
              <w:rPr>
                <w:rFonts w:ascii="Calibri" w:cs="Calibri" w:eastAsia="Calibri" w:hAnsi="Calibri"/>
                <w:b/>
                <w:bCs/>
                <w:color w:val="555555"/>
                <w:sz w:val="22"/>
                <w:szCs w:val="22"/>
              </w:rPr>
              <w:t xml:space="preserve">Kompetensi Kepkonsil Terkait: Tabel 25 Komponen 7</w:t>
            </w:r>
          </w:p>
          <w:p>
            <w:pPr>
              <w:spacing w:after="160" w:line="288"/>
              <w:jc w:val="both"/>
            </w:pPr>
            <w:r>
              <w:rPr>
                <w:rFonts w:ascii="Calibri" w:cs="Calibri" w:eastAsia="Calibri" w:hAnsi="Calibri"/>
                <w:sz w:val="22"/>
                <w:szCs w:val="22"/>
              </w:rPr>
              <w:t xml:space="preserve">Kepkonsil Nomor HK.01.02/KKI/1318/2026 (Tabel 25, komponen kompetensi prosedur klinis nomor 7) mensyaratkan penguasaan teknik pemasangan LARC dan evakuasi uterus yang atraumatik, penilaian komorbid dan profil koagulasi bila diperlukan, konseling nondirektif, serta antisipasi dan penanganan komplikasi intra/pascaprosedur, dengan dokumentasi templat lengkap (indikasi, temuan, langkah, komplikasi, rencana) pada 100% kasus dan volume kasus minimal lima kasus kehamilan remaja yang dikelola peserta didik.(7)</w:t>
            </w:r>
          </w:p>
        </w:tc>
      </w:tr>
    </w:tbl>
    <w:p>
      <w:pPr>
        <w:spacing w:after="120"/>
      </w:pPr>
    </w:p>
    <w:p>
      <w:pPr>
        <w:pStyle w:val="Heading2"/>
        <w:spacing w:after="140" w:before="280"/>
      </w:pPr>
      <w:r>
        <w:rPr>
          <w:rFonts w:ascii="Calibri" w:cs="Calibri" w:eastAsia="Calibri" w:hAnsi="Calibri"/>
          <w:b/>
          <w:bCs/>
          <w:color w:val="7A1F3D"/>
          <w:sz w:val="27"/>
          <w:szCs w:val="27"/>
        </w:rPr>
        <w:t xml:space="preserve">3.3 Hambatan Akses Layanan bagi Remaja Belum Menikah di Indonesia</w:t>
      </w:r>
    </w:p>
    <w:p>
      <w:pPr>
        <w:spacing w:after="160" w:line="288"/>
        <w:jc w:val="both"/>
      </w:pPr>
      <w:r>
        <w:rPr>
          <w:rFonts w:ascii="Calibri" w:cs="Calibri" w:eastAsia="Calibri" w:hAnsi="Calibri"/>
          <w:sz w:val="22"/>
          <w:szCs w:val="22"/>
        </w:rPr>
        <w:t xml:space="preserve">Remaja belum menikah di Indonesia menghadapi hambatan akses kontrasepsi yang berlapis. Secara regulasi, sejumlah kebijakan program keluarga berencana nasional secara historis lebih berorientasi pada pasangan usia subur yang telah menikah, sehingga penyediaan layanan kontrasepsi bagi remaja belum menikah sering bergantung pada kebijaksanaan tenaga kesehatan setempat dan belum sepenuhnya terstandardisasi secara nasional. Secara sosial, stigma terhadap aktivitas seksual pranikah menyebabkan banyak remaja enggan mengakses layanan karena takut dihakimi atau dilaporkan kepada keluarga.</w:t>
      </w:r>
    </w:p>
    <w:p>
      <w:pPr>
        <w:spacing w:after="160" w:line="288"/>
        <w:jc w:val="both"/>
      </w:pPr>
      <w:r>
        <w:rPr>
          <w:rFonts w:ascii="Calibri" w:cs="Calibri" w:eastAsia="Calibri" w:hAnsi="Calibri"/>
          <w:sz w:val="22"/>
          <w:szCs w:val="22"/>
        </w:rPr>
        <w:t xml:space="preserve">Secara sistem layanan, banyak fasilitas kesehatan primer belum memiliki protokol baku mengenai kerahasiaan layanan bagi remaja belum menikah, serta keterbatasan tenaga yang terlatih memberikan konseling kontrasepsi tanpa menghakimi. Dokter subspesialis Obstetri Ginekologi Sosial berperan penting dalam mengadvokasi kebijakan fasilitas yang menjamin kerahasiaan, melatih tenaga kesehatan primer, serta memberikan konseling langsung pada kasus rujukan yang kompleks, sambil tetap menghormati batasan hukum yang berlaku di Indonesia.</w:t>
      </w:r>
    </w:p>
    <w:tbl>
      <w:tblPr>
        <w:tblW w:type="pct" w:w="100%"/>
        <w:tblBorders>
          <w:top w:val="single" w:color="555555" w:sz="4"/>
          <w:left w:val="single" w:color="555555" w:sz="24"/>
          <w:bottom w:val="single" w:color="555555" w:sz="4"/>
          <w:right w:val="single" w:color="555555" w:sz="4"/>
          <w:insideH w:val="single" w:color="auto" w:sz="4"/>
          <w:insideV w:val="single" w:color="auto" w:sz="4"/>
        </w:tblBorders>
      </w:tblPr>
      <w:tblGrid>
        <w:gridCol w:w="100"/>
      </w:tblGrid>
      <w:tr>
        <w:tc>
          <w:tcPr>
            <w:shd w:fill="F2F2F2" w:val="clear"/>
            <w:tcMar>
              <w:top w:type="dxa" w:w="160"/>
              <w:left w:type="dxa" w:w="220"/>
              <w:bottom w:type="dxa" w:w="160"/>
              <w:right w:type="dxa" w:w="220"/>
            </w:tcMar>
          </w:tcPr>
          <w:p>
            <w:pPr>
              <w:spacing w:after="100"/>
            </w:pPr>
            <w:r>
              <w:rPr>
                <w:rFonts w:ascii="Calibri" w:cs="Calibri" w:eastAsia="Calibri" w:hAnsi="Calibri"/>
                <w:b/>
                <w:bCs/>
                <w:color w:val="555555"/>
                <w:sz w:val="22"/>
                <w:szCs w:val="22"/>
              </w:rPr>
              <w:t xml:space="preserve">Perbedaan Standar Internasional vs Konteks Indonesia</w:t>
            </w:r>
          </w:p>
          <w:p>
            <w:pPr>
              <w:spacing w:after="60"/>
            </w:pPr>
            <w:r>
              <w:rPr>
                <w:rFonts w:ascii="Calibri" w:cs="Calibri" w:eastAsia="Calibri" w:hAnsi="Calibri"/>
                <w:b/>
                <w:bCs/>
                <w:sz w:val="21"/>
                <w:szCs w:val="21"/>
              </w:rPr>
              <w:t xml:space="preserve">Standar Internasional: </w:t>
            </w:r>
            <w:r>
              <w:rPr>
                <w:rFonts w:ascii="Calibri" w:cs="Calibri" w:eastAsia="Calibri" w:hAnsi="Calibri"/>
                <w:sz w:val="21"/>
                <w:szCs w:val="21"/>
              </w:rPr>
              <w:t xml:space="preserve">WHO merekomendasikan akses kontrasepsi tanpa syarat status pernikahan, usia, maupun persetujuan pihak ketiga, sebagai bagian dari hak kesehatan seksual dan reproduksi remaja.</w:t>
            </w:r>
          </w:p>
          <w:p>
            <w:pPr>
              <w:spacing w:after="0"/>
            </w:pPr>
            <w:r>
              <w:rPr>
                <w:rFonts w:ascii="Calibri" w:cs="Calibri" w:eastAsia="Calibri" w:hAnsi="Calibri"/>
                <w:b/>
                <w:bCs/>
                <w:sz w:val="21"/>
                <w:szCs w:val="21"/>
              </w:rPr>
              <w:t xml:space="preserve">Konteks Indonesia: </w:t>
            </w:r>
            <w:r>
              <w:rPr>
                <w:rFonts w:ascii="Calibri" w:cs="Calibri" w:eastAsia="Calibri" w:hAnsi="Calibri"/>
                <w:sz w:val="21"/>
                <w:szCs w:val="21"/>
              </w:rPr>
              <w:t xml:space="preserve">Di Indonesia, akses layanan kontrasepsi bagi remaja belum menikah belum diatur secara eksplisit dan seragam dalam kebijakan nasional, sehingga praktik di lapangan bervariasi; tenaga kesehatan perlu menyeimbangkan prinsip kerahasiaan klinis dengan kepatuhan terhadap regulasi dan norma institusional setempat, serta mendokumentasikan pertimbangan klinis secara hati-hati pada kasus yang berpotensi sensitif secara hukum.</w:t>
            </w:r>
          </w:p>
        </w:tc>
      </w:tr>
    </w:tbl>
    <w:p>
      <w:pPr>
        <w:spacing w:after="120"/>
      </w:pPr>
    </w:p>
    <w:tbl>
      <w:tblPr>
        <w:tblW w:type="pct" w:w="100%"/>
        <w:tblBorders>
          <w:top w:val="single" w:color="7A1F3D" w:sz="4"/>
          <w:left w:val="single" w:color="7A1F3D" w:sz="24"/>
          <w:bottom w:val="single" w:color="7A1F3D" w:sz="4"/>
          <w:right w:val="single" w:color="7A1F3D" w:sz="4"/>
          <w:insideH w:val="single" w:color="auto" w:sz="4"/>
          <w:insideV w:val="single" w:color="auto" w:sz="4"/>
        </w:tblBorders>
      </w:tblPr>
      <w:tblGrid>
        <w:gridCol w:w="100"/>
      </w:tblGrid>
      <w:tr>
        <w:tc>
          <w:tcPr>
            <w:shd w:fill="FBF6F8" w:val="clear"/>
            <w:tcMar>
              <w:top w:type="dxa" w:w="160"/>
              <w:left w:type="dxa" w:w="220"/>
              <w:bottom w:type="dxa" w:w="160"/>
              <w:right w:type="dxa" w:w="220"/>
            </w:tcMar>
          </w:tcPr>
          <w:p>
            <w:pPr>
              <w:spacing w:after="100"/>
            </w:pPr>
            <w:r>
              <w:rPr>
                <w:rFonts w:ascii="Calibri" w:cs="Calibri" w:eastAsia="Calibri" w:hAnsi="Calibri"/>
                <w:b/>
                <w:bCs/>
                <w:color w:val="7A1F3D"/>
                <w:sz w:val="22"/>
                <w:szCs w:val="22"/>
              </w:rPr>
              <w:t xml:space="preserve">Vignette Klinis (Ilustratif, Tidak Identifiable)</w:t>
            </w:r>
          </w:p>
          <w:p>
            <w:pPr>
              <w:spacing w:after="160" w:line="288"/>
              <w:jc w:val="both"/>
            </w:pPr>
            <w:r>
              <w:rPr>
                <w:rFonts w:ascii="Calibri" w:cs="Calibri" w:eastAsia="Calibri" w:hAnsi="Calibri"/>
                <w:sz w:val="22"/>
                <w:szCs w:val="22"/>
              </w:rPr>
              <w:t xml:space="preserve">Seorang remaja perempuan berusia 17 tahun yang belum menikah datang ke klinik meminta informasi kontrasepsi tanpa didampingi orang tua. Tenaga kesehatan memberikan konseling komprehensif mengenai pilihan metode, termasuk keuntungan dan risikonya, dalam ruang yang menjamin privasi, sekaligus menjelaskan secara netral pertimbangan hukum dan sosial yang relevan di konteks Indonesia, tanpa memaksakan satu pilihan maupun menghakimi keputusan klien.</w:t>
            </w:r>
          </w:p>
        </w:tc>
      </w:tr>
    </w:tbl>
    <w:p>
      <w:pPr>
        <w:spacing w:after="120"/>
      </w:pPr>
    </w:p>
    <w:tbl>
      <w:tblPr>
        <w:tblW w:type="pct" w:w="100%"/>
        <w:tblBorders>
          <w:top w:val="single" w:color="7A1F3D" w:sz="4"/>
          <w:left w:val="single" w:color="7A1F3D" w:sz="24"/>
          <w:bottom w:val="single" w:color="7A1F3D" w:sz="4"/>
          <w:right w:val="single" w:color="7A1F3D" w:sz="4"/>
          <w:insideH w:val="single" w:color="auto" w:sz="4"/>
          <w:insideV w:val="single" w:color="auto" w:sz="4"/>
        </w:tblBorders>
      </w:tblPr>
      <w:tblGrid>
        <w:gridCol w:w="100"/>
      </w:tblGrid>
      <w:tr>
        <w:tc>
          <w:tcPr>
            <w:shd w:fill="F3E3EA" w:val="clear"/>
            <w:tcMar>
              <w:top w:type="dxa" w:w="160"/>
              <w:left w:type="dxa" w:w="220"/>
              <w:bottom w:type="dxa" w:w="160"/>
              <w:right w:type="dxa" w:w="220"/>
            </w:tcMar>
          </w:tcPr>
          <w:p>
            <w:pPr>
              <w:spacing w:after="100"/>
            </w:pPr>
            <w:r>
              <w:rPr>
                <w:rFonts w:ascii="Calibri" w:cs="Calibri" w:eastAsia="Calibri" w:hAnsi="Calibri"/>
                <w:b/>
                <w:bCs/>
                <w:color w:val="7A1F3D"/>
                <w:sz w:val="22"/>
                <w:szCs w:val="22"/>
              </w:rPr>
              <w:t xml:space="preserve">Poin Kunci</w:t>
            </w:r>
          </w:p>
          <w:p>
            <w:pPr>
              <w:pStyle w:val="ListParagraph"/>
              <w:numPr>
                <w:ilvl w:val="0"/>
                <w:numId w:val="2"/>
              </w:numPr>
              <w:spacing w:after="60"/>
            </w:pPr>
            <w:r>
              <w:rPr>
                <w:rFonts w:ascii="Calibri" w:cs="Calibri" w:eastAsia="Calibri" w:hAnsi="Calibri"/>
                <w:sz w:val="21"/>
                <w:szCs w:val="21"/>
              </w:rPr>
              <w:t xml:space="preserve">Kehamilan remaja berasosiasi dengan risiko komplikasi obstetri yang lebih tinggi akibat ketidakmatangan fisiologis dan keterlambatan akses layanan.</w:t>
            </w:r>
          </w:p>
          <w:p>
            <w:pPr>
              <w:pStyle w:val="ListParagraph"/>
              <w:numPr>
                <w:ilvl w:val="0"/>
                <w:numId w:val="2"/>
              </w:numPr>
              <w:spacing w:after="60"/>
            </w:pPr>
            <w:r>
              <w:rPr>
                <w:rFonts w:ascii="Calibri" w:cs="Calibri" w:eastAsia="Calibri" w:hAnsi="Calibri"/>
                <w:sz w:val="21"/>
                <w:szCs w:val="21"/>
              </w:rPr>
              <w:t xml:space="preserve">Faktor risiko kehamilan dini bersifat multidimensi: individu, keluarga, sosial-budaya, dan sistem layanan.</w:t>
            </w:r>
          </w:p>
          <w:p>
            <w:pPr>
              <w:pStyle w:val="ListParagraph"/>
              <w:numPr>
                <w:ilvl w:val="0"/>
                <w:numId w:val="2"/>
              </w:numPr>
              <w:spacing w:after="60"/>
            </w:pPr>
            <w:r>
              <w:rPr>
                <w:rFonts w:ascii="Calibri" w:cs="Calibri" w:eastAsia="Calibri" w:hAnsi="Calibri"/>
                <w:sz w:val="21"/>
                <w:szCs w:val="21"/>
              </w:rPr>
              <w:t xml:space="preserve">LARC direkomendasikan sebagai lini pertama bagi remaja aktif seksual karena tidak bergantung pada kepatuhan harian.</w:t>
            </w:r>
          </w:p>
          <w:p>
            <w:pPr>
              <w:pStyle w:val="ListParagraph"/>
              <w:numPr>
                <w:ilvl w:val="0"/>
                <w:numId w:val="2"/>
              </w:numPr>
              <w:spacing w:after="60"/>
            </w:pPr>
            <w:r>
              <w:rPr>
                <w:rFonts w:ascii="Calibri" w:cs="Calibri" w:eastAsia="Calibri" w:hAnsi="Calibri"/>
                <w:sz w:val="21"/>
                <w:szCs w:val="21"/>
              </w:rPr>
              <w:t xml:space="preserve">Kondom tetap direkomendasikan sebagai perlindungan ganda terhadap infeksi menular seksual.</w:t>
            </w:r>
          </w:p>
          <w:p>
            <w:pPr>
              <w:pStyle w:val="ListParagraph"/>
              <w:numPr>
                <w:ilvl w:val="0"/>
                <w:numId w:val="2"/>
              </w:numPr>
              <w:spacing w:after="60"/>
            </w:pPr>
            <w:r>
              <w:rPr>
                <w:rFonts w:ascii="Calibri" w:cs="Calibri" w:eastAsia="Calibri" w:hAnsi="Calibri"/>
                <w:sz w:val="21"/>
                <w:szCs w:val="21"/>
              </w:rPr>
              <w:t xml:space="preserve">Remaja belum menikah di Indonesia menghadapi hambatan regulasi, sosial, dan sistem layanan yang berlapis dalam mengakses kontrasepsi.</w:t>
            </w:r>
          </w:p>
          <w:p>
            <w:pPr>
              <w:pStyle w:val="ListParagraph"/>
              <w:numPr>
                <w:ilvl w:val="0"/>
                <w:numId w:val="2"/>
              </w:numPr>
              <w:spacing w:after="60"/>
            </w:pPr>
            <w:r>
              <w:rPr>
                <w:rFonts w:ascii="Calibri" w:cs="Calibri" w:eastAsia="Calibri" w:hAnsi="Calibri"/>
                <w:sz w:val="21"/>
                <w:szCs w:val="21"/>
              </w:rPr>
              <w:t xml:space="preserve">Standar internasional dan konteks regulasi Indonesia memiliki perbedaan penting yang harus disikapi secara hati-hati oleh tenaga kesehatan.</w:t>
            </w:r>
          </w:p>
        </w:tc>
      </w:tr>
    </w:tbl>
    <w:p>
      <w:pPr>
        <w:pBdr>
          <w:top w:val="single" w:color="555555" w:sz="4" w:space="6"/>
        </w:pBdr>
        <w:spacing w:after="120" w:before="300"/>
      </w:pPr>
      <w:r>
        <w:rPr>
          <w:rFonts w:ascii="Calibri" w:cs="Calibri" w:eastAsia="Calibri" w:hAnsi="Calibri"/>
          <w:b/>
          <w:bCs/>
          <w:i/>
          <w:iCs/>
          <w:color w:val="555555"/>
          <w:sz w:val="22"/>
          <w:szCs w:val="22"/>
        </w:rPr>
        <w:t xml:space="preserve">Referensi Bab</w:t>
      </w:r>
    </w:p>
    <w:p>
      <w:pPr>
        <w:spacing w:after="80"/>
        <w:ind w:left="400" w:hanging="400"/>
      </w:pPr>
      <w:r>
        <w:rPr>
          <w:rFonts w:ascii="Calibri" w:cs="Calibri" w:eastAsia="Calibri" w:hAnsi="Calibri"/>
          <w:sz w:val="20"/>
          <w:szCs w:val="20"/>
        </w:rPr>
        <w:t xml:space="preserve">1. Badan Pusat Statistik, Badan Kependudukan dan Keluarga Berencana Nasional, Kementerian Kesehatan Republik Indonesia. Survei Demografi dan Kesehatan Indonesia (SDKI) 2023-2024.</w:t>
      </w:r>
    </w:p>
    <w:p>
      <w:pPr>
        <w:spacing w:after="80"/>
        <w:ind w:left="400" w:hanging="400"/>
      </w:pPr>
      <w:r>
        <w:rPr>
          <w:rFonts w:ascii="Calibri" w:cs="Calibri" w:eastAsia="Calibri" w:hAnsi="Calibri"/>
          <w:sz w:val="20"/>
          <w:szCs w:val="20"/>
        </w:rPr>
        <w:t xml:space="preserve">2. Cunningham FG, Leveno KJ, Dashe JS, Hoffman BL, Casey BM, Spong CY, editors. Williams Obstetrics. 26th ed. New York: McGraw Hill; 2022.</w:t>
      </w:r>
    </w:p>
    <w:p>
      <w:pPr>
        <w:spacing w:after="80"/>
        <w:ind w:left="400" w:hanging="400"/>
      </w:pPr>
      <w:r>
        <w:rPr>
          <w:rFonts w:ascii="Calibri" w:cs="Calibri" w:eastAsia="Calibri" w:hAnsi="Calibri"/>
          <w:sz w:val="20"/>
          <w:szCs w:val="20"/>
        </w:rPr>
        <w:t xml:space="preserve">3. American College of Obstetricians and Gynecologists (ACOG). Adolescents and Long-Acting Reversible Contraception: Implants and Intrauterine Devices. ACOG Committee Opinion No. 735. Obstet Gynecol. 2018;131:e130-9.</w:t>
      </w:r>
    </w:p>
    <w:p>
      <w:pPr>
        <w:spacing w:after="80"/>
        <w:ind w:left="400" w:hanging="400"/>
      </w:pPr>
      <w:r>
        <w:rPr>
          <w:rFonts w:ascii="Calibri" w:cs="Calibri" w:eastAsia="Calibri" w:hAnsi="Calibri"/>
          <w:sz w:val="20"/>
          <w:szCs w:val="20"/>
        </w:rPr>
        <w:t xml:space="preserve">4. American College of Obstetricians and Gynecologists (ACOG). Counseling Adolescents About Contraception. ACOG Committee Opinion No. 710. Obstet Gynecol. 2017;130:e74-80.</w:t>
      </w:r>
    </w:p>
    <w:p>
      <w:pPr>
        <w:spacing w:after="80"/>
        <w:ind w:left="400" w:hanging="400"/>
      </w:pPr>
      <w:r>
        <w:rPr>
          <w:rFonts w:ascii="Calibri" w:cs="Calibri" w:eastAsia="Calibri" w:hAnsi="Calibri"/>
          <w:sz w:val="20"/>
          <w:szCs w:val="20"/>
        </w:rPr>
        <w:t xml:space="preserve">5. International Federation of Gynecology and Obstetrics (FIGO). FIGO Statements and Guidelines on Family Planning, Contraception, and Safe Motherhood.</w:t>
      </w:r>
    </w:p>
    <w:p>
      <w:pPr>
        <w:spacing w:after="80"/>
        <w:ind w:left="400" w:hanging="400"/>
      </w:pPr>
      <w:r>
        <w:rPr>
          <w:rFonts w:ascii="Calibri" w:cs="Calibri" w:eastAsia="Calibri" w:hAnsi="Calibri"/>
          <w:sz w:val="20"/>
          <w:szCs w:val="20"/>
        </w:rPr>
        <w:t xml:space="preserve">6. World Health Organization (WHO). Medical Eligibility Criteria for Contraceptive Use. 6th ed. Geneva: WHO; 2025.</w:t>
      </w:r>
    </w:p>
    <w:p>
      <w:pPr>
        <w:spacing w:after="80"/>
        <w:ind w:left="400" w:hanging="400"/>
      </w:pPr>
      <w:r>
        <w:rPr>
          <w:rFonts w:ascii="Calibri" w:cs="Calibri" w:eastAsia="Calibri" w:hAnsi="Calibri"/>
          <w:sz w:val="20"/>
          <w:szCs w:val="20"/>
        </w:rPr>
        <w:t xml:space="preserve">7. Konsil Kesehatan Indonesia. Keputusan Ketua Konsil Kesehatan Indonesia Nomor HK.01.02/KKI/1318/2026 tentang Standar Kompetensi Dokter Spesialis dan Subspesialis Bidang Obstetri dan Ginekologi, Tabel 19 dan Tabel 25, komponen 7.</w:t>
      </w:r>
    </w:p>
    <w:p>
      <w:r>
        <w:br w:type="page"/>
      </w:r>
    </w:p>
    <w:p>
      <w:pPr>
        <w:pStyle w:val="Heading1"/>
        <w:pBdr>
          <w:bottom w:val="single" w:color="7A1F3D" w:sz="12" w:space="8"/>
        </w:pBdr>
        <w:spacing w:after="240" w:before="240"/>
      </w:pPr>
      <w:r>
        <w:rPr>
          <w:rFonts w:ascii="Calibri" w:cs="Calibri" w:eastAsia="Calibri" w:hAnsi="Calibri"/>
          <w:b/>
          <w:bCs/>
          <w:color w:val="7A1F3D"/>
          <w:sz w:val="34"/>
          <w:szCs w:val="34"/>
        </w:rPr>
        <w:t xml:space="preserve">Bab 4. Kolaborasi dengan Sekolah, Psikologi, dan Pekerja Sosial</w:t>
      </w:r>
    </w:p>
    <w:tbl>
      <w:tblPr>
        <w:tblW w:type="pct" w:w="100%"/>
        <w:tblBorders>
          <w:top w:val="single" w:color="7A1F3D" w:sz="4"/>
          <w:left w:val="single" w:color="7A1F3D" w:sz="24"/>
          <w:bottom w:val="single" w:color="7A1F3D" w:sz="4"/>
          <w:right w:val="single" w:color="7A1F3D" w:sz="4"/>
          <w:insideH w:val="single" w:color="auto" w:sz="4"/>
          <w:insideV w:val="single" w:color="auto" w:sz="4"/>
        </w:tblBorders>
      </w:tblPr>
      <w:tblGrid>
        <w:gridCol w:w="100"/>
      </w:tblGrid>
      <w:tr>
        <w:tc>
          <w:tcPr>
            <w:shd w:fill="F3E3EA" w:val="clear"/>
            <w:tcMar>
              <w:top w:type="dxa" w:w="160"/>
              <w:left w:type="dxa" w:w="220"/>
              <w:bottom w:type="dxa" w:w="160"/>
              <w:right w:type="dxa" w:w="220"/>
            </w:tcMar>
          </w:tcPr>
          <w:p>
            <w:pPr>
              <w:spacing w:after="100"/>
            </w:pPr>
            <w:r>
              <w:rPr>
                <w:rFonts w:ascii="Calibri" w:cs="Calibri" w:eastAsia="Calibri" w:hAnsi="Calibri"/>
                <w:b/>
                <w:bCs/>
                <w:color w:val="7A1F3D"/>
                <w:sz w:val="22"/>
                <w:szCs w:val="22"/>
              </w:rPr>
              <w:t xml:space="preserve">Tujuan Pembelajaran Bab</w:t>
            </w:r>
          </w:p>
          <w:p>
            <w:pPr>
              <w:pStyle w:val="ListParagraph"/>
              <w:numPr>
                <w:ilvl w:val="0"/>
                <w:numId w:val="2"/>
              </w:numPr>
              <w:spacing w:after="60"/>
            </w:pPr>
            <w:r>
              <w:rPr>
                <w:rFonts w:ascii="Calibri" w:cs="Calibri" w:eastAsia="Calibri" w:hAnsi="Calibri"/>
                <w:sz w:val="21"/>
                <w:szCs w:val="21"/>
              </w:rPr>
              <w:t xml:space="preserve">Menjelaskan model kemitraan konkret antara layanan kesehatan dengan UKS dan konselor sekolah.</w:t>
            </w:r>
          </w:p>
          <w:p>
            <w:pPr>
              <w:pStyle w:val="ListParagraph"/>
              <w:numPr>
                <w:ilvl w:val="0"/>
                <w:numId w:val="2"/>
              </w:numPr>
              <w:spacing w:after="60"/>
            </w:pPr>
            <w:r>
              <w:rPr>
                <w:rFonts w:ascii="Calibri" w:cs="Calibri" w:eastAsia="Calibri" w:hAnsi="Calibri"/>
                <w:sz w:val="21"/>
                <w:szCs w:val="21"/>
              </w:rPr>
              <w:t xml:space="preserve">Menguraikan peran psikolog klinis dan pekerja sosial dalam tata laksana biopsikososial remaja.</w:t>
            </w:r>
          </w:p>
          <w:p>
            <w:pPr>
              <w:pStyle w:val="ListParagraph"/>
              <w:numPr>
                <w:ilvl w:val="0"/>
                <w:numId w:val="2"/>
              </w:numPr>
              <w:spacing w:after="60"/>
            </w:pPr>
            <w:r>
              <w:rPr>
                <w:rFonts w:ascii="Calibri" w:cs="Calibri" w:eastAsia="Calibri" w:hAnsi="Calibri"/>
                <w:sz w:val="21"/>
                <w:szCs w:val="21"/>
              </w:rPr>
              <w:t xml:space="preserve">Menganalisis alur rujukan dan tata kelola kasus lintas sektor bagi remaja dengan kebutuhan kompleks.</w:t>
            </w:r>
          </w:p>
          <w:p>
            <w:pPr>
              <w:pStyle w:val="ListParagraph"/>
              <w:numPr>
                <w:ilvl w:val="0"/>
                <w:numId w:val="2"/>
              </w:numPr>
              <w:spacing w:after="60"/>
            </w:pPr>
            <w:r>
              <w:rPr>
                <w:rFonts w:ascii="Calibri" w:cs="Calibri" w:eastAsia="Calibri" w:hAnsi="Calibri"/>
                <w:sz w:val="21"/>
                <w:szCs w:val="21"/>
              </w:rPr>
              <w:t xml:space="preserve">Mengidentifikasi tantangan koordinasi lintas profesi dalam konteks layanan kesehatan reproduksi remaja di Indonesia.</w:t>
            </w:r>
          </w:p>
        </w:tc>
      </w:tr>
    </w:tbl>
    <w:p>
      <w:pPr>
        <w:spacing w:after="120"/>
      </w:pPr>
    </w:p>
    <w:p>
      <w:pPr>
        <w:pStyle w:val="Heading2"/>
        <w:spacing w:after="140" w:before="280"/>
      </w:pPr>
      <w:r>
        <w:rPr>
          <w:rFonts w:ascii="Calibri" w:cs="Calibri" w:eastAsia="Calibri" w:hAnsi="Calibri"/>
          <w:b/>
          <w:bCs/>
          <w:color w:val="7A1F3D"/>
          <w:sz w:val="27"/>
          <w:szCs w:val="27"/>
        </w:rPr>
        <w:t xml:space="preserve">4.1 Model Kemitraan dengan UKS dan Konselor Sekolah</w:t>
      </w:r>
    </w:p>
    <w:p>
      <w:pPr>
        <w:spacing w:after="160" w:line="288"/>
        <w:jc w:val="both"/>
      </w:pPr>
      <w:r>
        <w:rPr>
          <w:rFonts w:ascii="Calibri" w:cs="Calibri" w:eastAsia="Calibri" w:hAnsi="Calibri"/>
          <w:sz w:val="22"/>
          <w:szCs w:val="22"/>
        </w:rPr>
        <w:t xml:space="preserve">Usaha Kesehatan Sekolah (UKS) merupakan mitra strategis dalam pelayanan kesehatan reproduksi remaja karena menjangkau populasi remaja secara langsung di lingkungan sehari-hari mereka. Model kemitraan konkret yang dapat dibangun antara Puskesmas atau fasilitas kesehatan dengan UKS mencakup: penjadwalan kunjungan berkala tenaga kesehatan ke sekolah untuk skrining kesehatan reproduksi dasar, pelatihan periodik bagi guru pembina UKS dan konselor sekolah mengenai tanda bahaya kesehatan reproduksi remaja yang memerlukan rujukan segera, serta penyusunan jalur komunikasi rahasia antara konselor sekolah dan fasilitas kesehatan untuk kasus yang membutuhkan penanganan klinis lebih lanjut.</w:t>
      </w:r>
    </w:p>
    <w:p>
      <w:pPr>
        <w:spacing w:after="160" w:line="288"/>
        <w:jc w:val="both"/>
      </w:pPr>
      <w:r>
        <w:rPr>
          <w:rFonts w:ascii="Calibri" w:cs="Calibri" w:eastAsia="Calibri" w:hAnsi="Calibri"/>
          <w:sz w:val="22"/>
          <w:szCs w:val="22"/>
        </w:rPr>
        <w:t xml:space="preserve">Konselor bimbingan dan konseling (BK) sekolah berperan penting sebagai titik kontak pertama karena kedekatan mereka dengan siswa sehari-hari, namun umumnya tidak memiliki kompetensi klinis. Oleh karena itu, kemitraan yang efektif menempatkan konselor sekolah sebagai penapis awal dan penghubung, bukan sebagai pemberi layanan klinis, dengan jalur rujukan yang jelas dan responsif menuju fasilitas kesehatan.</w:t>
      </w:r>
    </w:p>
    <w:p>
      <w:pPr>
        <w:pStyle w:val="Heading2"/>
        <w:spacing w:after="140" w:before="280"/>
      </w:pPr>
      <w:r>
        <w:rPr>
          <w:rFonts w:ascii="Calibri" w:cs="Calibri" w:eastAsia="Calibri" w:hAnsi="Calibri"/>
          <w:b/>
          <w:bCs/>
          <w:color w:val="7A1F3D"/>
          <w:sz w:val="27"/>
          <w:szCs w:val="27"/>
        </w:rPr>
        <w:t xml:space="preserve">4.2 Peran Psikolog Klinis dan Pekerja Sosial</w:t>
      </w:r>
    </w:p>
    <w:p>
      <w:pPr>
        <w:spacing w:after="160" w:line="288"/>
        <w:jc w:val="both"/>
      </w:pPr>
      <w:r>
        <w:rPr>
          <w:rFonts w:ascii="Calibri" w:cs="Calibri" w:eastAsia="Calibri" w:hAnsi="Calibri"/>
          <w:sz w:val="22"/>
          <w:szCs w:val="22"/>
        </w:rPr>
        <w:t xml:space="preserve">Psikolog klinis berperan dalam asesmen kesehatan mental remaja yang berkaitan dengan isu reproduksi, seperti kecemasan terkait kehamilan tidak diinginkan, dampak psikologis kekerasan seksual, atau distres terkait identitas gender dan orientasi seksual. Intervensi psikologis yang tepat waktu dapat mencegah perburukan kondisi mental yang berdampak pada kepatuhan pengobatan maupun luaran klinis jangka panjang.(1)</w:t>
      </w:r>
    </w:p>
    <w:p>
      <w:pPr>
        <w:spacing w:after="160" w:line="288"/>
        <w:jc w:val="both"/>
      </w:pPr>
      <w:r>
        <w:rPr>
          <w:rFonts w:ascii="Calibri" w:cs="Calibri" w:eastAsia="Calibri" w:hAnsi="Calibri"/>
          <w:sz w:val="22"/>
          <w:szCs w:val="22"/>
        </w:rPr>
        <w:t xml:space="preserve">Pekerja sosial berperan mengelola aspek sosial-ekonomi kasus, seperti asesmen kondisi keluarga, mediasi dengan wali atau orang tua bila diperlukan, serta penghubung dengan layanan perlindungan anak maupun bantuan sosial bagi remaja dari keluarga rentan. Pada kasus dengan dimensi hukum, seperti dugaan kekerasan seksual, pekerja sosial turut berperan mendampingi remaja dalam proses pelaporan kepada pihak berwenang sambil menjaga martabat dan privasi klien.(2)</w:t>
      </w:r>
    </w:p>
    <w:tbl>
      <w:tblPr>
        <w:tblW w:type="pct" w:w="100%"/>
        <w:tblBorders>
          <w:top w:val="single" w:color="555555" w:sz="4"/>
          <w:left w:val="single" w:color="555555" w:sz="24"/>
          <w:bottom w:val="single" w:color="555555" w:sz="4"/>
          <w:right w:val="single" w:color="555555" w:sz="4"/>
          <w:insideH w:val="single" w:color="auto" w:sz="4"/>
          <w:insideV w:val="single" w:color="auto" w:sz="4"/>
        </w:tblBorders>
      </w:tblPr>
      <w:tblGrid>
        <w:gridCol w:w="100"/>
      </w:tblGrid>
      <w:tr>
        <w:tc>
          <w:tcPr>
            <w:shd w:fill="F2F2F2" w:val="clear"/>
            <w:tcMar>
              <w:top w:type="dxa" w:w="160"/>
              <w:left w:type="dxa" w:w="220"/>
              <w:bottom w:type="dxa" w:w="160"/>
              <w:right w:type="dxa" w:w="220"/>
            </w:tcMar>
          </w:tcPr>
          <w:p>
            <w:pPr>
              <w:spacing w:after="100"/>
            </w:pPr>
            <w:r>
              <w:rPr>
                <w:rFonts w:ascii="Calibri" w:cs="Calibri" w:eastAsia="Calibri" w:hAnsi="Calibri"/>
                <w:b/>
                <w:bCs/>
                <w:color w:val="555555"/>
                <w:sz w:val="22"/>
                <w:szCs w:val="22"/>
              </w:rPr>
              <w:t xml:space="preserve">Peran Lintas Profesi</w:t>
            </w:r>
          </w:p>
          <w:p>
            <w:pPr>
              <w:pStyle w:val="ListParagraph"/>
              <w:numPr>
                <w:ilvl w:val="0"/>
                <w:numId w:val="2"/>
              </w:numPr>
              <w:spacing w:after="60"/>
            </w:pPr>
            <w:r>
              <w:rPr>
                <w:rFonts w:ascii="Calibri" w:cs="Calibri" w:eastAsia="Calibri" w:hAnsi="Calibri"/>
                <w:sz w:val="21"/>
                <w:szCs w:val="21"/>
              </w:rPr>
              <w:t xml:space="preserve">Psikologi klinis: asesmen dan intervensi kesehatan mental terkait isu reproduksi dan trauma.</w:t>
            </w:r>
          </w:p>
          <w:p>
            <w:pPr>
              <w:pStyle w:val="ListParagraph"/>
              <w:numPr>
                <w:ilvl w:val="0"/>
                <w:numId w:val="2"/>
              </w:numPr>
              <w:spacing w:after="60"/>
            </w:pPr>
            <w:r>
              <w:rPr>
                <w:rFonts w:ascii="Calibri" w:cs="Calibri" w:eastAsia="Calibri" w:hAnsi="Calibri"/>
                <w:sz w:val="21"/>
                <w:szCs w:val="21"/>
              </w:rPr>
              <w:t xml:space="preserve">Pekerjaan sosial: asesmen sosial-ekonomi keluarga, mediasi, dan pendampingan pelaporan kasus hukum.</w:t>
            </w:r>
          </w:p>
          <w:p>
            <w:pPr>
              <w:pStyle w:val="ListParagraph"/>
              <w:numPr>
                <w:ilvl w:val="0"/>
                <w:numId w:val="2"/>
              </w:numPr>
              <w:spacing w:after="60"/>
            </w:pPr>
            <w:r>
              <w:rPr>
                <w:rFonts w:ascii="Calibri" w:cs="Calibri" w:eastAsia="Calibri" w:hAnsi="Calibri"/>
                <w:sz w:val="21"/>
                <w:szCs w:val="21"/>
              </w:rPr>
              <w:t xml:space="preserve">Hukum: penilaian aspek regulasi terkait usia, status pernikahan, dan kewenangan persetujuan tindakan medis.</w:t>
            </w:r>
          </w:p>
          <w:p>
            <w:pPr>
              <w:pStyle w:val="ListParagraph"/>
              <w:numPr>
                <w:ilvl w:val="0"/>
                <w:numId w:val="2"/>
              </w:numPr>
              <w:spacing w:after="60"/>
            </w:pPr>
            <w:r>
              <w:rPr>
                <w:rFonts w:ascii="Calibri" w:cs="Calibri" w:eastAsia="Calibri" w:hAnsi="Calibri"/>
                <w:sz w:val="21"/>
                <w:szCs w:val="21"/>
              </w:rPr>
              <w:t xml:space="preserve">Kepolisian/unit perlindungan anak: penanganan kasus dengan dugaan tindak pidana, termasuk kekerasan seksual pada remaja.</w:t>
            </w:r>
          </w:p>
        </w:tc>
      </w:tr>
    </w:tbl>
    <w:tbl>
      <w:tblPr>
        <w:tblW w:type="pct" w:w="100%"/>
        <w:tblBorders>
          <w:top w:val="single" w:color="555555" w:sz="4"/>
          <w:left w:val="single" w:color="555555" w:sz="24"/>
          <w:bottom w:val="single" w:color="555555" w:sz="4"/>
          <w:right w:val="single" w:color="555555" w:sz="4"/>
          <w:insideH w:val="single" w:color="auto" w:sz="4"/>
          <w:insideV w:val="single" w:color="auto" w:sz="4"/>
        </w:tblBorders>
      </w:tblPr>
      <w:tblGrid>
        <w:gridCol w:w="100"/>
      </w:tblGrid>
      <w:tr>
        <w:tc>
          <w:tcPr>
            <w:shd w:fill="F2F2F2" w:val="clear"/>
            <w:tcMar>
              <w:top w:type="dxa" w:w="160"/>
              <w:left w:type="dxa" w:w="220"/>
              <w:bottom w:type="dxa" w:w="160"/>
              <w:right w:type="dxa" w:w="220"/>
            </w:tcMar>
          </w:tcPr>
          <w:p>
            <w:pPr>
              <w:spacing w:after="100"/>
            </w:pPr>
            <w:r>
              <w:rPr>
                <w:rFonts w:ascii="Calibri" w:cs="Calibri" w:eastAsia="Calibri" w:hAnsi="Calibri"/>
                <w:b/>
                <w:bCs/>
                <w:color w:val="555555"/>
                <w:sz w:val="22"/>
                <w:szCs w:val="22"/>
              </w:rPr>
              <w:t xml:space="preserve">Kompetensi Kepkonsil Terkait: Tabel 25 Komponen 14</w:t>
            </w:r>
          </w:p>
          <w:p>
            <w:pPr>
              <w:spacing w:after="160" w:line="288"/>
              <w:jc w:val="both"/>
            </w:pPr>
            <w:r>
              <w:rPr>
                <w:rFonts w:ascii="Calibri" w:cs="Calibri" w:eastAsia="Calibri" w:hAnsi="Calibri"/>
                <w:sz w:val="22"/>
                <w:szCs w:val="22"/>
              </w:rPr>
              <w:t xml:space="preserve">Kepkonsil Nomor HK.01.02/KKI/1318/2026 (Tabel 25, komponen 14 "Kesehatan Reproduksi Remaja") secara eksplisit mencantumkan "kolaborasi dengan sekolah, psikologi, pekerja sosial" sebagai salah satu unsur kompetensi prosedur klinis yang wajib dikuasai, dengan kriteria kinerja berupa dokumentasi konseling dan tindak lanjut yang lengkap serta tingkat kepuasan peserta/klien sekurang-kurangnya 80%.(4) Ketentuan ini menjadi dasar regulasi langsung bagi model kemitraan lintas profesi yang diuraikan pada bab ini.</w:t>
            </w:r>
          </w:p>
        </w:tc>
      </w:tr>
    </w:tbl>
    <w:p>
      <w:pPr>
        <w:spacing w:after="120"/>
      </w:pPr>
    </w:p>
    <w:p>
      <w:pPr>
        <w:pStyle w:val="Heading2"/>
        <w:spacing w:after="140" w:before="280"/>
      </w:pPr>
      <w:r>
        <w:rPr>
          <w:rFonts w:ascii="Calibri" w:cs="Calibri" w:eastAsia="Calibri" w:hAnsi="Calibri"/>
          <w:b/>
          <w:bCs/>
          <w:color w:val="7A1F3D"/>
          <w:sz w:val="27"/>
          <w:szCs w:val="27"/>
        </w:rPr>
        <w:t xml:space="preserve">4.3 Rujukan dan Tata Kelola Kasus Lintas Sektor</w:t>
      </w:r>
    </w:p>
    <w:p>
      <w:pPr>
        <w:spacing w:after="160" w:line="288"/>
        <w:jc w:val="both"/>
      </w:pPr>
      <w:r>
        <w:rPr>
          <w:rFonts w:ascii="Calibri" w:cs="Calibri" w:eastAsia="Calibri" w:hAnsi="Calibri"/>
          <w:sz w:val="22"/>
          <w:szCs w:val="22"/>
        </w:rPr>
        <w:t xml:space="preserve">Tata kelola kasus lintas sektor yang efektif memerlukan alur rujukan yang jelas, terdokumentasi, dan disepakati bersama oleh seluruh pihak terkait, agar setiap profesi memahami perannya dan tidak terjadi tumpang tindih maupun kekosongan tanggung jawab. Alur ini idealnya dimulai dari deteksi awal di lingkungan sekolah atau keluarga, dilanjutkan skrining klinis di fasilitas kesehatan, asesmen psikososial oleh tim multidisiplin, hingga rencana tata laksana terpadu yang mempertimbangkan kebutuhan medis, psikologis, sosial, dan bila relevan, hukum.</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1800"/>
        <w:gridCol w:w="1800"/>
        <w:gridCol w:w="1800"/>
      </w:tblGrid>
      <w:tr>
        <w:tc>
          <w:tcPr>
            <w:tcW w:type="dxa" w:w="1800"/>
            <w:shd w:fill="7A1F3D" w:val="clear"/>
            <w:tcMar>
              <w:top w:type="dxa" w:w="120"/>
              <w:left w:type="dxa" w:w="100"/>
              <w:bottom w:type="dxa" w:w="120"/>
              <w:right w:type="dxa" w:w="100"/>
            </w:tcMar>
            <w:vAlign w:val="center"/>
          </w:tcPr>
          <w:p>
            <w:pPr>
              <w:jc w:val="center"/>
            </w:pPr>
            <w:r>
              <w:rPr>
                <w:rFonts w:ascii="Calibri" w:cs="Calibri" w:eastAsia="Calibri" w:hAnsi="Calibri"/>
                <w:b/>
                <w:bCs/>
                <w:color w:val="FFFFFF"/>
                <w:sz w:val="19"/>
                <w:szCs w:val="19"/>
              </w:rPr>
              <w:t xml:space="preserve">Deteksi di Sekolah/Keluarga</w:t>
            </w:r>
          </w:p>
        </w:tc>
        <w:tc>
          <w:tcPr>
            <w:tcW w:type="dxa" w:w="1800"/>
            <w:shd w:fill="555555" w:val="clear"/>
            <w:tcMar>
              <w:top w:type="dxa" w:w="120"/>
              <w:left w:type="dxa" w:w="100"/>
              <w:bottom w:type="dxa" w:w="120"/>
              <w:right w:type="dxa" w:w="100"/>
            </w:tcMar>
            <w:vAlign w:val="center"/>
          </w:tcPr>
          <w:p>
            <w:pPr>
              <w:jc w:val="center"/>
            </w:pPr>
            <w:r>
              <w:rPr>
                <w:rFonts w:ascii="Calibri" w:cs="Calibri" w:eastAsia="Calibri" w:hAnsi="Calibri"/>
                <w:b/>
                <w:bCs/>
                <w:color w:val="FFFFFF"/>
                <w:sz w:val="19"/>
                <w:szCs w:val="19"/>
              </w:rPr>
              <w:t xml:space="preserve">Rujukan ke Faskes</w:t>
            </w:r>
          </w:p>
        </w:tc>
        <w:tc>
          <w:tcPr>
            <w:tcW w:type="dxa" w:w="1800"/>
            <w:shd w:fill="7A1F3D" w:val="clear"/>
            <w:tcMar>
              <w:top w:type="dxa" w:w="120"/>
              <w:left w:type="dxa" w:w="100"/>
              <w:bottom w:type="dxa" w:w="120"/>
              <w:right w:type="dxa" w:w="100"/>
            </w:tcMar>
            <w:vAlign w:val="center"/>
          </w:tcPr>
          <w:p>
            <w:pPr>
              <w:jc w:val="center"/>
            </w:pPr>
            <w:r>
              <w:rPr>
                <w:rFonts w:ascii="Calibri" w:cs="Calibri" w:eastAsia="Calibri" w:hAnsi="Calibri"/>
                <w:b/>
                <w:bCs/>
                <w:color w:val="FFFFFF"/>
                <w:sz w:val="19"/>
                <w:szCs w:val="19"/>
              </w:rPr>
              <w:t xml:space="preserve">Asesmen Multidisiplin</w:t>
            </w:r>
          </w:p>
        </w:tc>
        <w:tc>
          <w:tcPr>
            <w:tcW w:type="dxa" w:w="1800"/>
            <w:shd w:fill="555555" w:val="clear"/>
            <w:tcMar>
              <w:top w:type="dxa" w:w="120"/>
              <w:left w:type="dxa" w:w="100"/>
              <w:bottom w:type="dxa" w:w="120"/>
              <w:right w:type="dxa" w:w="100"/>
            </w:tcMar>
            <w:vAlign w:val="center"/>
          </w:tcPr>
          <w:p>
            <w:pPr>
              <w:jc w:val="center"/>
            </w:pPr>
            <w:r>
              <w:rPr>
                <w:rFonts w:ascii="Calibri" w:cs="Calibri" w:eastAsia="Calibri" w:hAnsi="Calibri"/>
                <w:b/>
                <w:bCs/>
                <w:color w:val="FFFFFF"/>
                <w:sz w:val="19"/>
                <w:szCs w:val="19"/>
              </w:rPr>
              <w:t xml:space="preserve">Rencana Tata Laksana Terpadu</w:t>
            </w:r>
          </w:p>
        </w:tc>
        <w:tc>
          <w:tcPr>
            <w:tcW w:type="dxa" w:w="1800"/>
            <w:shd w:fill="7A1F3D" w:val="clear"/>
            <w:tcMar>
              <w:top w:type="dxa" w:w="120"/>
              <w:left w:type="dxa" w:w="100"/>
              <w:bottom w:type="dxa" w:w="120"/>
              <w:right w:type="dxa" w:w="100"/>
            </w:tcMar>
            <w:vAlign w:val="center"/>
          </w:tcPr>
          <w:p>
            <w:pPr>
              <w:jc w:val="center"/>
            </w:pPr>
            <w:r>
              <w:rPr>
                <w:rFonts w:ascii="Calibri" w:cs="Calibri" w:eastAsia="Calibri" w:hAnsi="Calibri"/>
                <w:b/>
                <w:bCs/>
                <w:color w:val="FFFFFF"/>
                <w:sz w:val="19"/>
                <w:szCs w:val="19"/>
              </w:rPr>
              <w:t xml:space="preserve">Pemantauan Lintas Sektor</w:t>
            </w:r>
          </w:p>
        </w:tc>
      </w:tr>
    </w:tbl>
    <w:p>
      <w:pPr>
        <w:spacing w:after="120"/>
      </w:pPr>
    </w:p>
    <w:p>
      <w:pPr>
        <w:spacing w:after="160" w:line="288"/>
        <w:jc w:val="both"/>
      </w:pPr>
      <w:r>
        <w:rPr>
          <w:rFonts w:ascii="Calibri" w:cs="Calibri" w:eastAsia="Calibri" w:hAnsi="Calibri"/>
          <w:sz w:val="22"/>
          <w:szCs w:val="22"/>
        </w:rPr>
        <w:t xml:space="preserve">Koordinasi lintas sektor di Indonesia sering terkendala oleh perbedaan sistem pencatatan antarinstansi, ketiadaan forum koordinasi rutin, serta kekhawatiran kebocoran informasi sensitif remaja. Dokter subspesialis Obstetri Ginekologi Sosial dapat mengambil peran sebagai koordinator klinis dalam forum kasus lintas sektor, memastikan keputusan tata laksana tetap berpusat pada kepentingan terbaik remaja sekaligus mematuhi batasan hukum kerahasiaan data kesehatan.</w:t>
      </w:r>
    </w:p>
    <w:tbl>
      <w:tblPr>
        <w:tblW w:type="pct" w:w="100%"/>
        <w:tblBorders>
          <w:top w:val="single" w:color="7A1F3D" w:sz="4"/>
          <w:left w:val="single" w:color="7A1F3D" w:sz="24"/>
          <w:bottom w:val="single" w:color="7A1F3D" w:sz="4"/>
          <w:right w:val="single" w:color="7A1F3D" w:sz="4"/>
          <w:insideH w:val="single" w:color="auto" w:sz="4"/>
          <w:insideV w:val="single" w:color="auto" w:sz="4"/>
        </w:tblBorders>
      </w:tblPr>
      <w:tblGrid>
        <w:gridCol w:w="100"/>
      </w:tblGrid>
      <w:tr>
        <w:tc>
          <w:tcPr>
            <w:shd w:fill="FBF6F8" w:val="clear"/>
            <w:tcMar>
              <w:top w:type="dxa" w:w="160"/>
              <w:left w:type="dxa" w:w="220"/>
              <w:bottom w:type="dxa" w:w="160"/>
              <w:right w:type="dxa" w:w="220"/>
            </w:tcMar>
          </w:tcPr>
          <w:p>
            <w:pPr>
              <w:spacing w:after="100"/>
            </w:pPr>
            <w:r>
              <w:rPr>
                <w:rFonts w:ascii="Calibri" w:cs="Calibri" w:eastAsia="Calibri" w:hAnsi="Calibri"/>
                <w:b/>
                <w:bCs/>
                <w:color w:val="7A1F3D"/>
                <w:sz w:val="22"/>
                <w:szCs w:val="22"/>
              </w:rPr>
              <w:t xml:space="preserve">Vignette Klinis (Ilustratif, Tidak Identifiable)</w:t>
            </w:r>
          </w:p>
          <w:p>
            <w:pPr>
              <w:spacing w:after="160" w:line="288"/>
              <w:jc w:val="both"/>
            </w:pPr>
            <w:r>
              <w:rPr>
                <w:rFonts w:ascii="Calibri" w:cs="Calibri" w:eastAsia="Calibri" w:hAnsi="Calibri"/>
                <w:sz w:val="22"/>
                <w:szCs w:val="22"/>
              </w:rPr>
              <w:t xml:space="preserve">Seorang siswi berusia 15 tahun dilaporkan konselor sekolah mengalami perubahan perilaku drastis dan penurunan prestasi akademik. Setelah dirujuk ke Puskesmas, ditemukan indikasi kehamilan tidak diinginkan disertai gejala kecemasan berat. Tim lintas sektor yang melibatkan dokter, psikolog, dan pekerja sosial menyusun rencana tata laksana terpadu yang mencakup konseling kehamilan, dukungan psikologis, serta asesmen kondisi keluarga, tanpa melibatkan pihak sekolah lebih jauh demi menjaga kerahasiaan klien.</w:t>
            </w:r>
          </w:p>
        </w:tc>
      </w:tr>
    </w:tbl>
    <w:p>
      <w:pPr>
        <w:spacing w:after="120"/>
      </w:pPr>
    </w:p>
    <w:tbl>
      <w:tblPr>
        <w:tblW w:type="pct" w:w="100%"/>
        <w:tblBorders>
          <w:top w:val="single" w:color="7A1F3D" w:sz="4"/>
          <w:left w:val="single" w:color="7A1F3D" w:sz="24"/>
          <w:bottom w:val="single" w:color="7A1F3D" w:sz="4"/>
          <w:right w:val="single" w:color="7A1F3D" w:sz="4"/>
          <w:insideH w:val="single" w:color="auto" w:sz="4"/>
          <w:insideV w:val="single" w:color="auto" w:sz="4"/>
        </w:tblBorders>
      </w:tblPr>
      <w:tblGrid>
        <w:gridCol w:w="100"/>
      </w:tblGrid>
      <w:tr>
        <w:tc>
          <w:tcPr>
            <w:shd w:fill="F3E3EA" w:val="clear"/>
            <w:tcMar>
              <w:top w:type="dxa" w:w="160"/>
              <w:left w:type="dxa" w:w="220"/>
              <w:bottom w:type="dxa" w:w="160"/>
              <w:right w:type="dxa" w:w="220"/>
            </w:tcMar>
          </w:tcPr>
          <w:p>
            <w:pPr>
              <w:spacing w:after="100"/>
            </w:pPr>
            <w:r>
              <w:rPr>
                <w:rFonts w:ascii="Calibri" w:cs="Calibri" w:eastAsia="Calibri" w:hAnsi="Calibri"/>
                <w:b/>
                <w:bCs/>
                <w:color w:val="7A1F3D"/>
                <w:sz w:val="22"/>
                <w:szCs w:val="22"/>
              </w:rPr>
              <w:t xml:space="preserve">Poin Kunci</w:t>
            </w:r>
          </w:p>
          <w:p>
            <w:pPr>
              <w:pStyle w:val="ListParagraph"/>
              <w:numPr>
                <w:ilvl w:val="0"/>
                <w:numId w:val="2"/>
              </w:numPr>
              <w:spacing w:after="60"/>
            </w:pPr>
            <w:r>
              <w:rPr>
                <w:rFonts w:ascii="Calibri" w:cs="Calibri" w:eastAsia="Calibri" w:hAnsi="Calibri"/>
                <w:sz w:val="21"/>
                <w:szCs w:val="21"/>
              </w:rPr>
              <w:t xml:space="preserve">UKS dan konselor sekolah berperan sebagai penapis awal dan penghubung, bukan pemberi layanan klinis.</w:t>
            </w:r>
          </w:p>
          <w:p>
            <w:pPr>
              <w:pStyle w:val="ListParagraph"/>
              <w:numPr>
                <w:ilvl w:val="0"/>
                <w:numId w:val="2"/>
              </w:numPr>
              <w:spacing w:after="60"/>
            </w:pPr>
            <w:r>
              <w:rPr>
                <w:rFonts w:ascii="Calibri" w:cs="Calibri" w:eastAsia="Calibri" w:hAnsi="Calibri"/>
                <w:sz w:val="21"/>
                <w:szCs w:val="21"/>
              </w:rPr>
              <w:t xml:space="preserve">Kemitraan dengan sekolah memerlukan pelatihan berkala dan jalur komunikasi rahasia yang jelas.</w:t>
            </w:r>
          </w:p>
          <w:p>
            <w:pPr>
              <w:pStyle w:val="ListParagraph"/>
              <w:numPr>
                <w:ilvl w:val="0"/>
                <w:numId w:val="2"/>
              </w:numPr>
              <w:spacing w:after="60"/>
            </w:pPr>
            <w:r>
              <w:rPr>
                <w:rFonts w:ascii="Calibri" w:cs="Calibri" w:eastAsia="Calibri" w:hAnsi="Calibri"/>
                <w:sz w:val="21"/>
                <w:szCs w:val="21"/>
              </w:rPr>
              <w:t xml:space="preserve">Psikolog klinis menangani dimensi kesehatan mental; pekerja sosial menangani dimensi sosial-ekonomi dan pendampingan hukum.</w:t>
            </w:r>
          </w:p>
          <w:p>
            <w:pPr>
              <w:pStyle w:val="ListParagraph"/>
              <w:numPr>
                <w:ilvl w:val="0"/>
                <w:numId w:val="2"/>
              </w:numPr>
              <w:spacing w:after="60"/>
            </w:pPr>
            <w:r>
              <w:rPr>
                <w:rFonts w:ascii="Calibri" w:cs="Calibri" w:eastAsia="Calibri" w:hAnsi="Calibri"/>
                <w:sz w:val="21"/>
                <w:szCs w:val="21"/>
              </w:rPr>
              <w:t xml:space="preserve">Tata kelola kasus lintas sektor memerlukan alur rujukan yang terdokumentasi dan disepakati bersama.</w:t>
            </w:r>
          </w:p>
          <w:p>
            <w:pPr>
              <w:pStyle w:val="ListParagraph"/>
              <w:numPr>
                <w:ilvl w:val="0"/>
                <w:numId w:val="2"/>
              </w:numPr>
              <w:spacing w:after="60"/>
            </w:pPr>
            <w:r>
              <w:rPr>
                <w:rFonts w:ascii="Calibri" w:cs="Calibri" w:eastAsia="Calibri" w:hAnsi="Calibri"/>
                <w:sz w:val="21"/>
                <w:szCs w:val="21"/>
              </w:rPr>
              <w:t xml:space="preserve">Kekhawatiran kebocoran informasi menjadi tantangan utama koordinasi lintas sektor di Indonesia.</w:t>
            </w:r>
          </w:p>
          <w:p>
            <w:pPr>
              <w:pStyle w:val="ListParagraph"/>
              <w:numPr>
                <w:ilvl w:val="0"/>
                <w:numId w:val="2"/>
              </w:numPr>
              <w:spacing w:after="60"/>
            </w:pPr>
            <w:r>
              <w:rPr>
                <w:rFonts w:ascii="Calibri" w:cs="Calibri" w:eastAsia="Calibri" w:hAnsi="Calibri"/>
                <w:sz w:val="21"/>
                <w:szCs w:val="21"/>
              </w:rPr>
              <w:t xml:space="preserve">Dokter Obginsos dapat berperan sebagai koordinator klinis forum kasus lintas sektor.</w:t>
            </w:r>
          </w:p>
        </w:tc>
      </w:tr>
    </w:tbl>
    <w:p>
      <w:pPr>
        <w:pBdr>
          <w:top w:val="single" w:color="555555" w:sz="4" w:space="6"/>
        </w:pBdr>
        <w:spacing w:after="120" w:before="300"/>
      </w:pPr>
      <w:r>
        <w:rPr>
          <w:rFonts w:ascii="Calibri" w:cs="Calibri" w:eastAsia="Calibri" w:hAnsi="Calibri"/>
          <w:b/>
          <w:bCs/>
          <w:i/>
          <w:iCs/>
          <w:color w:val="555555"/>
          <w:sz w:val="22"/>
          <w:szCs w:val="22"/>
        </w:rPr>
        <w:t xml:space="preserve">Referensi Bab</w:t>
      </w:r>
    </w:p>
    <w:p>
      <w:pPr>
        <w:spacing w:after="80"/>
        <w:ind w:left="400" w:hanging="400"/>
      </w:pPr>
      <w:r>
        <w:rPr>
          <w:rFonts w:ascii="Calibri" w:cs="Calibri" w:eastAsia="Calibri" w:hAnsi="Calibri"/>
          <w:sz w:val="20"/>
          <w:szCs w:val="20"/>
        </w:rPr>
        <w:t xml:space="preserve">1. World Health Organization (WHO), United Nations Children's Fund (UNICEF). Helping Adolescents Thrive Toolkit: Strategies to Promote and Protect Adolescent Mental Health and Reduce Self-Harm and Other Risk Behaviours. Geneva: WHO; 2021.</w:t>
      </w:r>
    </w:p>
    <w:p>
      <w:pPr>
        <w:spacing w:after="80"/>
        <w:ind w:left="400" w:hanging="400"/>
      </w:pPr>
      <w:r>
        <w:rPr>
          <w:rFonts w:ascii="Calibri" w:cs="Calibri" w:eastAsia="Calibri" w:hAnsi="Calibri"/>
          <w:sz w:val="20"/>
          <w:szCs w:val="20"/>
        </w:rPr>
        <w:t xml:space="preserve">2. World Health Organization (WHO). Responding to Intimate Partner Violence and Sexual Violence Against Women: WHO Clinical and Policy Guidelines. Geneva: WHO; 2013.</w:t>
      </w:r>
    </w:p>
    <w:p>
      <w:pPr>
        <w:spacing w:after="80"/>
        <w:ind w:left="400" w:hanging="400"/>
      </w:pPr>
      <w:r>
        <w:rPr>
          <w:rFonts w:ascii="Calibri" w:cs="Calibri" w:eastAsia="Calibri" w:hAnsi="Calibri"/>
          <w:sz w:val="20"/>
          <w:szCs w:val="20"/>
        </w:rPr>
        <w:t xml:space="preserve">3. Kementerian Kesehatan Republik Indonesia. Pedoman Pelayanan Kesehatan Reproduksi Terpadu di Tingkat Pelayanan Kesehatan Dasar dan Rujukan.</w:t>
      </w:r>
    </w:p>
    <w:p>
      <w:pPr>
        <w:spacing w:after="80"/>
        <w:ind w:left="400" w:hanging="400"/>
      </w:pPr>
      <w:r>
        <w:rPr>
          <w:rFonts w:ascii="Calibri" w:cs="Calibri" w:eastAsia="Calibri" w:hAnsi="Calibri"/>
          <w:sz w:val="20"/>
          <w:szCs w:val="20"/>
        </w:rPr>
        <w:t xml:space="preserve">4. Konsil Kesehatan Indonesia. Keputusan Ketua Konsil Kesehatan Indonesia Nomor HK.01.02/KKI/1318/2026 tentang Standar Kompetensi Dokter Spesialis dan Subspesialis Bidang Obstetri dan Ginekologi, Tabel 25, komponen 14.</w:t>
      </w:r>
    </w:p>
    <w:p>
      <w:pPr>
        <w:spacing w:after="80"/>
        <w:ind w:left="400" w:hanging="400"/>
      </w:pPr>
      <w:r>
        <w:rPr>
          <w:rFonts w:ascii="Calibri" w:cs="Calibri" w:eastAsia="Calibri" w:hAnsi="Calibri"/>
          <w:sz w:val="20"/>
          <w:szCs w:val="20"/>
        </w:rPr>
        <w:t xml:space="preserve">5. Republik Indonesia. Undang-Undang Nomor 23 Tahun 2004 tentang Penghapusan Kekerasan Dalam Rumah Tangga (UU PKDRT).</w:t>
      </w:r>
    </w:p>
    <w:p>
      <w:r>
        <w:br w:type="page"/>
      </w:r>
    </w:p>
    <w:p>
      <w:pPr>
        <w:pStyle w:val="Heading1"/>
        <w:pBdr>
          <w:bottom w:val="single" w:color="7A1F3D" w:sz="12" w:space="8"/>
        </w:pBdr>
        <w:spacing w:after="240" w:before="240"/>
      </w:pPr>
      <w:r>
        <w:rPr>
          <w:rFonts w:ascii="Calibri" w:cs="Calibri" w:eastAsia="Calibri" w:hAnsi="Calibri"/>
          <w:b/>
          <w:bCs/>
          <w:color w:val="7A1F3D"/>
          <w:sz w:val="34"/>
          <w:szCs w:val="34"/>
        </w:rPr>
        <w:t xml:space="preserve">Bab 5. Dokumentasi dan Evaluasi Kepuasan Klien Remaja</w:t>
      </w:r>
    </w:p>
    <w:tbl>
      <w:tblPr>
        <w:tblW w:type="pct" w:w="100%"/>
        <w:tblBorders>
          <w:top w:val="single" w:color="7A1F3D" w:sz="4"/>
          <w:left w:val="single" w:color="7A1F3D" w:sz="24"/>
          <w:bottom w:val="single" w:color="7A1F3D" w:sz="4"/>
          <w:right w:val="single" w:color="7A1F3D" w:sz="4"/>
          <w:insideH w:val="single" w:color="auto" w:sz="4"/>
          <w:insideV w:val="single" w:color="auto" w:sz="4"/>
        </w:tblBorders>
      </w:tblPr>
      <w:tblGrid>
        <w:gridCol w:w="100"/>
      </w:tblGrid>
      <w:tr>
        <w:tc>
          <w:tcPr>
            <w:shd w:fill="F3E3EA" w:val="clear"/>
            <w:tcMar>
              <w:top w:type="dxa" w:w="160"/>
              <w:left w:type="dxa" w:w="220"/>
              <w:bottom w:type="dxa" w:w="160"/>
              <w:right w:type="dxa" w:w="220"/>
            </w:tcMar>
          </w:tcPr>
          <w:p>
            <w:pPr>
              <w:spacing w:after="100"/>
            </w:pPr>
            <w:r>
              <w:rPr>
                <w:rFonts w:ascii="Calibri" w:cs="Calibri" w:eastAsia="Calibri" w:hAnsi="Calibri"/>
                <w:b/>
                <w:bCs/>
                <w:color w:val="7A1F3D"/>
                <w:sz w:val="22"/>
                <w:szCs w:val="22"/>
              </w:rPr>
              <w:t xml:space="preserve">Tujuan Pembelajaran Bab</w:t>
            </w:r>
          </w:p>
          <w:p>
            <w:pPr>
              <w:pStyle w:val="ListParagraph"/>
              <w:numPr>
                <w:ilvl w:val="0"/>
                <w:numId w:val="2"/>
              </w:numPr>
              <w:spacing w:after="60"/>
            </w:pPr>
            <w:r>
              <w:rPr>
                <w:rFonts w:ascii="Calibri" w:cs="Calibri" w:eastAsia="Calibri" w:hAnsi="Calibri"/>
                <w:sz w:val="21"/>
                <w:szCs w:val="21"/>
              </w:rPr>
              <w:t xml:space="preserve">Menjelaskan prinsip dokumentasi rekam medis yang rahasia dan berpusat pada remaja.</w:t>
            </w:r>
          </w:p>
          <w:p>
            <w:pPr>
              <w:pStyle w:val="ListParagraph"/>
              <w:numPr>
                <w:ilvl w:val="0"/>
                <w:numId w:val="2"/>
              </w:numPr>
              <w:spacing w:after="60"/>
            </w:pPr>
            <w:r>
              <w:rPr>
                <w:rFonts w:ascii="Calibri" w:cs="Calibri" w:eastAsia="Calibri" w:hAnsi="Calibri"/>
                <w:sz w:val="21"/>
                <w:szCs w:val="21"/>
              </w:rPr>
              <w:t xml:space="preserve">Menguraikan indikator dan instrumen untuk mengukur kepuasan klien remaja terhadap layanan kesehatan reproduksi.</w:t>
            </w:r>
          </w:p>
          <w:p>
            <w:pPr>
              <w:pStyle w:val="ListParagraph"/>
              <w:numPr>
                <w:ilvl w:val="0"/>
                <w:numId w:val="2"/>
              </w:numPr>
              <w:spacing w:after="60"/>
            </w:pPr>
            <w:r>
              <w:rPr>
                <w:rFonts w:ascii="Calibri" w:cs="Calibri" w:eastAsia="Calibri" w:hAnsi="Calibri"/>
                <w:sz w:val="21"/>
                <w:szCs w:val="21"/>
              </w:rPr>
              <w:t xml:space="preserve">Menganalisis metode memperoleh umpan balik dari klien remaja secara rahasia dan tanpa menghakimi.</w:t>
            </w:r>
          </w:p>
          <w:p>
            <w:pPr>
              <w:pStyle w:val="ListParagraph"/>
              <w:numPr>
                <w:ilvl w:val="0"/>
                <w:numId w:val="2"/>
              </w:numPr>
              <w:spacing w:after="60"/>
            </w:pPr>
            <w:r>
              <w:rPr>
                <w:rFonts w:ascii="Calibri" w:cs="Calibri" w:eastAsia="Calibri" w:hAnsi="Calibri"/>
                <w:sz w:val="21"/>
                <w:szCs w:val="21"/>
              </w:rPr>
              <w:t xml:space="preserve">Merancang siklus perbaikan mutu layanan berbasis umpan balik remaja secara berkelanjutan.</w:t>
            </w:r>
          </w:p>
        </w:tc>
      </w:tr>
    </w:tbl>
    <w:p>
      <w:pPr>
        <w:spacing w:after="120"/>
      </w:pPr>
    </w:p>
    <w:p>
      <w:pPr>
        <w:pStyle w:val="Heading2"/>
        <w:spacing w:after="140" w:before="280"/>
      </w:pPr>
      <w:r>
        <w:rPr>
          <w:rFonts w:ascii="Calibri" w:cs="Calibri" w:eastAsia="Calibri" w:hAnsi="Calibri"/>
          <w:b/>
          <w:bCs/>
          <w:color w:val="7A1F3D"/>
          <w:sz w:val="27"/>
          <w:szCs w:val="27"/>
        </w:rPr>
        <w:t xml:space="preserve">5.1 Prinsip Dokumentasi Rahasia dan Berpusat pada Remaja</w:t>
      </w:r>
    </w:p>
    <w:p>
      <w:pPr>
        <w:spacing w:after="160" w:line="288"/>
        <w:jc w:val="both"/>
      </w:pPr>
      <w:r>
        <w:rPr>
          <w:rFonts w:ascii="Calibri" w:cs="Calibri" w:eastAsia="Calibri" w:hAnsi="Calibri"/>
          <w:sz w:val="22"/>
          <w:szCs w:val="22"/>
        </w:rPr>
        <w:t xml:space="preserve">Dokumentasi rekam medis remaja perlu mengikuti prinsip kerahasiaan yang lebih ketat dibanding populasi dewasa umum, mengingat sensitivitas topik kesehatan reproduksi dan potensi risiko sosial bila informasi tersebut terungkap kepada pihak yang tidak berwenang, termasuk orang tua dalam situasi tertentu.(1,4) Fasilitas kesehatan perlu memiliki kebijakan tertulis mengenai batasan akses rekam medis remaja, termasuk siapa saja yang berwenang mengaksesnya dan dalam kondisi apa pengungkapan kepada wali dapat dilakukan sesuai ketentuan hukum yang berlaku di Indonesia.</w:t>
      </w:r>
    </w:p>
    <w:p>
      <w:pPr>
        <w:spacing w:after="160" w:line="288"/>
        <w:jc w:val="both"/>
      </w:pPr>
      <w:r>
        <w:rPr>
          <w:rFonts w:ascii="Calibri" w:cs="Calibri" w:eastAsia="Calibri" w:hAnsi="Calibri"/>
          <w:sz w:val="22"/>
          <w:szCs w:val="22"/>
        </w:rPr>
        <w:t xml:space="preserve">Prinsip persetujuan (informed consent) dan asensi (assent) perlu diterapkan secara berlapis: remaja yang telah cukup matang secara kognitif untuk memahami tindakan medis yang akan dijalani perlu dilibatkan secara aktif dalam pengambilan keputusan, meskipun persetujuan formal tetap memerlukan keterlibatan wali sesuai regulasi berlaku untuk tindakan tertentu. Dokumentasi yang baik mencatat proses diskusi ini secara eksplisit, termasuk sejauh mana remaja memahami informasi yang diberikan.</w:t>
      </w:r>
    </w:p>
    <w:p>
      <w:pPr>
        <w:pStyle w:val="Heading2"/>
        <w:spacing w:after="140" w:before="280"/>
      </w:pPr>
      <w:r>
        <w:rPr>
          <w:rFonts w:ascii="Calibri" w:cs="Calibri" w:eastAsia="Calibri" w:hAnsi="Calibri"/>
          <w:b/>
          <w:bCs/>
          <w:color w:val="7A1F3D"/>
          <w:sz w:val="27"/>
          <w:szCs w:val="27"/>
        </w:rPr>
        <w:t xml:space="preserve">5.2 Indikator dan Instrumen Kepuasan Klien Remaja</w:t>
      </w:r>
    </w:p>
    <w:p>
      <w:pPr>
        <w:spacing w:after="160" w:line="288"/>
        <w:jc w:val="both"/>
      </w:pPr>
      <w:r>
        <w:rPr>
          <w:rFonts w:ascii="Calibri" w:cs="Calibri" w:eastAsia="Calibri" w:hAnsi="Calibri"/>
          <w:sz w:val="22"/>
          <w:szCs w:val="22"/>
        </w:rPr>
        <w:t xml:space="preserve">Pengukuran kepuasan klien remaja memerlukan indikator yang relevan dengan karakteristik populasi ini, tidak sekadar mengadaptasi instrumen kepuasan pasien dewasa. Indikator yang relevan mencakup persepsi kerahasiaan selama kunjungan, persepsi tidak dihakimi oleh tenaga kesehatan, kejelasan informasi yang diberikan, kenyamanan lingkungan fisik fasilitas, serta kemudahan proses administratif tanpa perlu mengungkapkan alasan kunjungan kepada pihak yang tidak berkepentingan.(2)</w:t>
      </w:r>
    </w:p>
    <w:p>
      <w:pPr>
        <w:spacing w:after="160" w:line="288"/>
        <w:jc w:val="both"/>
      </w:pPr>
      <w:r>
        <w:rPr>
          <w:rFonts w:ascii="Calibri" w:cs="Calibri" w:eastAsia="Calibri" w:hAnsi="Calibri"/>
          <w:sz w:val="22"/>
          <w:szCs w:val="22"/>
        </w:rPr>
        <w:t xml:space="preserve">Instrumen pengumpulan data dapat berupa kuesioner singkat berbasis skala Likert yang diisi secara anonim setelah kunjungan, kotak umpan balik tertulis di ruang tunggu, maupun survei elektronik melalui pesan singkat yang dapat diisi tanpa mengungkap identitas. Pemilihan instrumen perlu mempertimbangkan tingkat literasi digital dan kenyamanan remaja setempat, serta menjamin bahwa hasil survei tidak dapat ditelusuri kembali ke identitas individu klien.</w:t>
      </w:r>
    </w:p>
    <w:tbl>
      <w:tblPr>
        <w:tblW w:type="pct" w:w="100%"/>
        <w:tblBorders>
          <w:top w:val="single" w:color="555555" w:sz="4"/>
          <w:left w:val="single" w:color="555555" w:sz="24"/>
          <w:bottom w:val="single" w:color="555555" w:sz="4"/>
          <w:right w:val="single" w:color="555555" w:sz="4"/>
          <w:insideH w:val="single" w:color="auto" w:sz="4"/>
          <w:insideV w:val="single" w:color="auto" w:sz="4"/>
        </w:tblBorders>
      </w:tblPr>
      <w:tblGrid>
        <w:gridCol w:w="100"/>
      </w:tblGrid>
      <w:tr>
        <w:tc>
          <w:tcPr>
            <w:shd w:fill="F2F2F2" w:val="clear"/>
            <w:tcMar>
              <w:top w:type="dxa" w:w="160"/>
              <w:left w:type="dxa" w:w="220"/>
              <w:bottom w:type="dxa" w:w="160"/>
              <w:right w:type="dxa" w:w="220"/>
            </w:tcMar>
          </w:tcPr>
          <w:p>
            <w:pPr>
              <w:spacing w:after="100"/>
            </w:pPr>
            <w:r>
              <w:rPr>
                <w:rFonts w:ascii="Calibri" w:cs="Calibri" w:eastAsia="Calibri" w:hAnsi="Calibri"/>
                <w:b/>
                <w:bCs/>
                <w:color w:val="555555"/>
                <w:sz w:val="22"/>
                <w:szCs w:val="22"/>
              </w:rPr>
              <w:t xml:space="preserve">Kompetensi Kepkonsil Terkait: Tabel 25 Komponen 14</w:t>
            </w:r>
          </w:p>
          <w:p>
            <w:pPr>
              <w:spacing w:after="160" w:line="288"/>
              <w:jc w:val="both"/>
            </w:pPr>
            <w:r>
              <w:rPr>
                <w:rFonts w:ascii="Calibri" w:cs="Calibri" w:eastAsia="Calibri" w:hAnsi="Calibri"/>
                <w:sz w:val="22"/>
                <w:szCs w:val="22"/>
              </w:rPr>
              <w:t xml:space="preserve">Kepkonsil Nomor HK.01.02/KKI/1318/2026 menetapkan "kepuasan peserta/klien ≥80%" sebagai kriteria kinerja minimal kompetensi Kesehatan Reproduksi Remaja, disertai syarat dokumentasi konseling yang lengkap dan volume minimal satu kasus kesehatan reproduksi remaja yang ditangani peserta didik hingga tuntas.(3) Ambang batas ini menjadi acuan kuantitatif bagi indikator kepuasan klien yang dibahas pada subbab ini.</w:t>
            </w:r>
          </w:p>
        </w:tc>
      </w:tr>
    </w:tbl>
    <w:p>
      <w:pPr>
        <w:spacing w:after="120"/>
      </w:pPr>
    </w:p>
    <w:p>
      <w:pPr>
        <w:pStyle w:val="Heading2"/>
        <w:spacing w:after="140" w:before="280"/>
      </w:pPr>
      <w:r>
        <w:rPr>
          <w:rFonts w:ascii="Calibri" w:cs="Calibri" w:eastAsia="Calibri" w:hAnsi="Calibri"/>
          <w:b/>
          <w:bCs/>
          <w:color w:val="7A1F3D"/>
          <w:sz w:val="27"/>
          <w:szCs w:val="27"/>
        </w:rPr>
        <w:t xml:space="preserve">5.3 Umpan Balik Berkelanjutan dan Perbaikan Mutu</w:t>
      </w:r>
    </w:p>
    <w:p>
      <w:pPr>
        <w:spacing w:after="160" w:line="288"/>
        <w:jc w:val="both"/>
      </w:pPr>
      <w:r>
        <w:rPr>
          <w:rFonts w:ascii="Calibri" w:cs="Calibri" w:eastAsia="Calibri" w:hAnsi="Calibri"/>
          <w:sz w:val="22"/>
          <w:szCs w:val="22"/>
        </w:rPr>
        <w:t xml:space="preserve">Umpan balik dari klien remaja perlu dikumpulkan secara sistematis dan dianalisis secara berkala oleh tim fasilitas kesehatan sebagai bagian dari siklus perbaikan mutu berkelanjutan, sejalan dengan domain data dan perbaikan mutu dalam WHO Global Standards for Quality Health-Care Services for Adolescents. Fasilitas dapat membentuk forum kecil bersama perwakilan remaja setempat untuk membahas temuan umpan balik secara berkala, tanpa mengungkap kasus individual, guna merumuskan perbaikan konkret seperti penyesuaian jam layanan atau perbaikan tata ruang tunggu.</w:t>
      </w:r>
    </w:p>
    <w:p>
      <w:pPr>
        <w:spacing w:after="160" w:line="288"/>
        <w:jc w:val="both"/>
      </w:pPr>
      <w:r>
        <w:rPr>
          <w:rFonts w:ascii="Calibri" w:cs="Calibri" w:eastAsia="Calibri" w:hAnsi="Calibri"/>
          <w:sz w:val="22"/>
          <w:szCs w:val="22"/>
        </w:rPr>
        <w:t xml:space="preserve">Kerahasiaan dan sikap tidak menghakimi harus terus dijaga sepanjang proses evaluasi ini; petugas yang mengelola umpan balik perlu dilatih agar tidak menggunakan data tersebut untuk tujuan lain di luar perbaikan mutu, serta memastikan hasil evaluasi disampaikan kembali kepada perwakilan remaja sebagai bentuk penghormatan terhadap partisipasi mereka.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1800"/>
        <w:gridCol w:w="1800"/>
        <w:gridCol w:w="1800"/>
      </w:tblGrid>
      <w:tr>
        <w:tc>
          <w:tcPr>
            <w:tcW w:type="dxa" w:w="1800"/>
            <w:shd w:fill="7A1F3D" w:val="clear"/>
            <w:tcMar>
              <w:top w:type="dxa" w:w="120"/>
              <w:left w:type="dxa" w:w="100"/>
              <w:bottom w:type="dxa" w:w="120"/>
              <w:right w:type="dxa" w:w="100"/>
            </w:tcMar>
            <w:vAlign w:val="center"/>
          </w:tcPr>
          <w:p>
            <w:pPr>
              <w:jc w:val="center"/>
            </w:pPr>
            <w:r>
              <w:rPr>
                <w:rFonts w:ascii="Calibri" w:cs="Calibri" w:eastAsia="Calibri" w:hAnsi="Calibri"/>
                <w:b/>
                <w:bCs/>
                <w:color w:val="FFFFFF"/>
                <w:sz w:val="19"/>
                <w:szCs w:val="19"/>
              </w:rPr>
              <w:t xml:space="preserve">Pengumpulan Umpan Balik</w:t>
            </w:r>
          </w:p>
        </w:tc>
        <w:tc>
          <w:tcPr>
            <w:tcW w:type="dxa" w:w="1800"/>
            <w:shd w:fill="555555" w:val="clear"/>
            <w:tcMar>
              <w:top w:type="dxa" w:w="120"/>
              <w:left w:type="dxa" w:w="100"/>
              <w:bottom w:type="dxa" w:w="120"/>
              <w:right w:type="dxa" w:w="100"/>
            </w:tcMar>
            <w:vAlign w:val="center"/>
          </w:tcPr>
          <w:p>
            <w:pPr>
              <w:jc w:val="center"/>
            </w:pPr>
            <w:r>
              <w:rPr>
                <w:rFonts w:ascii="Calibri" w:cs="Calibri" w:eastAsia="Calibri" w:hAnsi="Calibri"/>
                <w:b/>
                <w:bCs/>
                <w:color w:val="FFFFFF"/>
                <w:sz w:val="19"/>
                <w:szCs w:val="19"/>
              </w:rPr>
              <w:t xml:space="preserve">Analisis Berkala Tim</w:t>
            </w:r>
          </w:p>
        </w:tc>
        <w:tc>
          <w:tcPr>
            <w:tcW w:type="dxa" w:w="1800"/>
            <w:shd w:fill="7A1F3D" w:val="clear"/>
            <w:tcMar>
              <w:top w:type="dxa" w:w="120"/>
              <w:left w:type="dxa" w:w="100"/>
              <w:bottom w:type="dxa" w:w="120"/>
              <w:right w:type="dxa" w:w="100"/>
            </w:tcMar>
            <w:vAlign w:val="center"/>
          </w:tcPr>
          <w:p>
            <w:pPr>
              <w:jc w:val="center"/>
            </w:pPr>
            <w:r>
              <w:rPr>
                <w:rFonts w:ascii="Calibri" w:cs="Calibri" w:eastAsia="Calibri" w:hAnsi="Calibri"/>
                <w:b/>
                <w:bCs/>
                <w:color w:val="FFFFFF"/>
                <w:sz w:val="19"/>
                <w:szCs w:val="19"/>
              </w:rPr>
              <w:t xml:space="preserve">Forum Bersama Remaja</w:t>
            </w:r>
          </w:p>
        </w:tc>
        <w:tc>
          <w:tcPr>
            <w:tcW w:type="dxa" w:w="1800"/>
            <w:shd w:fill="555555" w:val="clear"/>
            <w:tcMar>
              <w:top w:type="dxa" w:w="120"/>
              <w:left w:type="dxa" w:w="100"/>
              <w:bottom w:type="dxa" w:w="120"/>
              <w:right w:type="dxa" w:w="100"/>
            </w:tcMar>
            <w:vAlign w:val="center"/>
          </w:tcPr>
          <w:p>
            <w:pPr>
              <w:jc w:val="center"/>
            </w:pPr>
            <w:r>
              <w:rPr>
                <w:rFonts w:ascii="Calibri" w:cs="Calibri" w:eastAsia="Calibri" w:hAnsi="Calibri"/>
                <w:b/>
                <w:bCs/>
                <w:color w:val="FFFFFF"/>
                <w:sz w:val="19"/>
                <w:szCs w:val="19"/>
              </w:rPr>
              <w:t xml:space="preserve">Perbaikan Layanan</w:t>
            </w:r>
          </w:p>
        </w:tc>
        <w:tc>
          <w:tcPr>
            <w:tcW w:type="dxa" w:w="1800"/>
            <w:shd w:fill="7A1F3D" w:val="clear"/>
            <w:tcMar>
              <w:top w:type="dxa" w:w="120"/>
              <w:left w:type="dxa" w:w="100"/>
              <w:bottom w:type="dxa" w:w="120"/>
              <w:right w:type="dxa" w:w="100"/>
            </w:tcMar>
            <w:vAlign w:val="center"/>
          </w:tcPr>
          <w:p>
            <w:pPr>
              <w:jc w:val="center"/>
            </w:pPr>
            <w:r>
              <w:rPr>
                <w:rFonts w:ascii="Calibri" w:cs="Calibri" w:eastAsia="Calibri" w:hAnsi="Calibri"/>
                <w:b/>
                <w:bCs/>
                <w:color w:val="FFFFFF"/>
                <w:sz w:val="19"/>
                <w:szCs w:val="19"/>
              </w:rPr>
              <w:t xml:space="preserve">Evaluasi Ulang</w:t>
            </w:r>
          </w:p>
        </w:tc>
      </w:tr>
    </w:tbl>
    <w:p>
      <w:pPr>
        <w:spacing w:after="120"/>
      </w:pPr>
    </w:p>
    <w:tbl>
      <w:tblPr>
        <w:tblW w:type="pct" w:w="100%"/>
        <w:tblBorders>
          <w:top w:val="single" w:color="7A1F3D" w:sz="4"/>
          <w:left w:val="single" w:color="7A1F3D" w:sz="24"/>
          <w:bottom w:val="single" w:color="7A1F3D" w:sz="4"/>
          <w:right w:val="single" w:color="7A1F3D" w:sz="4"/>
          <w:insideH w:val="single" w:color="auto" w:sz="4"/>
          <w:insideV w:val="single" w:color="auto" w:sz="4"/>
        </w:tblBorders>
      </w:tblPr>
      <w:tblGrid>
        <w:gridCol w:w="100"/>
      </w:tblGrid>
      <w:tr>
        <w:tc>
          <w:tcPr>
            <w:shd w:fill="FBF6F8" w:val="clear"/>
            <w:tcMar>
              <w:top w:type="dxa" w:w="160"/>
              <w:left w:type="dxa" w:w="220"/>
              <w:bottom w:type="dxa" w:w="160"/>
              <w:right w:type="dxa" w:w="220"/>
            </w:tcMar>
          </w:tcPr>
          <w:p>
            <w:pPr>
              <w:spacing w:after="100"/>
            </w:pPr>
            <w:r>
              <w:rPr>
                <w:rFonts w:ascii="Calibri" w:cs="Calibri" w:eastAsia="Calibri" w:hAnsi="Calibri"/>
                <w:b/>
                <w:bCs/>
                <w:color w:val="7A1F3D"/>
                <w:sz w:val="22"/>
                <w:szCs w:val="22"/>
              </w:rPr>
              <w:t xml:space="preserve">Vignette Klinis (Ilustratif, Tidak Identifiable)</w:t>
            </w:r>
          </w:p>
          <w:p>
            <w:pPr>
              <w:spacing w:after="160" w:line="288"/>
              <w:jc w:val="both"/>
            </w:pPr>
            <w:r>
              <w:rPr>
                <w:rFonts w:ascii="Calibri" w:cs="Calibri" w:eastAsia="Calibri" w:hAnsi="Calibri"/>
                <w:sz w:val="22"/>
                <w:szCs w:val="22"/>
              </w:rPr>
              <w:t xml:space="preserve">Sebuah Puskesmas menerapkan kotak umpan balik anonim khusus remaja di ruang tunggu PKPR. Setelah tiga bulan, tim mendapati banyak keluhan mengenai jam layanan yang bertabrakan dengan jam sekolah. Berdasarkan temuan ini, Puskesmas menyesuaikan jadwal layanan remaja menjadi sore hari dua kali seminggu, yang kemudian meningkatkan jumlah kunjungan remaja secara bertahap pada evaluasi berikutnya.</w:t>
            </w:r>
          </w:p>
        </w:tc>
      </w:tr>
    </w:tbl>
    <w:p>
      <w:pPr>
        <w:spacing w:after="120"/>
      </w:pPr>
    </w:p>
    <w:tbl>
      <w:tblPr>
        <w:tblW w:type="pct" w:w="100%"/>
        <w:tblBorders>
          <w:top w:val="single" w:color="7A1F3D" w:sz="4"/>
          <w:left w:val="single" w:color="7A1F3D" w:sz="24"/>
          <w:bottom w:val="single" w:color="7A1F3D" w:sz="4"/>
          <w:right w:val="single" w:color="7A1F3D" w:sz="4"/>
          <w:insideH w:val="single" w:color="auto" w:sz="4"/>
          <w:insideV w:val="single" w:color="auto" w:sz="4"/>
        </w:tblBorders>
      </w:tblPr>
      <w:tblGrid>
        <w:gridCol w:w="100"/>
      </w:tblGrid>
      <w:tr>
        <w:tc>
          <w:tcPr>
            <w:shd w:fill="F3E3EA" w:val="clear"/>
            <w:tcMar>
              <w:top w:type="dxa" w:w="160"/>
              <w:left w:type="dxa" w:w="220"/>
              <w:bottom w:type="dxa" w:w="160"/>
              <w:right w:type="dxa" w:w="220"/>
            </w:tcMar>
          </w:tcPr>
          <w:p>
            <w:pPr>
              <w:spacing w:after="100"/>
            </w:pPr>
            <w:r>
              <w:rPr>
                <w:rFonts w:ascii="Calibri" w:cs="Calibri" w:eastAsia="Calibri" w:hAnsi="Calibri"/>
                <w:b/>
                <w:bCs/>
                <w:color w:val="7A1F3D"/>
                <w:sz w:val="22"/>
                <w:szCs w:val="22"/>
              </w:rPr>
              <w:t xml:space="preserve">Poin Kunci</w:t>
            </w:r>
          </w:p>
          <w:p>
            <w:pPr>
              <w:pStyle w:val="ListParagraph"/>
              <w:numPr>
                <w:ilvl w:val="0"/>
                <w:numId w:val="2"/>
              </w:numPr>
              <w:spacing w:after="60"/>
            </w:pPr>
            <w:r>
              <w:rPr>
                <w:rFonts w:ascii="Calibri" w:cs="Calibri" w:eastAsia="Calibri" w:hAnsi="Calibri"/>
                <w:sz w:val="21"/>
                <w:szCs w:val="21"/>
              </w:rPr>
              <w:t xml:space="preserve">Dokumentasi rekam medis remaja memerlukan kebijakan kerahasiaan yang lebih ketat dibanding populasi dewasa umum.</w:t>
            </w:r>
          </w:p>
          <w:p>
            <w:pPr>
              <w:pStyle w:val="ListParagraph"/>
              <w:numPr>
                <w:ilvl w:val="0"/>
                <w:numId w:val="2"/>
              </w:numPr>
              <w:spacing w:after="60"/>
            </w:pPr>
            <w:r>
              <w:rPr>
                <w:rFonts w:ascii="Calibri" w:cs="Calibri" w:eastAsia="Calibri" w:hAnsi="Calibri"/>
                <w:sz w:val="21"/>
                <w:szCs w:val="21"/>
              </w:rPr>
              <w:t xml:space="preserve">Prinsip persetujuan dan asensi perlu diterapkan berlapis sesuai kematangan kognitif remaja dan regulasi yang berlaku.</w:t>
            </w:r>
          </w:p>
          <w:p>
            <w:pPr>
              <w:pStyle w:val="ListParagraph"/>
              <w:numPr>
                <w:ilvl w:val="0"/>
                <w:numId w:val="2"/>
              </w:numPr>
              <w:spacing w:after="60"/>
            </w:pPr>
            <w:r>
              <w:rPr>
                <w:rFonts w:ascii="Calibri" w:cs="Calibri" w:eastAsia="Calibri" w:hAnsi="Calibri"/>
                <w:sz w:val="21"/>
                <w:szCs w:val="21"/>
              </w:rPr>
              <w:t xml:space="preserve">Indikator kepuasan klien remaja harus mencakup persepsi kerahasiaan dan sikap tidak menghakimi, bukan hanya kepuasan teknis layanan.</w:t>
            </w:r>
          </w:p>
          <w:p>
            <w:pPr>
              <w:pStyle w:val="ListParagraph"/>
              <w:numPr>
                <w:ilvl w:val="0"/>
                <w:numId w:val="2"/>
              </w:numPr>
              <w:spacing w:after="60"/>
            </w:pPr>
            <w:r>
              <w:rPr>
                <w:rFonts w:ascii="Calibri" w:cs="Calibri" w:eastAsia="Calibri" w:hAnsi="Calibri"/>
                <w:sz w:val="21"/>
                <w:szCs w:val="21"/>
              </w:rPr>
              <w:t xml:space="preserve">Instrumen umpan balik perlu menjamin anonimitas agar remaja bersedia memberikan penilaian yang jujur.</w:t>
            </w:r>
          </w:p>
          <w:p>
            <w:pPr>
              <w:pStyle w:val="ListParagraph"/>
              <w:numPr>
                <w:ilvl w:val="0"/>
                <w:numId w:val="2"/>
              </w:numPr>
              <w:spacing w:after="60"/>
            </w:pPr>
            <w:r>
              <w:rPr>
                <w:rFonts w:ascii="Calibri" w:cs="Calibri" w:eastAsia="Calibri" w:hAnsi="Calibri"/>
                <w:sz w:val="21"/>
                <w:szCs w:val="21"/>
              </w:rPr>
              <w:t xml:space="preserve">Umpan balik remaja harus dianalisis secara berkala sebagai bagian siklus perbaikan mutu berkelanjutan.</w:t>
            </w:r>
          </w:p>
          <w:p>
            <w:pPr>
              <w:pStyle w:val="ListParagraph"/>
              <w:numPr>
                <w:ilvl w:val="0"/>
                <w:numId w:val="2"/>
              </w:numPr>
              <w:spacing w:after="60"/>
            </w:pPr>
            <w:r>
              <w:rPr>
                <w:rFonts w:ascii="Calibri" w:cs="Calibri" w:eastAsia="Calibri" w:hAnsi="Calibri"/>
                <w:sz w:val="21"/>
                <w:szCs w:val="21"/>
              </w:rPr>
              <w:t xml:space="preserve">Keterlibatan perwakilan remaja dalam forum evaluasi memperkuat relevansi dan penerimaan perbaikan layanan.</w:t>
            </w:r>
          </w:p>
        </w:tc>
      </w:tr>
    </w:tbl>
    <w:p>
      <w:pPr>
        <w:pBdr>
          <w:top w:val="single" w:color="555555" w:sz="4" w:space="6"/>
        </w:pBdr>
        <w:spacing w:after="120" w:before="300"/>
      </w:pPr>
      <w:r>
        <w:rPr>
          <w:rFonts w:ascii="Calibri" w:cs="Calibri" w:eastAsia="Calibri" w:hAnsi="Calibri"/>
          <w:b/>
          <w:bCs/>
          <w:i/>
          <w:iCs/>
          <w:color w:val="555555"/>
          <w:sz w:val="22"/>
          <w:szCs w:val="22"/>
        </w:rPr>
        <w:t xml:space="preserve">Referensi Bab</w:t>
      </w:r>
    </w:p>
    <w:p>
      <w:pPr>
        <w:spacing w:after="80"/>
        <w:ind w:left="400" w:hanging="400"/>
      </w:pPr>
      <w:r>
        <w:rPr>
          <w:rFonts w:ascii="Calibri" w:cs="Calibri" w:eastAsia="Calibri" w:hAnsi="Calibri"/>
          <w:sz w:val="20"/>
          <w:szCs w:val="20"/>
        </w:rPr>
        <w:t xml:space="preserve">1. World Health Organization (WHO). Global standards for quality health care services for adolescents. Geneva: WHO; 2025.</w:t>
      </w:r>
    </w:p>
    <w:p>
      <w:pPr>
        <w:spacing w:after="80"/>
        <w:ind w:left="400" w:hanging="400"/>
      </w:pPr>
      <w:r>
        <w:rPr>
          <w:rFonts w:ascii="Calibri" w:cs="Calibri" w:eastAsia="Calibri" w:hAnsi="Calibri"/>
          <w:sz w:val="20"/>
          <w:szCs w:val="20"/>
        </w:rPr>
        <w:t xml:space="preserve">2. Nair M, Baltag V, Bose K, Boschi-Pinto C, Lambrechts T, Mathai M. Improving the quality of health care services for adolescents globally: a standards-driven approach. J Adolesc Health. 2015;57(3):288-98.</w:t>
      </w:r>
    </w:p>
    <w:p>
      <w:pPr>
        <w:spacing w:after="80"/>
        <w:ind w:left="400" w:hanging="400"/>
      </w:pPr>
      <w:r>
        <w:rPr>
          <w:rFonts w:ascii="Calibri" w:cs="Calibri" w:eastAsia="Calibri" w:hAnsi="Calibri"/>
          <w:sz w:val="20"/>
          <w:szCs w:val="20"/>
        </w:rPr>
        <w:t xml:space="preserve">3. Konsil Kesehatan Indonesia. Keputusan Ketua Konsil Kesehatan Indonesia Nomor HK.01.02/KKI/1318/2026 tentang Standar Kompetensi Dokter Spesialis dan Subspesialis Bidang Obstetri dan Ginekologi, Tabel 25, komponen 14.</w:t>
      </w:r>
    </w:p>
    <w:p>
      <w:pPr>
        <w:spacing w:after="80"/>
        <w:ind w:left="400" w:hanging="400"/>
      </w:pPr>
      <w:r>
        <w:rPr>
          <w:rFonts w:ascii="Calibri" w:cs="Calibri" w:eastAsia="Calibri" w:hAnsi="Calibri"/>
          <w:sz w:val="20"/>
          <w:szCs w:val="20"/>
        </w:rPr>
        <w:t xml:space="preserve">4. Republik Indonesia. Undang-Undang Nomor 17 Tahun 2023 tentang Kesehatan.</w:t>
      </w:r>
    </w:p>
    <w:p>
      <w:pPr>
        <w:spacing w:after="80"/>
        <w:ind w:left="400" w:hanging="400"/>
      </w:pPr>
      <w:r>
        <w:rPr>
          <w:rFonts w:ascii="Calibri" w:cs="Calibri" w:eastAsia="Calibri" w:hAnsi="Calibri"/>
          <w:sz w:val="20"/>
          <w:szCs w:val="20"/>
        </w:rPr>
        <w:t xml:space="preserve">5. Kementerian Kesehatan Republik Indonesia. Pedoman Pelayanan Kesehatan Reproduksi Terpadu di Tingkat Pelayanan Kesehatan Dasar dan Rujukan.</w:t>
      </w:r>
    </w:p>
    <w:p>
      <w:r>
        <w:br w:type="page"/>
      </w:r>
    </w:p>
    <w:p>
      <w:pPr>
        <w:pStyle w:val="Heading1"/>
        <w:pBdr>
          <w:bottom w:val="single" w:color="7A1F3D" w:sz="12" w:space="8"/>
        </w:pBdr>
        <w:spacing w:after="240" w:before="240"/>
      </w:pPr>
      <w:r>
        <w:rPr>
          <w:rFonts w:ascii="Calibri" w:cs="Calibri" w:eastAsia="Calibri" w:hAnsi="Calibri"/>
          <w:b/>
          <w:bCs/>
          <w:color w:val="7A1F3D"/>
          <w:sz w:val="34"/>
          <w:szCs w:val="34"/>
        </w:rPr>
        <w:t xml:space="preserve">Glosarium</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00"/>
        <w:gridCol w:w="6200"/>
      </w:tblGrid>
      <w:tr>
        <w:trPr>
          <w:tblHeader/>
        </w:trPr>
        <w:tc>
          <w:tcPr>
            <w:tcW w:type="dxa" w:w="2800"/>
            <w:shd w:fill="7A1F3D" w:val="clear"/>
          </w:tcPr>
          <w:p>
            <w:r>
              <w:rPr>
                <w:rFonts w:ascii="Calibri" w:cs="Calibri" w:eastAsia="Calibri" w:hAnsi="Calibri"/>
                <w:b/>
                <w:bCs/>
                <w:color w:val="FFFFFF"/>
                <w:sz w:val="21"/>
                <w:szCs w:val="21"/>
              </w:rPr>
              <w:t xml:space="preserve">Istilah</w:t>
            </w:r>
          </w:p>
        </w:tc>
        <w:tc>
          <w:tcPr>
            <w:tcW w:type="dxa" w:w="6200"/>
            <w:shd w:fill="7A1F3D" w:val="clear"/>
          </w:tcPr>
          <w:p>
            <w:r>
              <w:rPr>
                <w:rFonts w:ascii="Calibri" w:cs="Calibri" w:eastAsia="Calibri" w:hAnsi="Calibri"/>
                <w:b/>
                <w:bCs/>
                <w:color w:val="FFFFFF"/>
                <w:sz w:val="21"/>
                <w:szCs w:val="21"/>
              </w:rPr>
              <w:t xml:space="preserve">Deskripsi</w:t>
            </w:r>
          </w:p>
        </w:tc>
      </w:tr>
      <w:tr>
        <w:tc>
          <w:tcPr>
            <w:tcW w:type="dxa" w:w="2800"/>
            <w:shd w:fill="FFFFFF" w:val="clear"/>
          </w:tcPr>
          <w:p>
            <w:r>
              <w:rPr>
                <w:rFonts w:ascii="Calibri" w:cs="Calibri" w:eastAsia="Calibri" w:hAnsi="Calibri"/>
                <w:b/>
                <w:bCs/>
                <w:sz w:val="20"/>
                <w:szCs w:val="20"/>
              </w:rPr>
              <w:t xml:space="preserve">Adolescent-friendly health services</w:t>
            </w:r>
          </w:p>
        </w:tc>
        <w:tc>
          <w:tcPr>
            <w:tcW w:type="dxa" w:w="6200"/>
            <w:shd w:fill="FFFFFF" w:val="clear"/>
          </w:tcPr>
          <w:p>
            <w:r>
              <w:rPr>
                <w:rFonts w:ascii="Calibri" w:cs="Calibri" w:eastAsia="Calibri" w:hAnsi="Calibri"/>
                <w:sz w:val="20"/>
                <w:szCs w:val="20"/>
              </w:rPr>
              <w:t xml:space="preserve">Model layanan kesehatan yang dirancang khusus agar mudah diakses, diterima, dan dipercaya oleh remaja.</w:t>
            </w:r>
          </w:p>
        </w:tc>
      </w:tr>
      <w:tr>
        <w:tc>
          <w:tcPr>
            <w:tcW w:type="dxa" w:w="2800"/>
            <w:shd w:fill="F2F2F2" w:val="clear"/>
          </w:tcPr>
          <w:p>
            <w:r>
              <w:rPr>
                <w:rFonts w:ascii="Calibri" w:cs="Calibri" w:eastAsia="Calibri" w:hAnsi="Calibri"/>
                <w:b/>
                <w:bCs/>
                <w:sz w:val="20"/>
                <w:szCs w:val="20"/>
              </w:rPr>
              <w:t xml:space="preserve">Assent</w:t>
            </w:r>
          </w:p>
        </w:tc>
        <w:tc>
          <w:tcPr>
            <w:tcW w:type="dxa" w:w="6200"/>
            <w:shd w:fill="F2F2F2" w:val="clear"/>
          </w:tcPr>
          <w:p>
            <w:r>
              <w:rPr>
                <w:rFonts w:ascii="Calibri" w:cs="Calibri" w:eastAsia="Calibri" w:hAnsi="Calibri"/>
                <w:sz w:val="20"/>
                <w:szCs w:val="20"/>
              </w:rPr>
              <w:t xml:space="preserve">Persetujuan dari anak atau remaja terhadap tindakan medis, yang meskipun belum memiliki kekuatan hukum penuh, tetap penting secara etik untuk dihormati.</w:t>
            </w:r>
          </w:p>
        </w:tc>
      </w:tr>
      <w:tr>
        <w:tc>
          <w:tcPr>
            <w:tcW w:type="dxa" w:w="2800"/>
            <w:shd w:fill="FFFFFF" w:val="clear"/>
          </w:tcPr>
          <w:p>
            <w:r>
              <w:rPr>
                <w:rFonts w:ascii="Calibri" w:cs="Calibri" w:eastAsia="Calibri" w:hAnsi="Calibri"/>
                <w:b/>
                <w:bCs/>
                <w:sz w:val="20"/>
                <w:szCs w:val="20"/>
              </w:rPr>
              <w:t xml:space="preserve">Comprehensive sexuality education</w:t>
            </w:r>
          </w:p>
        </w:tc>
        <w:tc>
          <w:tcPr>
            <w:tcW w:type="dxa" w:w="6200"/>
            <w:shd w:fill="FFFFFF" w:val="clear"/>
          </w:tcPr>
          <w:p>
            <w:r>
              <w:rPr>
                <w:rFonts w:ascii="Calibri" w:cs="Calibri" w:eastAsia="Calibri" w:hAnsi="Calibri"/>
                <w:sz w:val="20"/>
                <w:szCs w:val="20"/>
              </w:rPr>
              <w:t xml:space="preserve">Pendekatan edukasi seksualitas yang menyampaikan informasi akurat, bertahap sesuai usia, dan berbasis hak.</w:t>
            </w:r>
          </w:p>
        </w:tc>
      </w:tr>
      <w:tr>
        <w:tc>
          <w:tcPr>
            <w:tcW w:type="dxa" w:w="2800"/>
            <w:shd w:fill="F2F2F2" w:val="clear"/>
          </w:tcPr>
          <w:p>
            <w:r>
              <w:rPr>
                <w:rFonts w:ascii="Calibri" w:cs="Calibri" w:eastAsia="Calibri" w:hAnsi="Calibri"/>
                <w:b/>
                <w:bCs/>
                <w:sz w:val="20"/>
                <w:szCs w:val="20"/>
              </w:rPr>
              <w:t xml:space="preserve">Dating violence</w:t>
            </w:r>
          </w:p>
        </w:tc>
        <w:tc>
          <w:tcPr>
            <w:tcW w:type="dxa" w:w="6200"/>
            <w:shd w:fill="F2F2F2" w:val="clear"/>
          </w:tcPr>
          <w:p>
            <w:r>
              <w:rPr>
                <w:rFonts w:ascii="Calibri" w:cs="Calibri" w:eastAsia="Calibri" w:hAnsi="Calibri"/>
                <w:sz w:val="20"/>
                <w:szCs w:val="20"/>
              </w:rPr>
              <w:t xml:space="preserve">Kekerasan fisik, emosional, atau seksual yang terjadi dalam konteks relasi berpacaran, termasuk pada usia remaja.</w:t>
            </w:r>
          </w:p>
        </w:tc>
      </w:tr>
      <w:tr>
        <w:tc>
          <w:tcPr>
            <w:tcW w:type="dxa" w:w="2800"/>
            <w:shd w:fill="FFFFFF" w:val="clear"/>
          </w:tcPr>
          <w:p>
            <w:r>
              <w:rPr>
                <w:rFonts w:ascii="Calibri" w:cs="Calibri" w:eastAsia="Calibri" w:hAnsi="Calibri"/>
                <w:b/>
                <w:bCs/>
                <w:sz w:val="20"/>
                <w:szCs w:val="20"/>
              </w:rPr>
              <w:t xml:space="preserve">Developmental Origins of Health and Disease (DOHaD)</w:t>
            </w:r>
          </w:p>
        </w:tc>
        <w:tc>
          <w:tcPr>
            <w:tcW w:type="dxa" w:w="6200"/>
            <w:shd w:fill="FFFFFF" w:val="clear"/>
          </w:tcPr>
          <w:p>
            <w:r>
              <w:rPr>
                <w:rFonts w:ascii="Calibri" w:cs="Calibri" w:eastAsia="Calibri" w:hAnsi="Calibri"/>
                <w:sz w:val="20"/>
                <w:szCs w:val="20"/>
              </w:rPr>
              <w:t xml:space="preserve">Kerangka konsep yang menjelaskan bagaimana paparan biologis dan psikososial pada periode kritis kehidupan, termasuk masa remaja dan kehamilan dini, memengaruhi lintasan kesehatan jangka panjang individu dan keturunannya.</w:t>
            </w:r>
          </w:p>
        </w:tc>
      </w:tr>
      <w:tr>
        <w:tc>
          <w:tcPr>
            <w:tcW w:type="dxa" w:w="2800"/>
            <w:shd w:fill="F2F2F2" w:val="clear"/>
          </w:tcPr>
          <w:p>
            <w:r>
              <w:rPr>
                <w:rFonts w:ascii="Calibri" w:cs="Calibri" w:eastAsia="Calibri" w:hAnsi="Calibri"/>
                <w:b/>
                <w:bCs/>
                <w:sz w:val="20"/>
                <w:szCs w:val="20"/>
              </w:rPr>
              <w:t xml:space="preserve">Dual protection</w:t>
            </w:r>
          </w:p>
        </w:tc>
        <w:tc>
          <w:tcPr>
            <w:tcW w:type="dxa" w:w="6200"/>
            <w:shd w:fill="F2F2F2" w:val="clear"/>
          </w:tcPr>
          <w:p>
            <w:r>
              <w:rPr>
                <w:rFonts w:ascii="Calibri" w:cs="Calibri" w:eastAsia="Calibri" w:hAnsi="Calibri"/>
                <w:sz w:val="20"/>
                <w:szCs w:val="20"/>
              </w:rPr>
              <w:t xml:space="preserve">Strategi pencegahan yang menggabungkan metode kontrasepsi efektif dengan kondom untuk mencegah kehamilan sekaligus infeksi menular seksual.</w:t>
            </w:r>
          </w:p>
        </w:tc>
      </w:tr>
      <w:tr>
        <w:tc>
          <w:tcPr>
            <w:tcW w:type="dxa" w:w="2800"/>
            <w:shd w:fill="FFFFFF" w:val="clear"/>
          </w:tcPr>
          <w:p>
            <w:r>
              <w:rPr>
                <w:rFonts w:ascii="Calibri" w:cs="Calibri" w:eastAsia="Calibri" w:hAnsi="Calibri"/>
                <w:b/>
                <w:bCs/>
                <w:sz w:val="20"/>
                <w:szCs w:val="20"/>
              </w:rPr>
              <w:t xml:space="preserve">Global Standards for Quality Health-Care Services for Adolescents</w:t>
            </w:r>
          </w:p>
        </w:tc>
        <w:tc>
          <w:tcPr>
            <w:tcW w:type="dxa" w:w="6200"/>
            <w:shd w:fill="FFFFFF" w:val="clear"/>
          </w:tcPr>
          <w:p>
            <w:r>
              <w:rPr>
                <w:rFonts w:ascii="Calibri" w:cs="Calibri" w:eastAsia="Calibri" w:hAnsi="Calibri"/>
                <w:sz w:val="20"/>
                <w:szCs w:val="20"/>
              </w:rPr>
              <w:t xml:space="preserve">Kerangka standar WHO untuk menilai dan meningkatkan mutu layanan kesehatan remaja; versi asli 2015 memuat delapan domain, versi pemutakhiran 2025 memperluasnya menjadi sembilan standar.</w:t>
            </w:r>
          </w:p>
        </w:tc>
      </w:tr>
      <w:tr>
        <w:tc>
          <w:tcPr>
            <w:tcW w:type="dxa" w:w="2800"/>
            <w:shd w:fill="F2F2F2" w:val="clear"/>
          </w:tcPr>
          <w:p>
            <w:r>
              <w:rPr>
                <w:rFonts w:ascii="Calibri" w:cs="Calibri" w:eastAsia="Calibri" w:hAnsi="Calibri"/>
                <w:b/>
                <w:bCs/>
                <w:sz w:val="20"/>
                <w:szCs w:val="20"/>
              </w:rPr>
              <w:t xml:space="preserve">ICD-10 Z35.6 / ICD-11 QA43.5</w:t>
            </w:r>
          </w:p>
        </w:tc>
        <w:tc>
          <w:tcPr>
            <w:tcW w:type="dxa" w:w="6200"/>
            <w:shd w:fill="F2F2F2" w:val="clear"/>
          </w:tcPr>
          <w:p>
            <w:r>
              <w:rPr>
                <w:rFonts w:ascii="Calibri" w:cs="Calibri" w:eastAsia="Calibri" w:hAnsi="Calibri"/>
                <w:sz w:val="20"/>
                <w:szCs w:val="20"/>
              </w:rPr>
              <w:t xml:space="preserve">Kode klasifikasi penyakit internasional untuk kehamilan remaja (teenage pregnancy) yang digunakan dalam dokumentasi rekam medis.</w:t>
            </w:r>
          </w:p>
        </w:tc>
      </w:tr>
      <w:tr>
        <w:tc>
          <w:tcPr>
            <w:tcW w:type="dxa" w:w="2800"/>
            <w:shd w:fill="FFFFFF" w:val="clear"/>
          </w:tcPr>
          <w:p>
            <w:r>
              <w:rPr>
                <w:rFonts w:ascii="Calibri" w:cs="Calibri" w:eastAsia="Calibri" w:hAnsi="Calibri"/>
                <w:b/>
                <w:bCs/>
                <w:sz w:val="20"/>
                <w:szCs w:val="20"/>
              </w:rPr>
              <w:t xml:space="preserve">Kehamilan Tidak Diinginkan (KTD)</w:t>
            </w:r>
          </w:p>
        </w:tc>
        <w:tc>
          <w:tcPr>
            <w:tcW w:type="dxa" w:w="6200"/>
            <w:shd w:fill="FFFFFF" w:val="clear"/>
          </w:tcPr>
          <w:p>
            <w:r>
              <w:rPr>
                <w:rFonts w:ascii="Calibri" w:cs="Calibri" w:eastAsia="Calibri" w:hAnsi="Calibri"/>
                <w:sz w:val="20"/>
                <w:szCs w:val="20"/>
              </w:rPr>
              <w:t xml:space="preserve">Kehamilan yang terjadi tanpa perencanaan atau keinginan dari pihak yang mengalami kehamilan tersebut.</w:t>
            </w:r>
          </w:p>
        </w:tc>
      </w:tr>
      <w:tr>
        <w:tc>
          <w:tcPr>
            <w:tcW w:type="dxa" w:w="2800"/>
            <w:shd w:fill="F2F2F2" w:val="clear"/>
          </w:tcPr>
          <w:p>
            <w:r>
              <w:rPr>
                <w:rFonts w:ascii="Calibri" w:cs="Calibri" w:eastAsia="Calibri" w:hAnsi="Calibri"/>
                <w:b/>
                <w:bCs/>
                <w:sz w:val="20"/>
                <w:szCs w:val="20"/>
              </w:rPr>
              <w:t xml:space="preserve">Long-Acting Reversible Contraception (LARC)</w:t>
            </w:r>
          </w:p>
        </w:tc>
        <w:tc>
          <w:tcPr>
            <w:tcW w:type="dxa" w:w="6200"/>
            <w:shd w:fill="F2F2F2" w:val="clear"/>
          </w:tcPr>
          <w:p>
            <w:r>
              <w:rPr>
                <w:rFonts w:ascii="Calibri" w:cs="Calibri" w:eastAsia="Calibri" w:hAnsi="Calibri"/>
                <w:sz w:val="20"/>
                <w:szCs w:val="20"/>
              </w:rPr>
              <w:t xml:space="preserve">Kelompok metode kontrasepsi reversibel dengan durasi kerja panjang, seperti implan dan AKDR, yang tidak bergantung pada kepatuhan harian pengguna.</w:t>
            </w:r>
          </w:p>
        </w:tc>
      </w:tr>
      <w:tr>
        <w:tc>
          <w:tcPr>
            <w:tcW w:type="dxa" w:w="2800"/>
            <w:shd w:fill="FFFFFF" w:val="clear"/>
          </w:tcPr>
          <w:p>
            <w:r>
              <w:rPr>
                <w:rFonts w:ascii="Calibri" w:cs="Calibri" w:eastAsia="Calibri" w:hAnsi="Calibri"/>
                <w:b/>
                <w:bCs/>
                <w:sz w:val="20"/>
                <w:szCs w:val="20"/>
              </w:rPr>
              <w:t xml:space="preserve">Pelayanan Kesehatan Peduli Remaja (PKPR)</w:t>
            </w:r>
          </w:p>
        </w:tc>
        <w:tc>
          <w:tcPr>
            <w:tcW w:type="dxa" w:w="6200"/>
            <w:shd w:fill="FFFFFF" w:val="clear"/>
          </w:tcPr>
          <w:p>
            <w:r>
              <w:rPr>
                <w:rFonts w:ascii="Calibri" w:cs="Calibri" w:eastAsia="Calibri" w:hAnsi="Calibri"/>
                <w:sz w:val="20"/>
                <w:szCs w:val="20"/>
              </w:rPr>
              <w:t xml:space="preserve">Program layanan kesehatan ramah remaja di tingkat Puskesmas di Indonesia.</w:t>
            </w:r>
          </w:p>
        </w:tc>
      </w:tr>
      <w:tr>
        <w:tc>
          <w:tcPr>
            <w:tcW w:type="dxa" w:w="2800"/>
            <w:shd w:fill="F2F2F2" w:val="clear"/>
          </w:tcPr>
          <w:p>
            <w:r>
              <w:rPr>
                <w:rFonts w:ascii="Calibri" w:cs="Calibri" w:eastAsia="Calibri" w:hAnsi="Calibri"/>
                <w:b/>
                <w:bCs/>
                <w:sz w:val="20"/>
                <w:szCs w:val="20"/>
              </w:rPr>
              <w:t xml:space="preserve">Tata kelola kasus lintas sektor</w:t>
            </w:r>
          </w:p>
        </w:tc>
        <w:tc>
          <w:tcPr>
            <w:tcW w:type="dxa" w:w="6200"/>
            <w:shd w:fill="F2F2F2" w:val="clear"/>
          </w:tcPr>
          <w:p>
            <w:r>
              <w:rPr>
                <w:rFonts w:ascii="Calibri" w:cs="Calibri" w:eastAsia="Calibri" w:hAnsi="Calibri"/>
                <w:sz w:val="20"/>
                <w:szCs w:val="20"/>
              </w:rPr>
              <w:t xml:space="preserve">Koordinasi penanganan kasus yang melibatkan berbagai profesi dan institusi, seperti kesehatan, pendidikan, psikologi, dan hukum.</w:t>
            </w:r>
          </w:p>
        </w:tc>
      </w:tr>
      <w:tr>
        <w:tc>
          <w:tcPr>
            <w:tcW w:type="dxa" w:w="2800"/>
            <w:shd w:fill="FFFFFF" w:val="clear"/>
          </w:tcPr>
          <w:p>
            <w:r>
              <w:rPr>
                <w:rFonts w:ascii="Calibri" w:cs="Calibri" w:eastAsia="Calibri" w:hAnsi="Calibri"/>
                <w:b/>
                <w:bCs/>
                <w:sz w:val="20"/>
                <w:szCs w:val="20"/>
              </w:rPr>
              <w:t xml:space="preserve">Usaha Kesehatan Sekolah (UKS)</w:t>
            </w:r>
          </w:p>
        </w:tc>
        <w:tc>
          <w:tcPr>
            <w:tcW w:type="dxa" w:w="6200"/>
            <w:shd w:fill="FFFFFF" w:val="clear"/>
          </w:tcPr>
          <w:p>
            <w:r>
              <w:rPr>
                <w:rFonts w:ascii="Calibri" w:cs="Calibri" w:eastAsia="Calibri" w:hAnsi="Calibri"/>
                <w:sz w:val="20"/>
                <w:szCs w:val="20"/>
              </w:rPr>
              <w:t xml:space="preserve">Program kesehatan berbasis sekolah yang menjadi salah satu mitra strategis pelayanan kesehatan remaja di Indonesia.</w:t>
            </w:r>
          </w:p>
        </w:tc>
      </w:tr>
    </w:tbl>
    <w:p>
      <w:r>
        <w:br w:type="page"/>
      </w:r>
    </w:p>
    <w:p>
      <w:pPr>
        <w:pStyle w:val="Heading1"/>
        <w:pBdr>
          <w:bottom w:val="single" w:color="7A1F3D" w:sz="12" w:space="8"/>
        </w:pBdr>
        <w:spacing w:after="240" w:before="240"/>
      </w:pPr>
      <w:r>
        <w:rPr>
          <w:rFonts w:ascii="Calibri" w:cs="Calibri" w:eastAsia="Calibri" w:hAnsi="Calibri"/>
          <w:b/>
          <w:bCs/>
          <w:color w:val="7A1F3D"/>
          <w:sz w:val="34"/>
          <w:szCs w:val="34"/>
        </w:rPr>
        <w:t xml:space="preserve">Daftar Pustaka Gabungan</w:t>
      </w:r>
    </w:p>
    <w:p>
      <w:pPr>
        <w:spacing w:after="80"/>
        <w:ind w:left="400" w:hanging="400"/>
      </w:pPr>
      <w:r>
        <w:rPr>
          <w:rFonts w:ascii="Calibri" w:cs="Calibri" w:eastAsia="Calibri" w:hAnsi="Calibri"/>
          <w:sz w:val="20"/>
          <w:szCs w:val="20"/>
        </w:rPr>
        <w:t xml:space="preserve">1. Konsil Kesehatan Indonesia. Keputusan Ketua Konsil Kesehatan Indonesia Nomor HK.01.02/KKI/1318/2026 tentang Standar Kompetensi Dokter Spesialis dan Subspesialis Bidang Obstetri dan Ginekologi.</w:t>
      </w:r>
    </w:p>
    <w:p>
      <w:pPr>
        <w:spacing w:after="80"/>
        <w:ind w:left="400" w:hanging="400"/>
      </w:pPr>
      <w:r>
        <w:rPr>
          <w:rFonts w:ascii="Calibri" w:cs="Calibri" w:eastAsia="Calibri" w:hAnsi="Calibri"/>
          <w:sz w:val="20"/>
          <w:szCs w:val="20"/>
        </w:rPr>
        <w:t xml:space="preserve">2. Republik Indonesia. Undang-Undang Nomor 17 Tahun 2023 tentang Kesehatan.</w:t>
      </w:r>
    </w:p>
    <w:p>
      <w:pPr>
        <w:spacing w:after="80"/>
        <w:ind w:left="400" w:hanging="400"/>
      </w:pPr>
      <w:r>
        <w:rPr>
          <w:rFonts w:ascii="Calibri" w:cs="Calibri" w:eastAsia="Calibri" w:hAnsi="Calibri"/>
          <w:sz w:val="20"/>
          <w:szCs w:val="20"/>
        </w:rPr>
        <w:t xml:space="preserve">3. Republik Indonesia. Peraturan Pemerintah Nomor 28 Tahun 2024 tentang Peraturan Pelaksanaan Undang-Undang Nomor 17 Tahun 2023 tentang Kesehatan.</w:t>
      </w:r>
    </w:p>
    <w:p>
      <w:pPr>
        <w:spacing w:after="80"/>
        <w:ind w:left="400" w:hanging="400"/>
      </w:pPr>
      <w:r>
        <w:rPr>
          <w:rFonts w:ascii="Calibri" w:cs="Calibri" w:eastAsia="Calibri" w:hAnsi="Calibri"/>
          <w:sz w:val="20"/>
          <w:szCs w:val="20"/>
        </w:rPr>
        <w:t xml:space="preserve">4. Cunningham FG, Leveno KJ, Dashe JS, Hoffman BL, Casey BM, Spong CY, editors. Williams Obstetrics. 26th ed. New York: McGraw Hill; 2022.</w:t>
      </w:r>
    </w:p>
    <w:p>
      <w:pPr>
        <w:spacing w:after="80"/>
        <w:ind w:left="400" w:hanging="400"/>
      </w:pPr>
      <w:r>
        <w:rPr>
          <w:rFonts w:ascii="Calibri" w:cs="Calibri" w:eastAsia="Calibri" w:hAnsi="Calibri"/>
          <w:sz w:val="20"/>
          <w:szCs w:val="20"/>
        </w:rPr>
        <w:t xml:space="preserve">5. Berek JS, editor. Berek &amp; Novak's Gynecology. 17th ed. Philadelphia: Wolters Kluwer; 2023.</w:t>
      </w:r>
    </w:p>
    <w:p>
      <w:pPr>
        <w:spacing w:after="80"/>
        <w:ind w:left="400" w:hanging="400"/>
      </w:pPr>
      <w:r>
        <w:rPr>
          <w:rFonts w:ascii="Calibri" w:cs="Calibri" w:eastAsia="Calibri" w:hAnsi="Calibri"/>
          <w:sz w:val="20"/>
          <w:szCs w:val="20"/>
        </w:rPr>
        <w:t xml:space="preserve">6. World Health Organization (WHO). Abortion Care Guideline. Geneva: WHO; 2022.</w:t>
      </w:r>
    </w:p>
    <w:p>
      <w:pPr>
        <w:spacing w:after="80"/>
        <w:ind w:left="400" w:hanging="400"/>
      </w:pPr>
      <w:r>
        <w:rPr>
          <w:rFonts w:ascii="Calibri" w:cs="Calibri" w:eastAsia="Calibri" w:hAnsi="Calibri"/>
          <w:sz w:val="20"/>
          <w:szCs w:val="20"/>
        </w:rPr>
        <w:t xml:space="preserve">7. World Health Organization (WHO). Responding to Intimate Partner Violence and Sexual Violence Against Women: WHO Clinical and Policy Guidelines. Geneva: WHO; 2013.</w:t>
      </w:r>
    </w:p>
    <w:p>
      <w:pPr>
        <w:spacing w:after="80"/>
        <w:ind w:left="400" w:hanging="400"/>
      </w:pPr>
      <w:r>
        <w:rPr>
          <w:rFonts w:ascii="Calibri" w:cs="Calibri" w:eastAsia="Calibri" w:hAnsi="Calibri"/>
          <w:sz w:val="20"/>
          <w:szCs w:val="20"/>
        </w:rPr>
        <w:t xml:space="preserve">8. World Health Organization (WHO). Health Care for Women Subjected to Intimate Partner Violence or Sexual Violence: A Clinical Handbook. Geneva: WHO; 2014.</w:t>
      </w:r>
    </w:p>
    <w:p>
      <w:pPr>
        <w:spacing w:after="80"/>
        <w:ind w:left="400" w:hanging="400"/>
      </w:pPr>
      <w:r>
        <w:rPr>
          <w:rFonts w:ascii="Calibri" w:cs="Calibri" w:eastAsia="Calibri" w:hAnsi="Calibri"/>
          <w:sz w:val="20"/>
          <w:szCs w:val="20"/>
        </w:rPr>
        <w:t xml:space="preserve">9. Inter-Agency Working Group (IAWG) on Reproductive Health in Crises. Minimum Initial Service Package (MISP) for Sexual and Reproductive Health in Crisis Situations: Distance Learning Module.</w:t>
      </w:r>
    </w:p>
    <w:p>
      <w:pPr>
        <w:spacing w:after="80"/>
        <w:ind w:left="400" w:hanging="400"/>
      </w:pPr>
      <w:r>
        <w:rPr>
          <w:rFonts w:ascii="Calibri" w:cs="Calibri" w:eastAsia="Calibri" w:hAnsi="Calibri"/>
          <w:sz w:val="20"/>
          <w:szCs w:val="20"/>
        </w:rPr>
        <w:t xml:space="preserve">10. International Federation of Gynecology and Obstetrics (FIGO). FIGO Statements and Guidelines on Family Planning, Contraception, and Safe Motherhood.</w:t>
      </w:r>
    </w:p>
    <w:p>
      <w:pPr>
        <w:spacing w:after="80"/>
        <w:ind w:left="400" w:hanging="400"/>
      </w:pPr>
      <w:r>
        <w:rPr>
          <w:rFonts w:ascii="Calibri" w:cs="Calibri" w:eastAsia="Calibri" w:hAnsi="Calibri"/>
          <w:sz w:val="20"/>
          <w:szCs w:val="20"/>
        </w:rPr>
        <w:t xml:space="preserve">11. Republik Indonesia. Undang-Undang Nomor 12 Tahun 2022 tentang Tindak Pidana Kekerasan Seksual (UU TPKS).</w:t>
      </w:r>
    </w:p>
    <w:p>
      <w:pPr>
        <w:spacing w:after="80"/>
        <w:ind w:left="400" w:hanging="400"/>
      </w:pPr>
      <w:r>
        <w:rPr>
          <w:rFonts w:ascii="Calibri" w:cs="Calibri" w:eastAsia="Calibri" w:hAnsi="Calibri"/>
          <w:sz w:val="20"/>
          <w:szCs w:val="20"/>
        </w:rPr>
        <w:t xml:space="preserve">12. Republik Indonesia. Undang-Undang Nomor 23 Tahun 2004 tentang Penghapusan Kekerasan Dalam Rumah Tangga (UU PKDRT).</w:t>
      </w:r>
    </w:p>
    <w:p>
      <w:pPr>
        <w:spacing w:after="80"/>
        <w:ind w:left="400" w:hanging="400"/>
      </w:pPr>
      <w:r>
        <w:rPr>
          <w:rFonts w:ascii="Calibri" w:cs="Calibri" w:eastAsia="Calibri" w:hAnsi="Calibri"/>
          <w:sz w:val="20"/>
          <w:szCs w:val="20"/>
        </w:rPr>
        <w:t xml:space="preserve">13. Kementerian Kesehatan Republik Indonesia. Pedoman Pelayanan Kesehatan Reproduksi Terpadu di Tingkat Pelayanan Kesehatan Dasar dan Rujukan.</w:t>
      </w:r>
    </w:p>
    <w:p>
      <w:pPr>
        <w:spacing w:after="80"/>
        <w:ind w:left="400" w:hanging="400"/>
      </w:pPr>
      <w:r>
        <w:rPr>
          <w:rFonts w:ascii="Calibri" w:cs="Calibri" w:eastAsia="Calibri" w:hAnsi="Calibri"/>
          <w:sz w:val="20"/>
          <w:szCs w:val="20"/>
        </w:rPr>
        <w:t xml:space="preserve">14. Perkumpulan Obstetri dan Ginekologi Indonesia (POGI)/Kolegium Obstetri dan Ginekologi Indonesia. Kurikulum dan ketentuan Program Pendidikan Dokter Subspesialis Obstetri Ginekologi Sosial.</w:t>
      </w:r>
    </w:p>
    <w:p>
      <w:pPr>
        <w:spacing w:after="80"/>
        <w:ind w:left="400" w:hanging="400"/>
      </w:pPr>
      <w:r>
        <w:rPr>
          <w:rFonts w:ascii="Calibri" w:cs="Calibri" w:eastAsia="Calibri" w:hAnsi="Calibri"/>
          <w:sz w:val="20"/>
          <w:szCs w:val="20"/>
        </w:rPr>
        <w:t xml:space="preserve">15. American College of Obstetricians and Gynecologists (ACOG). Adolescents and Long-Acting Reversible Contraception: Implants and Intrauterine Devices. ACOG Committee Opinion No. 735. Obstet Gynecol. 2018;131:e130-9.</w:t>
      </w:r>
    </w:p>
    <w:p>
      <w:pPr>
        <w:spacing w:after="80"/>
        <w:ind w:left="400" w:hanging="400"/>
      </w:pPr>
      <w:r>
        <w:rPr>
          <w:rFonts w:ascii="Calibri" w:cs="Calibri" w:eastAsia="Calibri" w:hAnsi="Calibri"/>
          <w:sz w:val="20"/>
          <w:szCs w:val="20"/>
        </w:rPr>
        <w:t xml:space="preserve">16. American College of Obstetricians and Gynecologists (ACOG). Counseling Adolescents About Contraception. ACOG Committee Opinion No. 710. Obstet Gynecol. 2017;130:e74-80.</w:t>
      </w:r>
    </w:p>
    <w:p>
      <w:pPr>
        <w:spacing w:after="80"/>
        <w:ind w:left="400" w:hanging="400"/>
      </w:pPr>
      <w:r>
        <w:rPr>
          <w:rFonts w:ascii="Calibri" w:cs="Calibri" w:eastAsia="Calibri" w:hAnsi="Calibri"/>
          <w:sz w:val="20"/>
          <w:szCs w:val="20"/>
        </w:rPr>
        <w:t xml:space="preserve">17. American College of Obstetricians and Gynecologists (ACOG). The Initial Reproductive Health Visit. ACOG Committee Opinion No. 811. Obstet Gynecol. 2020;136(4):e70-80.</w:t>
      </w:r>
    </w:p>
    <w:p>
      <w:pPr>
        <w:spacing w:after="80"/>
        <w:ind w:left="400" w:hanging="400"/>
      </w:pPr>
      <w:r>
        <w:rPr>
          <w:rFonts w:ascii="Calibri" w:cs="Calibri" w:eastAsia="Calibri" w:hAnsi="Calibri"/>
          <w:sz w:val="20"/>
          <w:szCs w:val="20"/>
        </w:rPr>
        <w:t xml:space="preserve">18. World Health Organization (WHO). Global standards for quality health care services for adolescents. Geneva: WHO; 2025.</w:t>
      </w:r>
    </w:p>
    <w:p>
      <w:pPr>
        <w:spacing w:after="80"/>
        <w:ind w:left="400" w:hanging="400"/>
      </w:pPr>
      <w:r>
        <w:rPr>
          <w:rFonts w:ascii="Calibri" w:cs="Calibri" w:eastAsia="Calibri" w:hAnsi="Calibri"/>
          <w:sz w:val="20"/>
          <w:szCs w:val="20"/>
        </w:rPr>
        <w:t xml:space="preserve">19. Nair M, Baltag V, Bose K, Boschi-Pinto C, Lambrechts T, Mathai M. Improving the quality of health care services for adolescents globally: a standards-driven approach. J Adolesc Health. 2015;57(3):288-98.</w:t>
      </w:r>
    </w:p>
    <w:p>
      <w:pPr>
        <w:spacing w:after="80"/>
        <w:ind w:left="400" w:hanging="400"/>
      </w:pPr>
      <w:r>
        <w:rPr>
          <w:rFonts w:ascii="Calibri" w:cs="Calibri" w:eastAsia="Calibri" w:hAnsi="Calibri"/>
          <w:sz w:val="20"/>
          <w:szCs w:val="20"/>
        </w:rPr>
        <w:t xml:space="preserve">20. Steinberg L. Adolescence. 13th ed. New York: McGraw Hill; 2023.</w:t>
      </w:r>
    </w:p>
    <w:p>
      <w:pPr>
        <w:spacing w:after="80"/>
        <w:ind w:left="400" w:hanging="400"/>
      </w:pPr>
      <w:r>
        <w:rPr>
          <w:rFonts w:ascii="Calibri" w:cs="Calibri" w:eastAsia="Calibri" w:hAnsi="Calibri"/>
          <w:sz w:val="20"/>
          <w:szCs w:val="20"/>
        </w:rPr>
        <w:t xml:space="preserve">21. UNESCO, UNAIDS, UNFPA, UNICEF, UN Women, WHO. International Technical Guidance on Sexuality Education: An Evidence-Informed Approach. Revised ed. Paris: UNESCO; 2018.</w:t>
      </w:r>
    </w:p>
    <w:p>
      <w:pPr>
        <w:spacing w:after="80"/>
        <w:ind w:left="400" w:hanging="400"/>
      </w:pPr>
      <w:r>
        <w:rPr>
          <w:rFonts w:ascii="Calibri" w:cs="Calibri" w:eastAsia="Calibri" w:hAnsi="Calibri"/>
          <w:sz w:val="20"/>
          <w:szCs w:val="20"/>
        </w:rPr>
        <w:t xml:space="preserve">22. Tylee A, Haller DM, Graham T, Churchill R, Sanci LA. Youth-friendly primary-care services: how are we doing and what more needs to be done? Lancet. 2007;369(9572):1565-73.</w:t>
      </w:r>
    </w:p>
    <w:p>
      <w:pPr>
        <w:spacing w:after="80"/>
        <w:ind w:left="400" w:hanging="400"/>
      </w:pPr>
      <w:r>
        <w:rPr>
          <w:rFonts w:ascii="Calibri" w:cs="Calibri" w:eastAsia="Calibri" w:hAnsi="Calibri"/>
          <w:sz w:val="20"/>
          <w:szCs w:val="20"/>
        </w:rPr>
        <w:t xml:space="preserve">23. Badan Pusat Statistik, Badan Kependudukan dan Keluarga Berencana Nasional, Kementerian Kesehatan Republik Indonesia. Survei Demografi dan Kesehatan Indonesia (SDKI) 2023-2024.</w:t>
      </w:r>
    </w:p>
    <w:p>
      <w:pPr>
        <w:spacing w:after="80"/>
        <w:ind w:left="400" w:hanging="400"/>
      </w:pPr>
      <w:r>
        <w:rPr>
          <w:rFonts w:ascii="Calibri" w:cs="Calibri" w:eastAsia="Calibri" w:hAnsi="Calibri"/>
          <w:sz w:val="20"/>
          <w:szCs w:val="20"/>
        </w:rPr>
        <w:t xml:space="preserve">24. World Health Organization (WHO). Medical Eligibility Criteria for Contraceptive Use. 6th ed. Geneva: WHO; 2025.</w:t>
      </w:r>
    </w:p>
    <w:p>
      <w:pPr>
        <w:spacing w:after="80"/>
        <w:ind w:left="400" w:hanging="400"/>
      </w:pPr>
      <w:r>
        <w:rPr>
          <w:rFonts w:ascii="Calibri" w:cs="Calibri" w:eastAsia="Calibri" w:hAnsi="Calibri"/>
          <w:sz w:val="20"/>
          <w:szCs w:val="20"/>
        </w:rPr>
        <w:t xml:space="preserve">25. World Health Organization (WHO), United Nations Children's Fund (UNICEF). Helping Adolescents Thrive Toolkit: Strategies to Promote and Protect Adolescent Mental Health and Reduce Self-Harm and Other Risk Behaviours. Geneva: WHO; 2021.</w:t>
      </w:r>
    </w:p>
    <w:p>
      <w:r>
        <w:br w:type="page"/>
      </w:r>
    </w:p>
    <w:p>
      <w:pPr>
        <w:pStyle w:val="Heading1"/>
        <w:pBdr>
          <w:bottom w:val="single" w:color="7A1F3D" w:sz="12" w:space="8"/>
        </w:pBdr>
        <w:spacing w:after="240" w:before="240"/>
      </w:pPr>
      <w:r>
        <w:rPr>
          <w:rFonts w:ascii="Calibri" w:cs="Calibri" w:eastAsia="Calibri" w:hAnsi="Calibri"/>
          <w:b/>
          <w:bCs/>
          <w:color w:val="7A1F3D"/>
          <w:sz w:val="34"/>
          <w:szCs w:val="34"/>
        </w:rPr>
        <w:t xml:space="preserve">Self-Checklist Kepatuhan Penyusunan</w:t>
      </w:r>
    </w:p>
    <w:tbl>
      <w:tblPr>
        <w:tblW w:type="pct" w:w="100%"/>
        <w:tblBorders>
          <w:top w:val="single" w:color="7A1F3D" w:sz="4"/>
          <w:left w:val="single" w:color="7A1F3D" w:sz="24"/>
          <w:bottom w:val="single" w:color="7A1F3D" w:sz="4"/>
          <w:right w:val="single" w:color="7A1F3D" w:sz="4"/>
          <w:insideH w:val="single" w:color="auto" w:sz="4"/>
          <w:insideV w:val="single" w:color="auto" w:sz="4"/>
        </w:tblBorders>
      </w:tblPr>
      <w:tblGrid>
        <w:gridCol w:w="100"/>
      </w:tblGrid>
      <w:tr>
        <w:tc>
          <w:tcPr>
            <w:shd w:fill="F3E3EA" w:val="clear"/>
            <w:tcMar>
              <w:top w:type="dxa" w:w="160"/>
              <w:left w:type="dxa" w:w="220"/>
              <w:bottom w:type="dxa" w:w="160"/>
              <w:right w:type="dxa" w:w="220"/>
            </w:tcMar>
          </w:tcPr>
          <w:p>
            <w:pPr>
              <w:spacing w:after="100"/>
            </w:pPr>
            <w:r>
              <w:rPr>
                <w:rFonts w:ascii="Calibri" w:cs="Calibri" w:eastAsia="Calibri" w:hAnsi="Calibri"/>
                <w:b/>
                <w:bCs/>
                <w:color w:val="7A1F3D"/>
                <w:sz w:val="22"/>
                <w:szCs w:val="22"/>
              </w:rPr>
              <w:t xml:space="preserve">Verifikasi Akhir</w:t>
            </w:r>
          </w:p>
          <w:p>
            <w:pPr>
              <w:spacing w:after="160" w:line="288"/>
              <w:jc w:val="both"/>
            </w:pPr>
            <w:r>
              <w:rPr>
                <w:rFonts w:ascii="Calibri" w:cs="Calibri" w:eastAsia="Calibri" w:hAnsi="Calibri"/>
                <w:sz w:val="22"/>
                <w:szCs w:val="22"/>
              </w:rPr>
              <w:t xml:space="preserve">(1) Seluruh 5 Bab pada Bagian P sudah ditulis penuh sesuai "Isi Wajib" masing-masing — Terpenuhi.</w:t>
            </w:r>
          </w:p>
          <w:p>
            <w:pPr>
              <w:spacing w:after="160" w:line="288"/>
              <w:jc w:val="both"/>
            </w:pPr>
            <w:r>
              <w:rPr>
                <w:rFonts w:ascii="Calibri" w:cs="Calibri" w:eastAsia="Calibri" w:hAnsi="Calibri"/>
                <w:sz w:val="22"/>
                <w:szCs w:val="22"/>
              </w:rPr>
              <w:t xml:space="preserve">(2) Tidak ada heading tingkat ke-4; struktur dokumen hanya menggunakan Bab (H1), Subbab (H2), dan Sub-subbab (H3) — Terpenuhi.</w:t>
            </w:r>
          </w:p>
          <w:p>
            <w:pPr>
              <w:spacing w:after="160" w:line="288"/>
              <w:jc w:val="both"/>
            </w:pPr>
            <w:r>
              <w:rPr>
                <w:rFonts w:ascii="Calibri" w:cs="Calibri" w:eastAsia="Calibri" w:hAnsi="Calibri"/>
                <w:sz w:val="22"/>
                <w:szCs w:val="22"/>
              </w:rPr>
              <w:t xml:space="preserve">(3) Setiap Bab memiliki daftar referensi bernomor tersendiri (gaya Vancouver) — Terpenuhi.</w:t>
            </w:r>
          </w:p>
          <w:p>
            <w:pPr>
              <w:spacing w:after="160" w:line="288"/>
              <w:jc w:val="both"/>
            </w:pPr>
            <w:r>
              <w:rPr>
                <w:rFonts w:ascii="Calibri" w:cs="Calibri" w:eastAsia="Calibri" w:hAnsi="Calibri"/>
                <w:sz w:val="22"/>
                <w:szCs w:val="22"/>
              </w:rPr>
              <w:t xml:space="preserve">(4) Glosarium alfabetis dan Daftar Pustaka gabungan telah disusun di akhir buku — Terpenuhi.</w:t>
            </w:r>
          </w:p>
          <w:p>
            <w:pPr>
              <w:spacing w:after="160" w:line="288"/>
              <w:jc w:val="both"/>
            </w:pPr>
            <w:r>
              <w:rPr>
                <w:rFonts w:ascii="Calibri" w:cs="Calibri" w:eastAsia="Calibri" w:hAnsi="Calibri"/>
                <w:sz w:val="22"/>
                <w:szCs w:val="22"/>
              </w:rPr>
              <w:t xml:space="preserve">(5) Gaya visual SaaS (aksen bordeaux #7A1F3D, abu-abu #555555, kotak bershading, halaman judul bergaya cover, diagram alur bershading) telah diterapkan — Terpenuhi.</w:t>
            </w:r>
          </w:p>
          <w:p>
            <w:pPr>
              <w:spacing w:after="160" w:line="288"/>
              <w:jc w:val="both"/>
            </w:pPr>
            <w:r>
              <w:rPr>
                <w:rFonts w:ascii="Calibri" w:cs="Calibri" w:eastAsia="Calibri" w:hAnsi="Calibri"/>
                <w:sz w:val="22"/>
                <w:szCs w:val="22"/>
              </w:rPr>
              <w:t xml:space="preserve">(6) Identitas Penulis, Penerbit, dan Alamat Penerbit tercantum sama persis pada halaman judul sesuai Bagian B — Terpenuhi.</w:t>
            </w:r>
          </w:p>
        </w:tc>
      </w:tr>
    </w:tbl>
    <w:sectPr>
      <w:headerReference w:type="default" r:id="rId7"/>
      <w:footerReference w:type="default" r:id="rId8"/>
      <w:pgSz w:w="11906" w:h="16838" w:orient="portrait"/>
      <w:pgMar w:top="1134" w:right="1134" w:bottom="1134"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55555"/>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7A1F3D" w:sz="4" w:space="4"/>
      </w:pBdr>
      <w:jc w:val="right"/>
    </w:pPr>
    <w:r>
      <w:rPr>
        <w:rFonts w:ascii="Calibri" w:cs="Calibri" w:eastAsia="Calibri" w:hAnsi="Calibri"/>
        <w:i/>
        <w:iCs/>
        <w:color w:val="555555"/>
        <w:sz w:val="16"/>
        <w:szCs w:val="16"/>
      </w:rPr>
      <w:t xml:space="preserve">Buku 7 — Kesehatan Reproduksi Remaja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abstractNum>
  <w:abstractNum w:abstractNumId="3" w15:restartNumberingAfterBreak="0">
    <w:multiLevelType w:val="hybridMultilevel"/>
    <w:lvl w:ilvl="0" w15:tentative="1">
      <w:start w:val="1"/>
      <w:numFmt w:val="bullet"/>
      <w:lvlText w:val="•"/>
      <w:lvlJc w:val="left"/>
      <w:pPr>
        <w:ind w:left="380" w:hanging="240"/>
      </w:pPr>
    </w:lvl>
  </w:abstractNum>
  <w:abstractNum w:abstractNumId="4" w15:restartNumberingAfterBreak="0">
    <w:multiLevelType w:val="hybridMultilevel"/>
    <w:lvl w:ilvl="0" w15:tentative="1">
      <w:start w:val="1"/>
      <w:numFmt w:val="decimal"/>
      <w:lvlText w:val="%1."/>
      <w:lvlJc w:val="left"/>
      <w:pPr>
        <w:ind w:left="420" w:hanging="2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Kesehatan Reproduksi Remaja — Buku 7</dc:title>
  <dc:creator>Dr.dr. Budi Siswanto, Sp.OG., Subsp.Obginsos., SH., S.Kom.</dc:creator>
  <cp:lastModifiedBy>Un-named</cp:lastModifiedBy>
  <cp:revision>1</cp:revision>
  <dcterms:created xsi:type="dcterms:W3CDTF">2026-08-01T10:18:28.371Z</dcterms:created>
  <dcterms:modified xsi:type="dcterms:W3CDTF">2026-08-01T10:18:28.371Z</dcterms:modified>
</cp:coreProperties>
</file>

<file path=docProps/custom.xml><?xml version="1.0" encoding="utf-8"?>
<Properties xmlns="http://schemas.openxmlformats.org/officeDocument/2006/custom-properties" xmlns:vt="http://schemas.openxmlformats.org/officeDocument/2006/docPropsVTypes"/>
</file>