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700"/>
              <w:left w:type="dxa" w:w="500"/>
              <w:bottom w:type="dxa" w:w="700"/>
              <w:right w:type="dxa" w:w="500"/>
            </w:tcMar>
          </w:tcPr>
          <w:p>
            <w:pPr>
              <w:spacing w:after="200"/>
              <w:jc w:val="center"/>
            </w:pPr>
            <w:r>
              <w:rPr>
                <w:rFonts w:ascii="Calibri" w:cs="Calibri" w:eastAsia="Calibri" w:hAnsi="Calibri"/>
                <w:b/>
                <w:bCs/>
                <w:caps/>
                <w:color w:val="E9C9D4"/>
                <w:sz w:val="20"/>
                <w:szCs w:val="20"/>
              </w:rPr>
              <w:t xml:space="preserve">SERI BUKU AJAR OBSTETRI GINEKOLOGI SOSIAL</w:t>
            </w:r>
          </w:p>
          <w:p>
            <w:pPr>
              <w:spacing w:after="60"/>
              <w:jc w:val="center"/>
            </w:pPr>
            <w:r>
              <w:rPr>
                <w:rFonts w:ascii="Calibri" w:cs="Calibri" w:eastAsia="Calibri" w:hAnsi="Calibri"/>
                <w:color w:val="E9C9D4"/>
                <w:sz w:val="20"/>
                <w:szCs w:val="20"/>
              </w:rPr>
              <w:t xml:space="preserve">Buku 9 dari 13 Buku Tematik</w:t>
            </w:r>
          </w:p>
          <w:p>
            <w:pPr>
              <w:spacing w:after="400"/>
            </w:pPr>
          </w:p>
          <w:p>
            <w:pPr>
              <w:spacing w:after="160"/>
              <w:jc w:val="center"/>
            </w:pPr>
            <w:r>
              <w:rPr>
                <w:rFonts w:ascii="Calibri" w:cs="Calibri" w:eastAsia="Calibri" w:hAnsi="Calibri"/>
                <w:b/>
                <w:bCs/>
                <w:color w:val="FFFFFF"/>
                <w:sz w:val="44"/>
                <w:szCs w:val="44"/>
              </w:rPr>
              <w:t xml:space="preserve">Menopause dan Kesehatan Reproduksi Usia Lanjut</w:t>
            </w:r>
          </w:p>
          <w:p>
            <w:pPr>
              <w:spacing w:after="500"/>
              <w:jc w:val="center"/>
            </w:pPr>
            <w:r>
              <w:rPr>
                <w:rFonts w:ascii="Calibri" w:cs="Calibri" w:eastAsia="Calibri" w:hAnsi="Calibri"/>
                <w:i/>
                <w:iCs/>
                <w:color w:val="E9C9D4"/>
                <w:sz w:val="24"/>
                <w:szCs w:val="24"/>
              </w:rPr>
              <w:t xml:space="preserve">Buku Tematik Klinis</w:t>
            </w:r>
          </w:p>
          <w:p>
            <w:pPr>
              <w:spacing w:after="60"/>
              <w:jc w:val="center"/>
            </w:pPr>
            <w:r>
              <w:rPr>
                <w:rFonts w:ascii="Calibri" w:cs="Calibri" w:eastAsia="Calibri" w:hAnsi="Calibri"/>
                <w:b/>
                <w:bCs/>
                <w:color w:val="FFFFFF"/>
                <w:sz w:val="24"/>
                <w:szCs w:val="24"/>
              </w:rPr>
              <w:t xml:space="preserve">Dr.dr. Budi Siswanto, Sp.OG., Subsp.Obginsos., SH., S.Kom.</w:t>
            </w:r>
          </w:p>
          <w:p>
            <w:pPr>
              <w:spacing w:after="400"/>
              <w:jc w:val="center"/>
            </w:pPr>
            <w:r>
              <w:rPr>
                <w:rFonts w:ascii="Calibri" w:cs="Calibri" w:eastAsia="Calibri" w:hAnsi="Calibri"/>
                <w:color w:val="E9C9D4"/>
                <w:sz w:val="20"/>
                <w:szCs w:val="20"/>
              </w:rPr>
              <w:t xml:space="preserve">Disusun untuk Program Pendidikan Dokter Subspesialis Obstetri Ginekologi Sosial</w:t>
            </w:r>
          </w:p>
          <w:p>
            <w:pPr>
              <w:spacing w:after="40"/>
              <w:jc w:val="center"/>
            </w:pPr>
            <w:r>
              <w:rPr>
                <w:rFonts w:ascii="Calibri" w:cs="Calibri" w:eastAsia="Calibri" w:hAnsi="Calibri"/>
                <w:b/>
                <w:bCs/>
                <w:color w:val="FFFFFF"/>
                <w:sz w:val="22"/>
                <w:szCs w:val="22"/>
              </w:rPr>
              <w:t xml:space="preserve">Perpustakaan ABBA</w:t>
            </w:r>
          </w:p>
          <w:p>
            <w:pPr>
              <w:spacing w:after="40"/>
              <w:jc w:val="center"/>
            </w:pPr>
            <w:r>
              <w:rPr>
                <w:rFonts w:ascii="Calibri" w:cs="Calibri" w:eastAsia="Calibri" w:hAnsi="Calibri"/>
                <w:color w:val="E9C9D4"/>
                <w:sz w:val="20"/>
                <w:szCs w:val="20"/>
              </w:rPr>
              <w:t xml:space="preserve">Jl Danau Kerinci No 9 Malang</w:t>
            </w:r>
          </w:p>
          <w:p>
            <w:pPr>
              <w:jc w:val="center"/>
            </w:pPr>
            <w:r>
              <w:rPr>
                <w:rFonts w:ascii="Calibri" w:cs="Calibri" w:eastAsia="Calibri" w:hAnsi="Calibri"/>
                <w:color w:val="E9C9D4"/>
                <w:sz w:val="20"/>
                <w:szCs w:val="20"/>
              </w:rPr>
              <w:t xml:space="preserve">2026</w:t>
            </w:r>
          </w:p>
        </w:tc>
      </w:tr>
    </w:tbl>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KATA PENGANTAR</w:t>
      </w:r>
    </w:p>
    <w:p>
      <w:pPr>
        <w:spacing w:after="160" w:line="300"/>
        <w:jc w:val="both"/>
      </w:pPr>
      <w:r>
        <w:rPr>
          <w:rFonts w:ascii="Calibri" w:cs="Calibri" w:eastAsia="Calibri" w:hAnsi="Calibri"/>
          <w:color w:val="222222"/>
          <w:sz w:val="22"/>
          <w:szCs w:val="22"/>
        </w:rPr>
        <w:t xml:space="preserve">Menopause merupakan salah satu transisi biologis paling signifikan dalam kehidupan reproduksi perempuan, namun dampaknya jauh melampaui dimensi hormonal semata. Perubahan ini menyentuh aspek fisik, psikologis, relasi keluarga, dan peran sosial perempuan usia lanjut secara bersamaan. Dokter Spesialis Obstetri dan Ginekologi Subspesialis Obstetri Ginekologi Sosial dituntut untuk memahami menopause tidak hanya sebagai fenomena defisiensi estrogen, melainkan sebagai titik temu antara kebutuhan biomedis dan konteks biopsikososial pasien.</w:t>
      </w:r>
    </w:p>
    <w:p>
      <w:pPr>
        <w:spacing w:after="160" w:line="300"/>
        <w:jc w:val="both"/>
      </w:pPr>
      <w:r>
        <w:rPr>
          <w:rFonts w:ascii="Calibri" w:cs="Calibri" w:eastAsia="Calibri" w:hAnsi="Calibri"/>
          <w:color w:val="222222"/>
          <w:sz w:val="22"/>
          <w:szCs w:val="22"/>
        </w:rPr>
        <w:t xml:space="preserve">Buku ini disusun sebagai bagian dari Seri Buku Ajar Obstetri Ginekologi Sosial, ditujukan bagi peserta Program Pendidikan Dokter Subspesialis Obstetri Ginekologi Sosial semester 3–5, serta dokter Sp.OG yang membutuhkan rujukan cepat dalam tata laksana biopsikososial kompleks pada perempuan pascamenopause. Materi disusun mengacu pada standar internasional (Williams Obstetrics, Berek &amp; Novak's Gynecology, posisi The Menopause Society) serta standar kompetensi nasional sebagaimana diatur dalam Keputusan Ketua Konsil Kesehatan Indonesia Nomor HK.01.02/KKI/1318/2026.</w:t>
      </w:r>
    </w:p>
    <w:p>
      <w:pPr>
        <w:spacing w:after="160" w:line="300"/>
        <w:jc w:val="both"/>
      </w:pPr>
      <w:r>
        <w:rPr>
          <w:rFonts w:ascii="Calibri" w:cs="Calibri" w:eastAsia="Calibri" w:hAnsi="Calibri"/>
          <w:color w:val="222222"/>
          <w:sz w:val="22"/>
          <w:szCs w:val="22"/>
        </w:rPr>
        <w:t xml:space="preserve">Kelima bab dalam buku ini disusun secara berurutan: dimulai dari fisiologi dan gejala klinis, penilaian risiko jangka panjang, pilihan terapi farmakologis dan non-farmakologis, pendekatan konseling psikososial, hingga evaluasi dan tindak lanjut jangka panjang. Semoga buku ini memberi kontribusi bagi peningkatan mutu layanan kesehatan reproduksi perempuan usia lanjut di Indonesia.</w:t>
      </w:r>
    </w:p>
    <w:p>
      <w:pPr>
        <w:spacing w:before="400"/>
      </w:pPr>
      <w:r>
        <w:rPr>
          <w:rFonts w:ascii="Calibri" w:cs="Calibri" w:eastAsia="Calibri" w:hAnsi="Calibri"/>
          <w:sz w:val="22"/>
          <w:szCs w:val="22"/>
        </w:rPr>
        <w:t xml:space="preserve">Malang, 2026</w:t>
      </w:r>
    </w:p>
    <w:p>
      <w:pPr>
        <w:spacing w:before="300"/>
      </w:pPr>
      <w:r>
        <w:rPr>
          <w:rFonts w:ascii="Calibri" w:cs="Calibri" w:eastAsia="Calibri" w:hAnsi="Calibri"/>
          <w:b/>
          <w:bCs/>
          <w:sz w:val="22"/>
          <w:szCs w:val="22"/>
        </w:rPr>
        <w:t xml:space="preserve">Dr.dr. Budi Siswanto, Sp.OG., Subsp.Obginsos., SH., S.Kom.</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DAFTAR ISI</w:t>
      </w:r>
    </w:p>
    <w:sdt>
      <w:sdtPr>
        <w:alias w:val="Daftar Isi"/>
      </w:sdtPr>
      <w:sdtContent>
        <w:p>
          <w:r>
            <w:fldChar w:fldCharType="begin" w:dirty="true"/>
            <w:instrText xml:space="preserve">TOC \h \o "1-2"</w:instrText>
            <w:fldChar w:fldCharType="separate"/>
          </w:r>
        </w:p>
        <w:p>
          <w:r>
            <w:fldChar w:fldCharType="end"/>
          </w:r>
        </w:p>
      </w:sdtContent>
    </w:sdt>
    <w:p>
      <w:pPr>
        <w:spacing w:before="200"/>
      </w:pPr>
      <w:r>
        <w:rPr>
          <w:rFonts w:ascii="Calibri" w:cs="Calibri" w:eastAsia="Calibri" w:hAnsi="Calibri"/>
          <w:i/>
          <w:iCs/>
          <w:color w:val="555555"/>
          <w:sz w:val="18"/>
          <w:szCs w:val="18"/>
        </w:rPr>
        <w:t xml:space="preserve">(Klik kanan pada area Daftar Isi di Microsoft Word, lalu pilih "Update Field" untuk menampilkan nomor halaman.)</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DAFTAR SINGKATAN</w:t>
      </w:r>
    </w:p>
    <w:p>
      <w:pPr>
        <w:spacing w:after="120" w:before="200"/>
      </w:pPr>
      <w:r>
        <w:rPr>
          <w:rFonts w:ascii="Calibri" w:cs="Calibri" w:eastAsia="Calibri" w:hAnsi="Calibri"/>
          <w:b/>
          <w:bCs/>
          <w:i/>
          <w:iCs/>
          <w:color w:val="555555"/>
          <w:sz w:val="21"/>
          <w:szCs w:val="21"/>
        </w:rP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Singkatan</w:t>
            </w:r>
          </w:p>
        </w:tc>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Kepanjangan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ACOG</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American College of Obstetricians and Gynecologists</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BMD</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Bone Mineral Density (Densitas Mineral Tulang)</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CBT</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Cognitive Behavioral Therapy</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DXA</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Dual-energy X-ray Absorptiometry</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FRAX</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Fracture Risk Assessment Tool</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FSH</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Follicle Stimulating Hormone</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GSM</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Genitourinary Syndrome of Menopause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HDL</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High-Density Lipoprotein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HRT</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Hormone Replacement Therapy / Terapi Hormon Menopause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IMT</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Indeks Massa Tubuh</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KKI</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Konsil Kesehatan Indonesia</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LDL</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Low-Density Lipoprotein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MENQOL</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Menopause-Specific Quality of Life Questionnaire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NAMS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The North American Menopause Society (kini bernama The Menopause Society)</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NK3</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Neurokinin-3 (reseptor)</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SNRI</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Serotonin-Norepinephrine Reuptake Inhibitor</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SSRI</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Selective Serotonin Reuptake Inhibitor</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STRAW+10</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Stages of Reproductive Aging Workshop + 10</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USPSTF</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United States Preventive Services Task Force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WHO</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World Health Organization</w:t>
            </w:r>
          </w:p>
        </w:tc>
      </w:tr>
    </w:tbl>
    <w:p>
      <w:r>
        <w:br w:type="page"/>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BAB 1. FISIOLOGI DAN GEJALA KLINIS MENOPAUSE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Tujuan Pembelajaran Bab</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definisi menopause dan tahapan transisi reproduktif menurut kerangka STRAW+10.</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Menguraikan dasar patofisiologi hormonal yang mendasari perubahan pada masa peri- dan pascamenopause.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Mengidentifikasi gejala vasomotor secara sistematis, termasuk karakteristik dan faktor pencetusnya.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Mengenali gejala urogenital serta genitourinary syndrome of menopause (GSM) dan implikasinya pada kualitas hidup.</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Mengenali manifestasi psikologis dan kognitif yang dapat menyertai transisi menopause.</w:t>
            </w:r>
          </w:p>
        </w:tc>
      </w:tr>
    </w:tbl>
    <w:p>
      <w:pPr>
        <w:spacing w:after="200"/>
      </w:pP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2E5C6E" w:val="clear"/>
            <w:tcMar>
              <w:top w:type="dxa" w:w="100"/>
              <w:left w:type="dxa" w:w="150"/>
              <w:bottom w:type="dxa" w:w="100"/>
              <w:right w:type="dxa" w:w="150"/>
            </w:tcMar>
          </w:tcPr>
          <w:p>
            <w:r>
              <w:rPr>
                <w:rFonts w:ascii="Calibri" w:cs="Calibri" w:eastAsia="Calibri" w:hAnsi="Calibri"/>
                <w:b/>
                <w:bCs/>
                <w:color w:val="FFFFFF"/>
                <w:sz w:val="23"/>
                <w:szCs w:val="23"/>
              </w:rPr>
              <w:t xml:space="preserve">Dasar Standar Kompetensi Nasional</w:t>
            </w:r>
          </w:p>
        </w:tc>
      </w:tr>
      <w:tr>
        <w:tc>
          <w:tcPr>
            <w:shd w:fill="E4EEF1"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Keputusan Ketua Konsil Kesehatan Indonesia Nomor HK.01.02/KKI/1318/2026, Lampiran Tabel 25 (Kompetensi Prosedur Klinis), butir 16 "Kasus Menopause dengan Masalah Biopsikososial": identifikasi gejala vasomotor, urogenital, psikologis, dan risiko metabolik; penilaian risiko osteoporosis dan kardiovaskular; penyusunan terapi farmakologis (HRT, non-HRT) dan non-farmakologis; konseling psikososial terkait kualitas hidup dan relasi keluarga. Kriteria kinerja minimal: ≥90% pasien menopause dinilai gejala fisik, psikologis, dan sosial; ≥80% mendapat konseling gaya hidup sehat; minimal 2 kasus menopause komprehensif ditangani/didiskusikan.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Lampiran Tabel 37 (Penguasaan Pengetahuan Prosedur Klinis), butir 16 "Kasus Menopause": penguasaan fisiologi menopause (penurunan estrogen, gejala vasomotor, urogenital), dampak kesehatan jangka panjang (osteoporosis, penyakit kardiovaskular, kanker), pilihan terapi (HRT, non-HRT termasuk fitoterapi dan modifikasi gaya hidup), skrining (DXA, mamografi), serta dimensi psikososial dan stigma budaya.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Kelima bab dalam buku ini disusun agar seluruh butir kompetensi tersebut tercakup secara eksplisit, sekaligus diperkaya dengan standar internasional terkini agar peserta didik memiliki kerangka acuan ganda: nasional dan internasional.</w:t>
            </w:r>
          </w:p>
        </w:tc>
      </w:tr>
    </w:tbl>
    <w:p>
      <w:pPr>
        <w:spacing w:after="200"/>
      </w:pPr>
    </w:p>
    <w:p>
      <w:pPr>
        <w:pStyle w:val="Heading2"/>
        <w:spacing w:after="160" w:before="300"/>
      </w:pPr>
      <w:r>
        <w:rPr>
          <w:rFonts w:ascii="Calibri" w:cs="Calibri" w:eastAsia="Calibri" w:hAnsi="Calibri"/>
          <w:b/>
          <w:bCs/>
          <w:color w:val="7A1F3D"/>
          <w:sz w:val="26"/>
          <w:szCs w:val="26"/>
        </w:rPr>
        <w:t xml:space="preserve">1.1 Definisi Menopause dan Tahapan STRAW+10</w:t>
      </w:r>
    </w:p>
    <w:p>
      <w:pPr>
        <w:spacing w:after="160" w:line="300"/>
        <w:jc w:val="both"/>
      </w:pPr>
      <w:r>
        <w:rPr>
          <w:rFonts w:ascii="Calibri" w:cs="Calibri" w:eastAsia="Calibri" w:hAnsi="Calibri"/>
          <w:color w:val="222222"/>
          <w:sz w:val="22"/>
          <w:szCs w:val="22"/>
        </w:rPr>
        <w:t xml:space="preserve">Menopause didefinisikan secara klinis sebagai berhentinya menstruasi secara permanen akibat hilangnya aktivitas folikuler ovarium, yang dikonfirmasi secara retrospektif setelah 12 bulan berturut-turut tanpa perdarahan haid tanpa penyebab patologis lain. Usia rata-rata terjadinya menopause alami pada populasi umum berkisar pada dekade kelima kehidupan, meskipun terdapat variasi individual yang dipengaruhi oleh faktor genetik, status gizi, kebiasaan merokok, dan riwayat operasi ginekologi.</w:t>
      </w:r>
    </w:p>
    <w:p>
      <w:pPr>
        <w:spacing w:after="160" w:line="300"/>
        <w:jc w:val="both"/>
      </w:pPr>
      <w:r>
        <w:rPr>
          <w:rFonts w:ascii="Calibri" w:cs="Calibri" w:eastAsia="Calibri" w:hAnsi="Calibri"/>
          <w:color w:val="222222"/>
          <w:sz w:val="22"/>
          <w:szCs w:val="22"/>
        </w:rPr>
        <w:t xml:space="preserve">Sistem Staging of Reproductive Aging Workshop (STRAW+10) menjadi kerangka acuan standar internasional untuk memetakan tahapan penuaan reproduktif perempuan secara terstruktur. Kerangka ini membagi perjalanan reproduktif menjadi tiga fase besar: masa reproduktif, masa transisi menopause (perimenopause), dan masa pascamenopause, yang masing-masing terbagi lagi menjadi subtahap berdasarkan pola siklus menstruasi, kadar hormon folikel stimulating hormone (FSH), dan gejala klinis penyerta.</w:t>
      </w:r>
    </w:p>
    <w:p>
      <w:pPr>
        <w:spacing w:after="160" w:line="300"/>
        <w:jc w:val="both"/>
      </w:pPr>
      <w:r>
        <w:rPr>
          <w:rFonts w:ascii="Calibri" w:cs="Calibri" w:eastAsia="Calibri" w:hAnsi="Calibri"/>
          <w:color w:val="222222"/>
          <w:sz w:val="22"/>
          <w:szCs w:val="22"/>
        </w:rPr>
        <w:t xml:space="preserve">Fase transisi menopause awal ditandai oleh variabilitas panjang siklus menstruasi yang mulai tampak nyata, sedangkan transisi menopause akhir ditandai interval amenore yang memanjang, sering melebihi 60 hari, disertai fluktuasi kadar FSH yang semakin nyata. Fase pascamenopause dini mencakup periode segera setelah menstruasi terakhir hingga sekitar tahun keenam pascamenopause, ketika gejala vasomotor umumnya paling intens, sedangkan pascamenopause lanjut ditandai stabilisasi hormonal pada kadar rendah yang menetap.</w:t>
      </w:r>
    </w:p>
    <w:p>
      <w:pPr>
        <w:spacing w:after="160" w:line="300"/>
        <w:jc w:val="both"/>
      </w:pPr>
      <w:r>
        <w:rPr>
          <w:rFonts w:ascii="Calibri" w:cs="Calibri" w:eastAsia="Calibri" w:hAnsi="Calibri"/>
          <w:color w:val="222222"/>
          <w:sz w:val="22"/>
          <w:szCs w:val="22"/>
        </w:rPr>
        <w:t xml:space="preserve">Pemahaman tahapan STRAW+10 penting secara klinis karena setiap fase memiliki profil risiko dan kebutuhan intervensi yang berbeda. Pada perimenopause, fokus tata laksana lebih banyak pada pengaturan siklus dan gejala vasomotor awal, sementara pada pascamenopause lanjut, perhatian klinis bergeser ke pencegahan komplikasi metabolik jangka panjang seperti osteoporosis dan penyakit kardiovaskular, sebagaimana akan dibahas lebih rinci pada Bab 2.</w:t>
      </w:r>
    </w:p>
    <w:p>
      <w:pPr>
        <w:spacing w:after="160" w:line="300"/>
        <w:jc w:val="both"/>
      </w:pPr>
      <w:r>
        <w:rPr>
          <w:rFonts w:ascii="Calibri" w:cs="Calibri" w:eastAsia="Calibri" w:hAnsi="Calibri"/>
          <w:color w:val="222222"/>
          <w:sz w:val="22"/>
          <w:szCs w:val="22"/>
        </w:rPr>
        <w:t xml:space="preserve">Selain menopause alami, subspesialis Obstetri Ginekologi Sosial perlu mengenali menopause dini (sebelum usia 45 tahun) dan insufisiensi ovarium prematur (sebelum usia 40 tahun), yang membawa implikasi psikososial dan risiko kesehatan jangka panjang yang lebih besar dan memerlukan pendekatan konseling tersendiri terkait fertilitas, citra diri, dan kebutuhan proteksi hormonal jangka lebih panjang.</w:t>
      </w:r>
    </w:p>
    <w:p>
      <w:pPr>
        <w:pStyle w:val="Heading2"/>
        <w:spacing w:after="160" w:before="300"/>
      </w:pPr>
      <w:r>
        <w:rPr>
          <w:rFonts w:ascii="Calibri" w:cs="Calibri" w:eastAsia="Calibri" w:hAnsi="Calibri"/>
          <w:b/>
          <w:bCs/>
          <w:color w:val="7A1F3D"/>
          <w:sz w:val="26"/>
          <w:szCs w:val="26"/>
        </w:rPr>
        <w:t xml:space="preserve">1.2 Patofisiologi Hormonal Transisi Menopause</w:t>
      </w:r>
    </w:p>
    <w:p>
      <w:pPr>
        <w:spacing w:after="160" w:line="300"/>
        <w:jc w:val="both"/>
      </w:pPr>
      <w:r>
        <w:rPr>
          <w:rFonts w:ascii="Calibri" w:cs="Calibri" w:eastAsia="Calibri" w:hAnsi="Calibri"/>
          <w:color w:val="222222"/>
          <w:sz w:val="22"/>
          <w:szCs w:val="22"/>
        </w:rPr>
        <w:t xml:space="preserve">Perubahan hormonal pada transisi menopause didorong oleh penipisan progresif cadangan folikel ovarium (ovarian reserve) seiring bertambahnya usia. Sejak masa fetal, jumlah folikel primordial terus menurun melalui proses atresia alami, dan pada dekade keempat hingga kelima kehidupan, penurunan ini mempercepat penipisan sel granulosa yang berfungsi memproduksi inhibin B dan estradiol.</w:t>
      </w:r>
    </w:p>
    <w:p>
      <w:pPr>
        <w:spacing w:after="160" w:line="300"/>
        <w:jc w:val="both"/>
      </w:pPr>
      <w:r>
        <w:rPr>
          <w:rFonts w:ascii="Calibri" w:cs="Calibri" w:eastAsia="Calibri" w:hAnsi="Calibri"/>
          <w:color w:val="222222"/>
          <w:sz w:val="22"/>
          <w:szCs w:val="22"/>
        </w:rPr>
        <w:t xml:space="preserve">Penurunan inhibin B menyebabkan hilangnya umpan balik negatif terhadap hipofisis, sehingga kadar FSH mulai meningkat lebih awal daripada perubahan kadar estradiol yang nyata, menjadikan FSH sebagai penanda biokimia paling sensitif pada fase transisi awal. Seiring progresi menuju menopause, siklus anovulasi menjadi lebih sering, kadar progesteron menurun akibat kurangnya fase luteal yang adekuat, dan pada akhirnya produksi estradiol ovarium menurun tajam.</w:t>
      </w:r>
    </w:p>
    <w:p>
      <w:pPr>
        <w:spacing w:after="160" w:line="300"/>
        <w:jc w:val="both"/>
      </w:pPr>
      <w:r>
        <w:rPr>
          <w:rFonts w:ascii="Calibri" w:cs="Calibri" w:eastAsia="Calibri" w:hAnsi="Calibri"/>
          <w:color w:val="222222"/>
          <w:sz w:val="22"/>
          <w:szCs w:val="22"/>
        </w:rPr>
        <w:t xml:space="preserve">Pascamenopause, ovarium tetap memproduksi sejumlah kecil androgen (terutama testosteron dan androstenedion), sementara estrogen yang beredar sebagian besar berasal dari konversi perifer androgen menjadi estron melalui aromatisasi di jaringan adiposa. Hal ini menjelaskan mengapa kadar estrogen residual dapat bervariasi tergantung indeks massa tubuh, dan mengapa perempuan dengan jaringan adiposa lebih banyak dapat menunjukkan gejala vasomotor yang relatif lebih ringan namun risiko metabolik yang berbeda.</w:t>
      </w:r>
    </w:p>
    <w:p>
      <w:pPr>
        <w:spacing w:after="160" w:line="300"/>
        <w:jc w:val="both"/>
      </w:pPr>
      <w:r>
        <w:rPr>
          <w:rFonts w:ascii="Calibri" w:cs="Calibri" w:eastAsia="Calibri" w:hAnsi="Calibri"/>
          <w:color w:val="222222"/>
          <w:sz w:val="22"/>
          <w:szCs w:val="22"/>
        </w:rPr>
        <w:t xml:space="preserve">Fluktuasi estrogen yang tidak stabil pada fase perimenopause, dan bukan semata kadar absolutnya, diyakini berperan penting dalam memicu gejala vasomotor dan perubahan mood, karena sistem termoregulasi hipotalamus dan jalur neurotransmiter serotonergik-noradrenergik sensitif terhadap perubahan kadar estrogen yang cepat, bukan hanya terhadap kadar rendah yang menetap.</w:t>
      </w:r>
    </w:p>
    <w:p>
      <w:pPr>
        <w:pStyle w:val="Heading2"/>
        <w:spacing w:after="160" w:before="300"/>
      </w:pPr>
      <w:r>
        <w:rPr>
          <w:rFonts w:ascii="Calibri" w:cs="Calibri" w:eastAsia="Calibri" w:hAnsi="Calibri"/>
          <w:b/>
          <w:bCs/>
          <w:color w:val="7A1F3D"/>
          <w:sz w:val="26"/>
          <w:szCs w:val="26"/>
        </w:rPr>
        <w:t xml:space="preserve">1.3 Gejala Vasomotor</w:t>
      </w:r>
    </w:p>
    <w:p>
      <w:pPr>
        <w:spacing w:after="160" w:line="300"/>
        <w:jc w:val="both"/>
      </w:pPr>
      <w:r>
        <w:rPr>
          <w:rFonts w:ascii="Calibri" w:cs="Calibri" w:eastAsia="Calibri" w:hAnsi="Calibri"/>
          <w:color w:val="222222"/>
          <w:sz w:val="22"/>
          <w:szCs w:val="22"/>
        </w:rPr>
        <w:t xml:space="preserve">Gejala vasomotor, meliputi hot flashes (rasa panas mendadak) dan keringat malam (night sweats), merupakan keluhan tersering yang membawa perempuan perimenopause dan pascamenopause dini mencari layanan kesehatan. Secara patofisiologis, gejala ini dikaitkan dengan penyempitan zona termoneutral di hipotalamus akibat penurunan dan fluktuasi estrogen, sehingga perubahan suhu inti tubuh yang minimal sudah memicu respons vasodilatasi perifer, berkeringat, dan sensasi panas mendadak.</w:t>
      </w:r>
    </w:p>
    <w:p>
      <w:pPr>
        <w:spacing w:after="160" w:line="300"/>
        <w:jc w:val="both"/>
      </w:pPr>
      <w:r>
        <w:rPr>
          <w:rFonts w:ascii="Calibri" w:cs="Calibri" w:eastAsia="Calibri" w:hAnsi="Calibri"/>
          <w:color w:val="222222"/>
          <w:sz w:val="22"/>
          <w:szCs w:val="22"/>
        </w:rPr>
        <w:t xml:space="preserve">Secara klinis, hot flashes umumnya digambarkan sebagai sensasi panas yang dimulai dari dada dan menjalar ke leher serta wajah, berlangsung antara satu hingga lima menit, sering disertai kemerahan kulit (flushing), berkeringat, dan diikuti sensasi dingin atau menggigil setelah episode mereda. Frekuensi dan intensitas gejala sangat bervariasi antarindividu, mulai dari episode ringan sesekali hingga episode berat yang mengganggu aktivitas harian dan kualitas tidur.</w:t>
      </w:r>
    </w:p>
    <w:p>
      <w:pPr>
        <w:spacing w:after="160" w:line="300"/>
        <w:jc w:val="both"/>
      </w:pPr>
      <w:r>
        <w:rPr>
          <w:rFonts w:ascii="Calibri" w:cs="Calibri" w:eastAsia="Calibri" w:hAnsi="Calibri"/>
          <w:color w:val="222222"/>
          <w:sz w:val="22"/>
          <w:szCs w:val="22"/>
        </w:rPr>
        <w:t xml:space="preserve">Faktor pencetus yang perlu digali saat anamnesis meliputi konsumsi kafein, alkohol, makanan pedas, suhu lingkungan yang panas, stres emosional, dan merokok. Keringat malam yang mengganggu tidur dapat berkontribusi pada kelelahan kronis, iritabilitas, dan penurunan konsentrasi pada siang hari, sehingga penilaian dampak gejala vasomotor terhadap kualitas tidur dan fungsi harian menjadi bagian penting evaluasi klinis, bukan sekadar mencatat frekuensi episode.</w:t>
      </w:r>
    </w:p>
    <w:p>
      <w:pPr>
        <w:spacing w:after="160" w:line="300"/>
        <w:jc w:val="both"/>
      </w:pPr>
      <w:r>
        <w:rPr>
          <w:rFonts w:ascii="Calibri" w:cs="Calibri" w:eastAsia="Calibri" w:hAnsi="Calibri"/>
          <w:color w:val="222222"/>
          <w:sz w:val="22"/>
          <w:szCs w:val="22"/>
        </w:rPr>
        <w:t xml:space="preserve">Instrumen sederhana seperti catatan harian gejala (symptom diary) dapat membantu mengukur beratnya gejala secara objektif sebelum dan sesudah intervensi, serta membedakan gejala vasomotor primer akibat menopause dari kondisi lain yang dapat menyerupainya, seperti gangguan tiroid, efek samping obat tertentu, atau kondisi medis lain yang perlu disingkirkan melalui anamnesis dan pemeriksaan penunjang yang relevan.</w:t>
      </w:r>
    </w:p>
    <w:p>
      <w:pPr>
        <w:pStyle w:val="Heading2"/>
        <w:spacing w:after="160" w:before="300"/>
      </w:pPr>
      <w:r>
        <w:rPr>
          <w:rFonts w:ascii="Calibri" w:cs="Calibri" w:eastAsia="Calibri" w:hAnsi="Calibri"/>
          <w:b/>
          <w:bCs/>
          <w:color w:val="7A1F3D"/>
          <w:sz w:val="26"/>
          <w:szCs w:val="26"/>
        </w:rPr>
        <w:t xml:space="preserve">1.4 Gejala Urogenital dan Genitourinary Syndrome of Menopause (GSM)</w:t>
      </w:r>
    </w:p>
    <w:p>
      <w:pPr>
        <w:spacing w:after="160" w:line="300"/>
        <w:jc w:val="both"/>
      </w:pPr>
      <w:r>
        <w:rPr>
          <w:rFonts w:ascii="Calibri" w:cs="Calibri" w:eastAsia="Calibri" w:hAnsi="Calibri"/>
          <w:color w:val="222222"/>
          <w:sz w:val="22"/>
          <w:szCs w:val="22"/>
        </w:rPr>
        <w:t xml:space="preserve">Genitourinary Syndrome of Menopause (GSM) adalah istilah yang menggantikan terminologi lama atrofi vulvovaginal, mencakup spektrum gejala pada vulva, vagina, dan saluran kemih bawah yang timbul akibat defisiensi estrogen kronis pascamenopause. Berbeda dengan gejala vasomotor yang cenderung membaik seiring waktu, GSM bersifat progresif dan jarang membaik spontan tanpa intervensi, karena jaringan urogenital sangat bergantung pada estrogen untuk mempertahankan ketebalan epitel, vaskularisasi, dan elastisitas.</w:t>
      </w:r>
    </w:p>
    <w:p>
      <w:pPr>
        <w:spacing w:after="160" w:line="300"/>
        <w:jc w:val="both"/>
      </w:pPr>
      <w:r>
        <w:rPr>
          <w:rFonts w:ascii="Calibri" w:cs="Calibri" w:eastAsia="Calibri" w:hAnsi="Calibri"/>
          <w:color w:val="222222"/>
          <w:sz w:val="22"/>
          <w:szCs w:val="22"/>
        </w:rPr>
        <w:t xml:space="preserve">Gejala vagina meliputi kekeringan, rasa terbakar, iritasi, penurunan lubrikasi saat aktivitas seksual, dan dispareunia yang dapat berdampak signifikan pada fungsi seksual dan keintiman dalam relasi pasangan. Gejala saluran kemih meliputi urgensi berkemih, disuria, dan peningkatan kerentanan terhadap infeksi saluran kemih berulang akibat perubahan mikrobiota vagina dan penipisan epitel uretra.</w:t>
      </w:r>
    </w:p>
    <w:p>
      <w:pPr>
        <w:spacing w:after="160" w:line="300"/>
        <w:jc w:val="both"/>
      </w:pPr>
      <w:r>
        <w:rPr>
          <w:rFonts w:ascii="Calibri" w:cs="Calibri" w:eastAsia="Calibri" w:hAnsi="Calibri"/>
          <w:color w:val="222222"/>
          <w:sz w:val="22"/>
          <w:szCs w:val="22"/>
        </w:rPr>
        <w:t xml:space="preserve">Penilaian klinis GSM memerlukan anamnesis yang terbuka dan tidak menghakimi, mengingat banyak pasien enggan melaporkan keluhan seksual atau urogenital secara spontan karena rasa malu atau anggapan bahwa keluhan tersebut adalah bagian normal penuaan yang tidak dapat diatasi. Pemeriksaan inspekulo dapat menunjukkan mukosa vagina yang pucat, menipis, kehilangan rugae, serta rentan mengalami petekie atau fisura ringan saat pemeriksaan.</w:t>
      </w:r>
    </w:p>
    <w:p>
      <w:pPr>
        <w:spacing w:after="160" w:line="300"/>
        <w:jc w:val="both"/>
      </w:pPr>
      <w:r>
        <w:rPr>
          <w:rFonts w:ascii="Calibri" w:cs="Calibri" w:eastAsia="Calibri" w:hAnsi="Calibri"/>
          <w:color w:val="222222"/>
          <w:sz w:val="22"/>
          <w:szCs w:val="22"/>
        </w:rPr>
        <w:t xml:space="preserve">Karena sifatnya yang progresif dan berdampak jangka panjang terhadap kualitas hidup serta fungsi seksual, GSM memerlukan strategi tata laksana proaktif, termasuk terapi estrogen topikal dosis rendah, pelumas dan pelembap vagina non-hormonal, serta edukasi mengenai pentingnya aktivitas seksual teratur atau stimulasi vagina reguler untuk mempertahankan elastisitas jaringan, sebagaimana akan dibahas lebih rinci pada Bab 3.</w:t>
      </w:r>
    </w:p>
    <w:p>
      <w:pPr>
        <w:pStyle w:val="Heading2"/>
        <w:spacing w:after="160" w:before="300"/>
      </w:pPr>
      <w:r>
        <w:rPr>
          <w:rFonts w:ascii="Calibri" w:cs="Calibri" w:eastAsia="Calibri" w:hAnsi="Calibri"/>
          <w:b/>
          <w:bCs/>
          <w:color w:val="7A1F3D"/>
          <w:sz w:val="26"/>
          <w:szCs w:val="26"/>
        </w:rPr>
        <w:t xml:space="preserve">1.5 Gejala Psikologis dan Kognitif</w:t>
      </w:r>
    </w:p>
    <w:p>
      <w:pPr>
        <w:spacing w:after="160" w:line="300"/>
        <w:jc w:val="both"/>
      </w:pPr>
      <w:r>
        <w:rPr>
          <w:rFonts w:ascii="Calibri" w:cs="Calibri" w:eastAsia="Calibri" w:hAnsi="Calibri"/>
          <w:color w:val="222222"/>
          <w:sz w:val="22"/>
          <w:szCs w:val="22"/>
        </w:rPr>
        <w:t xml:space="preserve">Selain manifestasi somatik, transisi menopause sering disertai gejala psikologis seperti labilitas mood, iritabilitas, kecemasan, dan pada sebagian perempuan, gejala depresif yang baru muncul atau memberat. Fase perimenopause tampak sebagai periode dengan kerentanan tertinggi terhadap episode depresif baru, bahkan pada perempuan tanpa riwayat gangguan mood sebelumnya, yang diduga terkait fluktuasi estrogen yang memengaruhi jalur neurotransmiter serotonin dan norepinefrin.</w:t>
      </w:r>
    </w:p>
    <w:p>
      <w:pPr>
        <w:spacing w:after="160" w:line="300"/>
        <w:jc w:val="both"/>
      </w:pPr>
      <w:r>
        <w:rPr>
          <w:rFonts w:ascii="Calibri" w:cs="Calibri" w:eastAsia="Calibri" w:hAnsi="Calibri"/>
          <w:color w:val="222222"/>
          <w:sz w:val="22"/>
          <w:szCs w:val="22"/>
        </w:rPr>
        <w:t xml:space="preserve">Keluhan kognitif seperti kesulitan konsentrasi, gangguan memori jangka pendek (sering digambarkan pasien sebagai "brain fog"), dan penurunan kecepatan pemrosesan informasi juga sering dilaporkan pada masa perimenopause dan pascamenopause dini. Pada sebagian besar kasus, gejala ini bersifat sementara dan cenderung membaik pada fase pascamenopause lanjut, namun tetap perlu dibedakan secara klinis dari gangguan kognitif neurodegeneratif melalui anamnesis riwayat progresivitas gejala dan pemeriksaan status mental bila diindikasikan.</w:t>
      </w:r>
    </w:p>
    <w:p>
      <w:pPr>
        <w:spacing w:after="160" w:line="300"/>
        <w:jc w:val="both"/>
      </w:pPr>
      <w:r>
        <w:rPr>
          <w:rFonts w:ascii="Calibri" w:cs="Calibri" w:eastAsia="Calibri" w:hAnsi="Calibri"/>
          <w:color w:val="222222"/>
          <w:sz w:val="22"/>
          <w:szCs w:val="22"/>
        </w:rPr>
        <w:t xml:space="preserve">Gangguan tidur akibat gejala vasomotor turut memperberat keluhan psikologis dan kognitif melalui mekanisme kelelahan kronis, sehingga tata laksana yang efektif terhadap gejala vasomotor sering kali turut memperbaiki gejala mood dan fungsi kognitif secara sekunder. Klinisi perlu menilai hubungan temporal antara gejala vasomotor, gangguan tidur, dan keluhan psikologis untuk menentukan prioritas intervensi.</w:t>
      </w:r>
    </w:p>
    <w:p>
      <w:pPr>
        <w:spacing w:after="160" w:line="300"/>
        <w:jc w:val="both"/>
      </w:pPr>
      <w:r>
        <w:rPr>
          <w:rFonts w:ascii="Calibri" w:cs="Calibri" w:eastAsia="Calibri" w:hAnsi="Calibri"/>
          <w:color w:val="222222"/>
          <w:sz w:val="22"/>
          <w:szCs w:val="22"/>
        </w:rPr>
        <w:t xml:space="preserve">Penting bagi Dokter Subspesialis Obstetri Ginekologi Sosial untuk melakukan skrining sederhana terhadap gejala depresi dan kecemasan pada setiap kunjungan perempuan perimenopause dan pascamenopause, mengingat gejala ini sering tidak dikeluhkan secara spontan namun berdampak besar terhadap kualitas hidup dan relasi keluarga, sebagaimana akan dibahas lebih lanjut dalam pendekatan konseling psikososial pada Bab 4.</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Poin Kunci</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Menopause dikonfirmasi secara retrospektif setelah 12 bulan amenore tanpa penyebab patologis lain.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Kerangka STRAW+10 membagi penuaan reproduktif menjadi masa reproduktif, transisi menopause, dan pascamenopause, masing-masing dengan subtahap dan implikasi klinis berbeda.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Fluktuasi estrogen, bukan hanya kadar rendah yang menetap, berperan penting dalam memicu gejala vasomotor dan gangguan mood pada perimenopause.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Gejala vasomotor cenderung membaik seiring waktu, sedangkan GSM bersifat progresif dan memerlukan intervensi proaktif.</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Anamnesis urogenital dan seksual perlu dilakukan secara terbuka dan tidak menghakimi karena keluhan sering tidak dilaporkan spontan.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Perimenopause merupakan periode kerentanan tinggi terhadap episode depresif baru, bahkan tanpa riwayat gangguan mood sebelumnya.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Menopause dini dan insufisiensi ovarium prematur memerlukan pendekatan konseling dan proteksi hormonal jangka panjang yang berbeda dari menopause pada usia rata-rata.</w:t>
            </w:r>
          </w:p>
        </w:tc>
      </w:tr>
    </w:tbl>
    <w:p>
      <w:pPr>
        <w:spacing w:after="200"/>
      </w:pPr>
    </w:p>
    <w:p>
      <w:pPr>
        <w:spacing w:after="120" w:before="300"/>
      </w:pPr>
      <w:r>
        <w:rPr>
          <w:rFonts w:ascii="Calibri" w:cs="Calibri" w:eastAsia="Calibri" w:hAnsi="Calibri"/>
          <w:b/>
          <w:bCs/>
          <w:color w:val="7A1F3D"/>
          <w:sz w:val="23"/>
          <w:szCs w:val="23"/>
        </w:rPr>
        <w:t xml:space="preserve">Referensi</w:t>
      </w:r>
    </w:p>
    <w:p>
      <w:pPr>
        <w:spacing w:after="80"/>
        <w:ind w:left="360" w:hanging="360"/>
      </w:pPr>
      <w:r>
        <w:rPr>
          <w:rFonts w:ascii="Calibri" w:cs="Calibri" w:eastAsia="Calibri" w:hAnsi="Calibri"/>
          <w:color w:val="444444"/>
          <w:sz w:val="19"/>
          <w:szCs w:val="19"/>
        </w:rPr>
        <w:t xml:space="preserve">1. Harlow SD, Gass M, Hall JE, et al., for the STRAW + 10 Collaborative Group. Executive summary of the Stages of Reproductive Aging Workshop + 10: addressing the unfinished agenda of staging reproductive aging. Climacteric. 2012;15(2):105-114.</w:t>
      </w:r>
    </w:p>
    <w:p>
      <w:pPr>
        <w:spacing w:after="80"/>
        <w:ind w:left="360" w:hanging="360"/>
      </w:pPr>
      <w:r>
        <w:rPr>
          <w:rFonts w:ascii="Calibri" w:cs="Calibri" w:eastAsia="Calibri" w:hAnsi="Calibri"/>
          <w:color w:val="444444"/>
          <w:sz w:val="19"/>
          <w:szCs w:val="19"/>
        </w:rPr>
        <w:t xml:space="preserve">2. Cunningham FG, Leveno KJ, Dashe JS, Hoffman BL, Spong CY, Casey BM, editors. Williams Obstetrics. 26th ed. New York: McGraw Hill; 2022.</w:t>
      </w:r>
    </w:p>
    <w:p>
      <w:pPr>
        <w:spacing w:after="80"/>
        <w:ind w:left="360" w:hanging="360"/>
      </w:pPr>
      <w:r>
        <w:rPr>
          <w:rFonts w:ascii="Calibri" w:cs="Calibri" w:eastAsia="Calibri" w:hAnsi="Calibri"/>
          <w:color w:val="444444"/>
          <w:sz w:val="19"/>
          <w:szCs w:val="19"/>
        </w:rPr>
        <w:t xml:space="preserve">3. Berek JS, editor. Berek &amp; Novak's Gynecology. 17th ed. Philadelphia: Wolters Kluwer; 2026.</w:t>
      </w:r>
    </w:p>
    <w:p>
      <w:pPr>
        <w:spacing w:after="80"/>
        <w:ind w:left="360" w:hanging="360"/>
      </w:pPr>
      <w:r>
        <w:rPr>
          <w:rFonts w:ascii="Calibri" w:cs="Calibri" w:eastAsia="Calibri" w:hAnsi="Calibri"/>
          <w:color w:val="444444"/>
          <w:sz w:val="19"/>
          <w:szCs w:val="19"/>
        </w:rPr>
        <w:t xml:space="preserve">4. "The 2020 Genitourinary Syndrome of Menopause Position Statement of The North American Menopause Society" Editorial Panel. The 2020 genitourinary syndrome of menopause position statement of The North American Menopause Society. Menopause. 2020;27(9):976-992.</w:t>
      </w:r>
    </w:p>
    <w:p>
      <w:pPr>
        <w:spacing w:after="80"/>
        <w:ind w:left="360" w:hanging="360"/>
      </w:pPr>
      <w:r>
        <w:rPr>
          <w:rFonts w:ascii="Calibri" w:cs="Calibri" w:eastAsia="Calibri" w:hAnsi="Calibri"/>
          <w:color w:val="444444"/>
          <w:sz w:val="19"/>
          <w:szCs w:val="19"/>
        </w:rPr>
        <w:t xml:space="preserve">5. Konsil Kesehatan Indonesia. Keputusan Ketua Konsil Kesehatan Indonesia Nomor HK.01.02/KKI/1318/2026 tentang Standar Kompetensi Dokter Spesialis dan Subspesialis Bidang Obstetri dan Ginekologi, Lampiran Tabel 37 (Penguasaan Pengetahuan Prosedur Klinis), butir 16 "Kasus Menopause".</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BAB 2. PENILAIAN RISIKO OSTEOPOROSIS DAN KARDIOVASKULAR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Tujuan Pembelajaran Bab</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perubahan metabolisme tulang pascamenopause dan mekanisme percepatan kehilangan massa tulang.</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Menetapkan indikasi dan ambang usia/risiko untuk skrining densitometri tulang (DXA).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perubahan profil lipid dan risiko kardiovaskular pascamenopause.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Menggunakan alat prediksi risiko fraktur dan kardiovaskular dalam praktik klinis sehari-hari.</w:t>
            </w:r>
          </w:p>
        </w:tc>
      </w:tr>
    </w:tbl>
    <w:p>
      <w:pPr>
        <w:spacing w:after="200"/>
      </w:pPr>
    </w:p>
    <w:p>
      <w:pPr>
        <w:pStyle w:val="Heading2"/>
        <w:spacing w:after="160" w:before="300"/>
      </w:pPr>
      <w:r>
        <w:rPr>
          <w:rFonts w:ascii="Calibri" w:cs="Calibri" w:eastAsia="Calibri" w:hAnsi="Calibri"/>
          <w:b/>
          <w:bCs/>
          <w:color w:val="7A1F3D"/>
          <w:sz w:val="26"/>
          <w:szCs w:val="26"/>
        </w:rPr>
        <w:t xml:space="preserve">2.1 Perubahan Metabolisme Tulang Pascamenopause</w:t>
      </w:r>
    </w:p>
    <w:p>
      <w:pPr>
        <w:spacing w:after="160" w:line="300"/>
        <w:jc w:val="both"/>
      </w:pPr>
      <w:r>
        <w:rPr>
          <w:rFonts w:ascii="Calibri" w:cs="Calibri" w:eastAsia="Calibri" w:hAnsi="Calibri"/>
          <w:color w:val="222222"/>
          <w:sz w:val="22"/>
          <w:szCs w:val="22"/>
        </w:rPr>
        <w:t xml:space="preserve">Estrogen berperan sentral dalam menjaga keseimbangan remodeling tulang dengan menekan aktivitas osteoklas dan mendukung fungsi osteoblas. Setelah menopause, penurunan tajam kadar estrogen menghilangkan efek supresif terhadap resorpsi tulang, sehingga aktivitas osteoklas meningkat relatif terhadap pembentukan tulang oleh osteoblas, menghasilkan kehilangan massa tulang yang terakselerasi terutama pada 5–10 tahun pertama pascamenopause.</w:t>
      </w:r>
    </w:p>
    <w:p>
      <w:pPr>
        <w:spacing w:after="160" w:line="300"/>
        <w:jc w:val="both"/>
      </w:pPr>
      <w:r>
        <w:rPr>
          <w:rFonts w:ascii="Calibri" w:cs="Calibri" w:eastAsia="Calibri" w:hAnsi="Calibri"/>
          <w:color w:val="222222"/>
          <w:sz w:val="22"/>
          <w:szCs w:val="22"/>
        </w:rPr>
        <w:t xml:space="preserve">Kehilangan massa tulang paling cepat terjadi pada tulang trabekular (misalnya vertebra dan pergelangan tangan) dibandingkan tulang kortikal, menjelaskan mengapa fraktur kompresi vertebra dan fraktur pergelangan tangan distal sering menjadi manifestasi awal osteoporosis pascamenopause, sebelum fraktur panggul yang umumnya muncul pada usia lebih lanjut.</w:t>
      </w:r>
    </w:p>
    <w:p>
      <w:pPr>
        <w:spacing w:after="160" w:line="300"/>
        <w:jc w:val="both"/>
      </w:pPr>
      <w:r>
        <w:rPr>
          <w:rFonts w:ascii="Calibri" w:cs="Calibri" w:eastAsia="Calibri" w:hAnsi="Calibri"/>
          <w:color w:val="222222"/>
          <w:sz w:val="22"/>
          <w:szCs w:val="22"/>
        </w:rPr>
        <w:t xml:space="preserve">Faktor risiko tambahan yang memperberat kehilangan massa tulang meliputi indeks massa tubuh rendah, riwayat merokok, konsumsi alkohol berlebihan, asupan kalsium dan vitamin D yang tidak adekuat, riwayat penggunaan glukokortikoid jangka panjang, riwayat keluarga fraktur osteoporosis, serta kondisi endokrin lain seperti hipertiroidisme yang tidak terkontrol.</w:t>
      </w:r>
    </w:p>
    <w:p>
      <w:pPr>
        <w:spacing w:after="160" w:line="300"/>
        <w:jc w:val="both"/>
      </w:pPr>
      <w:r>
        <w:rPr>
          <w:rFonts w:ascii="Calibri" w:cs="Calibri" w:eastAsia="Calibri" w:hAnsi="Calibri"/>
          <w:color w:val="222222"/>
          <w:sz w:val="22"/>
          <w:szCs w:val="22"/>
        </w:rPr>
        <w:t xml:space="preserve">Pemahaman mengenai perjalanan alami kehilangan massa tulang ini menjadi dasar penentuan waktu skrining yang tepat, karena intervensi dini pada fase kehilangan tulang tercepat berpotensi memberikan manfaat pencegahan fraktur yang lebih besar dibandingkan intervensi yang tertunda hingga osteoporosis atau fraktur telah terjadi.</w:t>
      </w:r>
    </w:p>
    <w:p>
      <w:pPr>
        <w:pStyle w:val="Heading2"/>
        <w:spacing w:after="160" w:before="300"/>
      </w:pPr>
      <w:r>
        <w:rPr>
          <w:rFonts w:ascii="Calibri" w:cs="Calibri" w:eastAsia="Calibri" w:hAnsi="Calibri"/>
          <w:b/>
          <w:bCs/>
          <w:color w:val="7A1F3D"/>
          <w:sz w:val="26"/>
          <w:szCs w:val="26"/>
        </w:rPr>
        <w:t xml:space="preserve">2.2 Indikasi Skrining Densitometri Tulang (DXA)</w:t>
      </w:r>
    </w:p>
    <w:p>
      <w:pPr>
        <w:spacing w:after="160" w:line="300"/>
        <w:jc w:val="both"/>
      </w:pPr>
      <w:r>
        <w:rPr>
          <w:rFonts w:ascii="Calibri" w:cs="Calibri" w:eastAsia="Calibri" w:hAnsi="Calibri"/>
          <w:color w:val="222222"/>
          <w:sz w:val="22"/>
          <w:szCs w:val="22"/>
        </w:rPr>
        <w:t xml:space="preserve">Dual-energy X-ray Absorptiometry (DXA) merupakan baku emas pemeriksaan densitas mineral tulang untuk diagnosis osteoporosis dan penilaian risiko fraktur. Hasil pemeriksaan dinyatakan dalam skor-T (T-score) yang membandingkan densitas tulang pasien dengan populasi dewasa muda sehat, dengan kategori normal (T-score ≥ -1,0), osteopenia (T-score antara -1,0 dan -2,5), dan osteoporosis (T-score ≤ -2,5).</w:t>
      </w:r>
    </w:p>
    <w:p>
      <w:pPr>
        <w:spacing w:after="160" w:line="300"/>
        <w:jc w:val="both"/>
      </w:pPr>
      <w:r>
        <w:rPr>
          <w:rFonts w:ascii="Calibri" w:cs="Calibri" w:eastAsia="Calibri" w:hAnsi="Calibri"/>
          <w:color w:val="222222"/>
          <w:sz w:val="22"/>
          <w:szCs w:val="22"/>
        </w:rPr>
        <w:t xml:space="preserve">Rekomendasi umum menyarankan skrining DXA rutin dimulai pada perempuan berusia 65 tahun ke atas, namun skrining dilakukan lebih awal pada perempuan pascamenopause di bawah usia tersebut apabila terdapat faktor risiko tambahan, seperti indeks massa tubuh rendah, riwayat fraktur fragilitas sebelumnya, riwayat keluarga fraktur panggul, penggunaan glukokortikoid jangka panjang, merokok aktif, atau kondisi medis yang berkaitan dengan kehilangan tulang sekunder.</w:t>
      </w:r>
    </w:p>
    <w:p>
      <w:pPr>
        <w:spacing w:after="160" w:line="300"/>
        <w:jc w:val="both"/>
      </w:pPr>
      <w:r>
        <w:rPr>
          <w:rFonts w:ascii="Calibri" w:cs="Calibri" w:eastAsia="Calibri" w:hAnsi="Calibri"/>
          <w:color w:val="222222"/>
          <w:sz w:val="22"/>
          <w:szCs w:val="22"/>
        </w:rPr>
        <w:t xml:space="preserve">Pada perempuan dengan menopause dini atau insufisiensi ovarium prematur, skrining DXA perlu dipertimbangkan lebih awal dari usia rata-rata mengingat durasi paparan defisiensi estrogen yang lebih panjang, sehingga risiko kumulatif kehilangan massa tulang lebih besar apabila tidak mendapatkan proteksi hormonal yang adekuat.</w:t>
      </w:r>
    </w:p>
    <w:p>
      <w:pPr>
        <w:spacing w:after="160" w:line="300"/>
        <w:jc w:val="both"/>
      </w:pPr>
      <w:r>
        <w:rPr>
          <w:rFonts w:ascii="Calibri" w:cs="Calibri" w:eastAsia="Calibri" w:hAnsi="Calibri"/>
          <w:color w:val="222222"/>
          <w:sz w:val="22"/>
          <w:szCs w:val="22"/>
        </w:rPr>
        <w:t xml:space="preserve">Interpretasi hasil DXA harus selalu dikombinasikan dengan penilaian klinis menyeluruh, bukan sebagai angka tunggal yang berdiri sendiri, karena keputusan tata laksana mempertimbangkan pula riwayat fraktur, faktor risiko klinis lain, dan estimasi risiko fraktur 10 tahun menggunakan alat prediksi seperti FRAX, yang akan dibahas pada Subbab 2.4.</w:t>
      </w:r>
    </w:p>
    <w:p>
      <w:pPr>
        <w:pStyle w:val="Heading2"/>
        <w:spacing w:after="160" w:before="300"/>
      </w:pPr>
      <w:r>
        <w:rPr>
          <w:rFonts w:ascii="Calibri" w:cs="Calibri" w:eastAsia="Calibri" w:hAnsi="Calibri"/>
          <w:b/>
          <w:bCs/>
          <w:color w:val="7A1F3D"/>
          <w:sz w:val="26"/>
          <w:szCs w:val="26"/>
        </w:rPr>
        <w:t xml:space="preserve">2.3 Perubahan Profil Lipid dan Risiko Kardiovaskular Pascamenopause</w:t>
      </w:r>
    </w:p>
    <w:p>
      <w:pPr>
        <w:spacing w:after="160" w:line="300"/>
        <w:jc w:val="both"/>
      </w:pPr>
      <w:r>
        <w:rPr>
          <w:rFonts w:ascii="Calibri" w:cs="Calibri" w:eastAsia="Calibri" w:hAnsi="Calibri"/>
          <w:color w:val="222222"/>
          <w:sz w:val="22"/>
          <w:szCs w:val="22"/>
        </w:rPr>
        <w:t xml:space="preserve">Estrogen endogen memiliki efek protektif kardiovaskular melalui berbagai mekanisme, termasuk peningkatan kadar high-density lipoprotein (HDL), penurunan low-density lipoprotein (LDL), efek vasodilatasi langsung pada endotel pembuluh darah, dan efek antioksidan. Hilangnya efek protektif ini pascamenopause berkontribusi terhadap peningkatan risiko penyakit kardiovaskular pada perempuan, yang mendekati dan pada akhirnya menyamai risiko laki-laki seusia pada dekade-dekade berikutnya.</w:t>
      </w:r>
    </w:p>
    <w:p>
      <w:pPr>
        <w:spacing w:after="160" w:line="300"/>
        <w:jc w:val="both"/>
      </w:pPr>
      <w:r>
        <w:rPr>
          <w:rFonts w:ascii="Calibri" w:cs="Calibri" w:eastAsia="Calibri" w:hAnsi="Calibri"/>
          <w:color w:val="222222"/>
          <w:sz w:val="22"/>
          <w:szCs w:val="22"/>
        </w:rPr>
        <w:t xml:space="preserve">Perubahan profil lipid pascamenopause umumnya ditandai peningkatan kadar kolesterol LDL total, penurunan atau perubahan komposisi partikel HDL yang kurang protektif, serta peningkatan trigliserida, yang bersama-sama berkontribusi terhadap percepatan proses aterosklerosis. Perubahan ini sering disertai redistribusi lemak tubuh ke arah pola sentral (android), yang berkaitan dengan resistensi insulin dan sindrom metabolik.</w:t>
      </w:r>
    </w:p>
    <w:p>
      <w:pPr>
        <w:spacing w:after="160" w:line="300"/>
        <w:jc w:val="both"/>
      </w:pPr>
      <w:r>
        <w:rPr>
          <w:rFonts w:ascii="Calibri" w:cs="Calibri" w:eastAsia="Calibri" w:hAnsi="Calibri"/>
          <w:color w:val="222222"/>
          <w:sz w:val="22"/>
          <w:szCs w:val="22"/>
        </w:rPr>
        <w:t xml:space="preserve">Evaluasi profil lipid puasa dianjurkan sebagai bagian dari penilaian risiko kardiovaskular rutin pada perempuan pascamenopause, idealnya dikombinasikan dengan penilaian tekanan darah, status glikemik, indeks massa tubuh, lingkar pinggang, dan riwayat merokok, untuk memperoleh gambaran risiko kardiovaskular menyeluruh dan bukan hanya berdasarkan satu parameter tunggal.</w:t>
      </w:r>
    </w:p>
    <w:p>
      <w:pPr>
        <w:spacing w:after="160" w:line="300"/>
        <w:jc w:val="both"/>
      </w:pPr>
      <w:r>
        <w:rPr>
          <w:rFonts w:ascii="Calibri" w:cs="Calibri" w:eastAsia="Calibri" w:hAnsi="Calibri"/>
          <w:color w:val="222222"/>
          <w:sz w:val="22"/>
          <w:szCs w:val="22"/>
        </w:rPr>
        <w:t xml:space="preserve">Penting ditekankan bahwa periode transisi menopause dini, khususnya dekade pertama pascamenopause, dipandang sebagai jendela kesempatan (window of opportunity) untuk intervensi kardiovaskular dan metabolik, karena efek kardioprotektif potensial dari terapi hormon menopause tampak lebih menguntungkan bila dimulai dekat dengan onset menopause dibandingkan bila dimulai bertahun-tahun setelahnya, sebagaimana akan dibahas lebih lanjut pada Bab 3.</w:t>
      </w:r>
    </w:p>
    <w:p>
      <w:pPr>
        <w:pStyle w:val="Heading2"/>
        <w:spacing w:after="160" w:before="300"/>
      </w:pPr>
      <w:r>
        <w:rPr>
          <w:rFonts w:ascii="Calibri" w:cs="Calibri" w:eastAsia="Calibri" w:hAnsi="Calibri"/>
          <w:b/>
          <w:bCs/>
          <w:color w:val="7A1F3D"/>
          <w:sz w:val="26"/>
          <w:szCs w:val="26"/>
        </w:rPr>
        <w:t xml:space="preserve">2.4 Alat Prediksi Risiko Fraktur dan Kardiovaskular</w:t>
      </w:r>
    </w:p>
    <w:p>
      <w:pPr>
        <w:spacing w:after="160" w:line="300"/>
        <w:jc w:val="both"/>
      </w:pPr>
      <w:r>
        <w:rPr>
          <w:rFonts w:ascii="Calibri" w:cs="Calibri" w:eastAsia="Calibri" w:hAnsi="Calibri"/>
          <w:color w:val="222222"/>
          <w:sz w:val="22"/>
          <w:szCs w:val="22"/>
        </w:rPr>
        <w:t xml:space="preserve">FRAX (Fracture Risk Assessment Tool) adalah kalkulator risiko yang dikembangkan untuk mengestimasi probabilitas 10 tahun terjadinya fraktur osteoporosis mayor dan fraktur panggul, dengan mempertimbangkan usia, indeks massa tubuh, riwayat fraktur sebelumnya, riwayat fraktur panggul orang tua, merokok aktif, penggunaan glukokortikoid, artritis reumatoid, penyebab osteoporosis sekunder, konsumsi alkohol, dan hasil T-score DXA bila tersedia.</w:t>
      </w:r>
    </w:p>
    <w:p>
      <w:pPr>
        <w:spacing w:after="160" w:line="300"/>
        <w:jc w:val="both"/>
      </w:pPr>
      <w:r>
        <w:rPr>
          <w:rFonts w:ascii="Calibri" w:cs="Calibri" w:eastAsia="Calibri" w:hAnsi="Calibri"/>
          <w:color w:val="222222"/>
          <w:sz w:val="22"/>
          <w:szCs w:val="22"/>
        </w:rPr>
        <w:t xml:space="preserve">Penggunaan FRAX membantu klinisi mengidentifikasi perempuan pascamenopause dengan osteopenia yang sebenarnya memiliki risiko fraktur cukup tinggi untuk dipertimbangkan terapi farmakologis, meskipun T-score belum mencapai ambang osteoporosis, sehingga keputusan terapi tidak semata bergantung pada angka T-score tunggal melainkan pada estimasi risiko absolut yang lebih komprehensif.</w:t>
      </w:r>
    </w:p>
    <w:p>
      <w:pPr>
        <w:spacing w:after="160" w:line="300"/>
        <w:jc w:val="both"/>
      </w:pPr>
      <w:r>
        <w:rPr>
          <w:rFonts w:ascii="Calibri" w:cs="Calibri" w:eastAsia="Calibri" w:hAnsi="Calibri"/>
          <w:color w:val="222222"/>
          <w:sz w:val="22"/>
          <w:szCs w:val="22"/>
        </w:rPr>
        <w:t xml:space="preserve">Untuk penilaian risiko kardiovaskular, alat prediksi risiko kardiovaskular berbasis populasi (misalnya kalkulator risiko kardiovaskular aterosklerotik 10 tahun) dapat digunakan sebagai kerangka pendukung keputusan klinis, meskipun kalibrasi alat-alat ini pada populasi Indonesia masih perlu kehati-hatian interpretasi mengingat sebagian besar dikembangkan pada populasi Barat.</w:t>
      </w:r>
    </w:p>
    <w:p>
      <w:pPr>
        <w:spacing w:after="160" w:line="300"/>
        <w:jc w:val="both"/>
      </w:pPr>
      <w:r>
        <w:rPr>
          <w:rFonts w:ascii="Calibri" w:cs="Calibri" w:eastAsia="Calibri" w:hAnsi="Calibri"/>
          <w:color w:val="222222"/>
          <w:sz w:val="22"/>
          <w:szCs w:val="22"/>
        </w:rPr>
        <w:t xml:space="preserve">Kotak berikut merangkum kerangka praktis penilaian risiko terintegrasi (tulang dan kardiovaskular) yang dapat digunakan sebagai algoritma alur kerja klinis pascamenopause.</w:t>
      </w:r>
    </w:p>
    <w:p>
      <w:pPr>
        <w:spacing w:after="100"/>
      </w:pPr>
    </w:p>
    <w:tbl>
      <w:tblPr>
        <w:tblW w:type="dxa" w:w="9350"/>
        <w:tblBorders>
          <w:top w:val="single" w:color="CCCCCC" w:sz="4"/>
          <w:left w:val="single" w:color="CCCCCC" w:sz="4"/>
          <w:bottom w:val="single" w:color="CCCCCC" w:sz="4"/>
          <w:right w:val="single" w:color="CCCCCC" w:sz="4"/>
          <w:insideH w:val="none"/>
          <w:insideV w:val="none"/>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2"/>
                <w:szCs w:val="22"/>
              </w:rPr>
              <w:t xml:space="preserve">Alur Penilaian Risiko Terintegrasi Pascamenopause</w:t>
            </w:r>
          </w:p>
        </w:tc>
      </w:tr>
      <w:tr>
        <w:tc>
          <w:tcPr>
            <w:shd w:fill="F2F2F2" w:val="clear"/>
            <w:tcMar>
              <w:top w:type="dxa" w:w="120"/>
              <w:left w:type="dxa" w:w="250"/>
              <w:bottom w:type="dxa" w:w="120"/>
              <w:right w:type="dxa" w:w="150"/>
            </w:tcMar>
          </w:tcPr>
          <w:p>
            <w:r>
              <w:rPr>
                <w:rFonts w:ascii="Calibri" w:cs="Calibri" w:eastAsia="Calibri" w:hAnsi="Calibri"/>
                <w:b/>
                <w:bCs/>
                <w:color w:val="7A1F3D"/>
                <w:sz w:val="21"/>
                <w:szCs w:val="21"/>
              </w:rPr>
              <w:t xml:space="preserve">1.  </w:t>
            </w:r>
            <w:r>
              <w:rPr>
                <w:rFonts w:ascii="Calibri" w:cs="Calibri" w:eastAsia="Calibri" w:hAnsi="Calibri"/>
                <w:color w:val="222222"/>
                <w:sz w:val="21"/>
                <w:szCs w:val="21"/>
              </w:rPr>
              <w:t xml:space="preserve">Kunjungan pascamenopause: anamnesis faktor risiko tulang &amp; kardiovaskular</w:t>
            </w:r>
          </w:p>
        </w:tc>
      </w:tr>
      <w:tr>
        <w:tc>
          <w:tcPr>
            <w:shd w:fill="FFFFFF" w:val="clear"/>
            <w:tcMar>
              <w:top w:type="dxa" w:w="0"/>
              <w:left w:type="dxa" w:w="250"/>
              <w:bottom w:type="dxa" w:w="0"/>
              <w:right w:type="dxa" w:w="150"/>
            </w:tcMar>
          </w:tcPr>
          <w:p>
            <w:pPr>
              <w:jc w:val="left"/>
            </w:pPr>
            <w:r>
              <w:rPr>
                <w:rFonts w:ascii="Calibri" w:cs="Calibri" w:eastAsia="Calibri" w:hAnsi="Calibri"/>
                <w:b/>
                <w:bCs/>
                <w:color w:val="7A1F3D"/>
                <w:sz w:val="24"/>
                <w:szCs w:val="24"/>
              </w:rPr>
              <w:t xml:space="preserve">↓</w:t>
            </w:r>
          </w:p>
        </w:tc>
      </w:tr>
      <w:tr>
        <w:tc>
          <w:tcPr>
            <w:shd w:fill="FFFFFF" w:val="clear"/>
            <w:tcMar>
              <w:top w:type="dxa" w:w="120"/>
              <w:left w:type="dxa" w:w="250"/>
              <w:bottom w:type="dxa" w:w="120"/>
              <w:right w:type="dxa" w:w="150"/>
            </w:tcMar>
          </w:tcPr>
          <w:p>
            <w:r>
              <w:rPr>
                <w:rFonts w:ascii="Calibri" w:cs="Calibri" w:eastAsia="Calibri" w:hAnsi="Calibri"/>
                <w:b/>
                <w:bCs/>
                <w:color w:val="7A1F3D"/>
                <w:sz w:val="21"/>
                <w:szCs w:val="21"/>
              </w:rPr>
              <w:t xml:space="preserve">2.  </w:t>
            </w:r>
            <w:r>
              <w:rPr>
                <w:rFonts w:ascii="Calibri" w:cs="Calibri" w:eastAsia="Calibri" w:hAnsi="Calibri"/>
                <w:color w:val="222222"/>
                <w:sz w:val="21"/>
                <w:szCs w:val="21"/>
              </w:rPr>
              <w:t xml:space="preserve">Pemeriksaan fisik: IMT, lingkar pinggang, tekanan darah</w:t>
            </w:r>
          </w:p>
        </w:tc>
      </w:tr>
      <w:tr>
        <w:tc>
          <w:tcPr>
            <w:shd w:fill="FFFFFF" w:val="clear"/>
            <w:tcMar>
              <w:top w:type="dxa" w:w="0"/>
              <w:left w:type="dxa" w:w="250"/>
              <w:bottom w:type="dxa" w:w="0"/>
              <w:right w:type="dxa" w:w="150"/>
            </w:tcMar>
          </w:tcPr>
          <w:p>
            <w:pPr>
              <w:jc w:val="left"/>
            </w:pPr>
            <w:r>
              <w:rPr>
                <w:rFonts w:ascii="Calibri" w:cs="Calibri" w:eastAsia="Calibri" w:hAnsi="Calibri"/>
                <w:b/>
                <w:bCs/>
                <w:color w:val="7A1F3D"/>
                <w:sz w:val="24"/>
                <w:szCs w:val="24"/>
              </w:rPr>
              <w:t xml:space="preserve">↓</w:t>
            </w:r>
          </w:p>
        </w:tc>
      </w:tr>
      <w:tr>
        <w:tc>
          <w:tcPr>
            <w:shd w:fill="F2F2F2" w:val="clear"/>
            <w:tcMar>
              <w:top w:type="dxa" w:w="120"/>
              <w:left w:type="dxa" w:w="250"/>
              <w:bottom w:type="dxa" w:w="120"/>
              <w:right w:type="dxa" w:w="150"/>
            </w:tcMar>
          </w:tcPr>
          <w:p>
            <w:r>
              <w:rPr>
                <w:rFonts w:ascii="Calibri" w:cs="Calibri" w:eastAsia="Calibri" w:hAnsi="Calibri"/>
                <w:b/>
                <w:bCs/>
                <w:color w:val="7A1F3D"/>
                <w:sz w:val="21"/>
                <w:szCs w:val="21"/>
              </w:rPr>
              <w:t xml:space="preserve">3.  </w:t>
            </w:r>
            <w:r>
              <w:rPr>
                <w:rFonts w:ascii="Calibri" w:cs="Calibri" w:eastAsia="Calibri" w:hAnsi="Calibri"/>
                <w:color w:val="222222"/>
                <w:sz w:val="21"/>
                <w:szCs w:val="21"/>
              </w:rPr>
              <w:t xml:space="preserve">Profil lipid puasa &amp; status glikemik</w:t>
            </w:r>
          </w:p>
        </w:tc>
      </w:tr>
      <w:tr>
        <w:tc>
          <w:tcPr>
            <w:shd w:fill="FFFFFF" w:val="clear"/>
            <w:tcMar>
              <w:top w:type="dxa" w:w="0"/>
              <w:left w:type="dxa" w:w="250"/>
              <w:bottom w:type="dxa" w:w="0"/>
              <w:right w:type="dxa" w:w="150"/>
            </w:tcMar>
          </w:tcPr>
          <w:p>
            <w:pPr>
              <w:jc w:val="left"/>
            </w:pPr>
            <w:r>
              <w:rPr>
                <w:rFonts w:ascii="Calibri" w:cs="Calibri" w:eastAsia="Calibri" w:hAnsi="Calibri"/>
                <w:b/>
                <w:bCs/>
                <w:color w:val="7A1F3D"/>
                <w:sz w:val="24"/>
                <w:szCs w:val="24"/>
              </w:rPr>
              <w:t xml:space="preserve">↓</w:t>
            </w:r>
          </w:p>
        </w:tc>
      </w:tr>
      <w:tr>
        <w:tc>
          <w:tcPr>
            <w:shd w:fill="FFFFFF" w:val="clear"/>
            <w:tcMar>
              <w:top w:type="dxa" w:w="120"/>
              <w:left w:type="dxa" w:w="250"/>
              <w:bottom w:type="dxa" w:w="120"/>
              <w:right w:type="dxa" w:w="150"/>
            </w:tcMar>
          </w:tcPr>
          <w:p>
            <w:r>
              <w:rPr>
                <w:rFonts w:ascii="Calibri" w:cs="Calibri" w:eastAsia="Calibri" w:hAnsi="Calibri"/>
                <w:b/>
                <w:bCs/>
                <w:color w:val="7A1F3D"/>
                <w:sz w:val="21"/>
                <w:szCs w:val="21"/>
              </w:rPr>
              <w:t xml:space="preserve">4.  </w:t>
            </w:r>
            <w:r>
              <w:rPr>
                <w:rFonts w:ascii="Calibri" w:cs="Calibri" w:eastAsia="Calibri" w:hAnsi="Calibri"/>
                <w:color w:val="222222"/>
                <w:sz w:val="21"/>
                <w:szCs w:val="21"/>
              </w:rPr>
              <w:t xml:space="preserve">DXA bila usia ≥65 tahun atau faktor risiko tambahan</w:t>
            </w:r>
          </w:p>
        </w:tc>
      </w:tr>
      <w:tr>
        <w:tc>
          <w:tcPr>
            <w:shd w:fill="FFFFFF" w:val="clear"/>
            <w:tcMar>
              <w:top w:type="dxa" w:w="0"/>
              <w:left w:type="dxa" w:w="250"/>
              <w:bottom w:type="dxa" w:w="0"/>
              <w:right w:type="dxa" w:w="150"/>
            </w:tcMar>
          </w:tcPr>
          <w:p>
            <w:pPr>
              <w:jc w:val="left"/>
            </w:pPr>
            <w:r>
              <w:rPr>
                <w:rFonts w:ascii="Calibri" w:cs="Calibri" w:eastAsia="Calibri" w:hAnsi="Calibri"/>
                <w:b/>
                <w:bCs/>
                <w:color w:val="7A1F3D"/>
                <w:sz w:val="24"/>
                <w:szCs w:val="24"/>
              </w:rPr>
              <w:t xml:space="preserve">↓</w:t>
            </w:r>
          </w:p>
        </w:tc>
      </w:tr>
      <w:tr>
        <w:tc>
          <w:tcPr>
            <w:shd w:fill="F2F2F2" w:val="clear"/>
            <w:tcMar>
              <w:top w:type="dxa" w:w="120"/>
              <w:left w:type="dxa" w:w="250"/>
              <w:bottom w:type="dxa" w:w="120"/>
              <w:right w:type="dxa" w:w="150"/>
            </w:tcMar>
          </w:tcPr>
          <w:p>
            <w:r>
              <w:rPr>
                <w:rFonts w:ascii="Calibri" w:cs="Calibri" w:eastAsia="Calibri" w:hAnsi="Calibri"/>
                <w:b/>
                <w:bCs/>
                <w:color w:val="7A1F3D"/>
                <w:sz w:val="21"/>
                <w:szCs w:val="21"/>
              </w:rPr>
              <w:t xml:space="preserve">5.  </w:t>
            </w:r>
            <w:r>
              <w:rPr>
                <w:rFonts w:ascii="Calibri" w:cs="Calibri" w:eastAsia="Calibri" w:hAnsi="Calibri"/>
                <w:color w:val="222222"/>
                <w:sz w:val="21"/>
                <w:szCs w:val="21"/>
              </w:rPr>
              <w:t xml:space="preserve">Estimasi risiko dengan FRAX / kalkulator kardiovaskular</w:t>
            </w:r>
          </w:p>
        </w:tc>
      </w:tr>
      <w:tr>
        <w:tc>
          <w:tcPr>
            <w:shd w:fill="FFFFFF" w:val="clear"/>
            <w:tcMar>
              <w:top w:type="dxa" w:w="0"/>
              <w:left w:type="dxa" w:w="250"/>
              <w:bottom w:type="dxa" w:w="0"/>
              <w:right w:type="dxa" w:w="150"/>
            </w:tcMar>
          </w:tcPr>
          <w:p>
            <w:pPr>
              <w:jc w:val="left"/>
            </w:pPr>
            <w:r>
              <w:rPr>
                <w:rFonts w:ascii="Calibri" w:cs="Calibri" w:eastAsia="Calibri" w:hAnsi="Calibri"/>
                <w:b/>
                <w:bCs/>
                <w:color w:val="7A1F3D"/>
                <w:sz w:val="24"/>
                <w:szCs w:val="24"/>
              </w:rPr>
              <w:t xml:space="preserve">↓</w:t>
            </w:r>
          </w:p>
        </w:tc>
      </w:tr>
      <w:tr>
        <w:tc>
          <w:tcPr>
            <w:shd w:fill="FFFFFF" w:val="clear"/>
            <w:tcMar>
              <w:top w:type="dxa" w:w="120"/>
              <w:left w:type="dxa" w:w="250"/>
              <w:bottom w:type="dxa" w:w="120"/>
              <w:right w:type="dxa" w:w="150"/>
            </w:tcMar>
          </w:tcPr>
          <w:p>
            <w:r>
              <w:rPr>
                <w:rFonts w:ascii="Calibri" w:cs="Calibri" w:eastAsia="Calibri" w:hAnsi="Calibri"/>
                <w:b/>
                <w:bCs/>
                <w:color w:val="7A1F3D"/>
                <w:sz w:val="21"/>
                <w:szCs w:val="21"/>
              </w:rPr>
              <w:t xml:space="preserve">6.  </w:t>
            </w:r>
            <w:r>
              <w:rPr>
                <w:rFonts w:ascii="Calibri" w:cs="Calibri" w:eastAsia="Calibri" w:hAnsi="Calibri"/>
                <w:color w:val="222222"/>
                <w:sz w:val="21"/>
                <w:szCs w:val="21"/>
              </w:rPr>
              <w:t xml:space="preserve">Stratifikasi risiko &amp; rencana tata laksana individual</w:t>
            </w:r>
          </w:p>
        </w:tc>
      </w:tr>
    </w:tbl>
    <w:p>
      <w:pPr>
        <w:spacing w:after="200"/>
      </w:pPr>
    </w:p>
    <w:p>
      <w:pPr>
        <w:spacing w:after="120" w:before="200"/>
      </w:pPr>
      <w:r>
        <w:rPr>
          <w:rFonts w:ascii="Calibri" w:cs="Calibri" w:eastAsia="Calibri" w:hAnsi="Calibri"/>
          <w:b/>
          <w:bCs/>
          <w:i/>
          <w:iCs/>
          <w:color w:val="555555"/>
          <w:sz w:val="21"/>
          <w:szCs w:val="21"/>
        </w:rPr>
        <w:t xml:space="preserve">Tabel 2.1 Indikasi Skrining DXA pada Perempuan Pascamenopause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Kriteria</w:t>
            </w:r>
          </w:p>
        </w:tc>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Keterangan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Usia</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 65 tahun (skrining rutin)</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Usia &lt; 65 tahun + faktor risiko</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IMT rendah, riwayat fraktur fragilitas, riwayat keluarga fraktur panggul</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Penggunaan glukokortikoid jangka panjang</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Pertimbangkan skrining lebih awal</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Menopause dini / insufisiensi ovarium prematur</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Pertimbangkan skrining lebih awal dari usia rata-rata</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Kondisi sekunder penyebab kehilangan tulang</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Hipertiroidisme tidak terkontrol, gangguan malabsorpsi, dll.</w:t>
            </w:r>
          </w:p>
        </w:tc>
      </w:tr>
    </w:tbl>
    <w:p>
      <w:pPr>
        <w:spacing w:after="200"/>
      </w:pP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Poin Kunci</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Kehilangan massa tulang terakselerasi terutama pada 5–10 tahun pertama pascamenopause akibat hilangnya efek supresif estrogen terhadap resorpsi tulang.</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DXA adalah baku emas diagnosis osteoporosis; skrining rutin dianjurkan mulai usia 65 tahun atau lebih awal bila terdapat faktor risiko tambahan.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Perempuan dengan menopause dini memerlukan pertimbangan skrining tulang lebih awal karena durasi paparan defisiensi estrogen yang lebih panjang.</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Hilangnya efek protektif kardiovaskular estrogen pascamenopause berkontribusi terhadap perubahan profil lipid dan percepatan aterosklerosis.</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FRAX membantu mengestimasi risiko fraktur absolut 10 tahun dan mendukung keputusan terapi pada osteopenia dengan risiko tinggi.</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Dekade pertama pascamenopause dipandang sebagai jendela kesempatan untuk intervensi kardiovaskular dan metabolik.</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Penilaian risiko idealnya terintegrasi: tulang, lipid, glikemik, tekanan darah, dan indeks antropometri dinilai bersamaan, bukan terpisah.</w:t>
            </w:r>
          </w:p>
        </w:tc>
      </w:tr>
    </w:tbl>
    <w:p>
      <w:pPr>
        <w:spacing w:after="200"/>
      </w:pPr>
    </w:p>
    <w:p>
      <w:pPr>
        <w:spacing w:after="120" w:before="300"/>
      </w:pPr>
      <w:r>
        <w:rPr>
          <w:rFonts w:ascii="Calibri" w:cs="Calibri" w:eastAsia="Calibri" w:hAnsi="Calibri"/>
          <w:b/>
          <w:bCs/>
          <w:color w:val="7A1F3D"/>
          <w:sz w:val="23"/>
          <w:szCs w:val="23"/>
        </w:rPr>
        <w:t xml:space="preserve">Referensi</w:t>
      </w:r>
    </w:p>
    <w:p>
      <w:pPr>
        <w:spacing w:after="80"/>
        <w:ind w:left="360" w:hanging="360"/>
      </w:pPr>
      <w:r>
        <w:rPr>
          <w:rFonts w:ascii="Calibri" w:cs="Calibri" w:eastAsia="Calibri" w:hAnsi="Calibri"/>
          <w:color w:val="444444"/>
          <w:sz w:val="19"/>
          <w:szCs w:val="19"/>
        </w:rPr>
        <w:t xml:space="preserve">1. Cunningham FG, Leveno KJ, Dashe JS, Hoffman BL, Spong CY, Casey BM, editors. Williams Obstetrics. 26th ed. New York: McGraw Hill; 2022.</w:t>
      </w:r>
    </w:p>
    <w:p>
      <w:pPr>
        <w:spacing w:after="80"/>
        <w:ind w:left="360" w:hanging="360"/>
      </w:pPr>
      <w:r>
        <w:rPr>
          <w:rFonts w:ascii="Calibri" w:cs="Calibri" w:eastAsia="Calibri" w:hAnsi="Calibri"/>
          <w:color w:val="444444"/>
          <w:sz w:val="19"/>
          <w:szCs w:val="19"/>
        </w:rPr>
        <w:t xml:space="preserve">2. Berek JS, editor. Berek &amp; Novak's Gynecology. 17th ed. Philadelphia: Wolters Kluwer; 2026.</w:t>
      </w:r>
    </w:p>
    <w:p>
      <w:pPr>
        <w:spacing w:after="80"/>
        <w:ind w:left="360" w:hanging="360"/>
      </w:pPr>
      <w:r>
        <w:rPr>
          <w:rFonts w:ascii="Calibri" w:cs="Calibri" w:eastAsia="Calibri" w:hAnsi="Calibri"/>
          <w:color w:val="444444"/>
          <w:sz w:val="19"/>
          <w:szCs w:val="19"/>
        </w:rPr>
        <w:t xml:space="preserve">3. Kanis JA, on behalf of the WHO Collaborating Centre for Metabolic Bone Diseases, University of Sheffield. FRAX Fracture Risk Assessment Tool [Internet]. Sheffield: University of Sheffield. Tersedia di: https://www.sheffield.ac.uk/FRAX/</w:t>
      </w:r>
    </w:p>
    <w:p>
      <w:pPr>
        <w:spacing w:after="80"/>
        <w:ind w:left="360" w:hanging="360"/>
      </w:pPr>
      <w:r>
        <w:rPr>
          <w:rFonts w:ascii="Calibri" w:cs="Calibri" w:eastAsia="Calibri" w:hAnsi="Calibri"/>
          <w:color w:val="444444"/>
          <w:sz w:val="19"/>
          <w:szCs w:val="19"/>
        </w:rPr>
        <w:t xml:space="preserve">4. "The 2022 Hormone Therapy Position Statement of The North American Menopause Society" Advisory Panel. The 2022 hormone therapy position statement of The North American Menopause Society. Menopause. 2022;29(7):767-794.</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BAB 3. TERAPI FARMAKOLOGIS (HRT DAN NON-HRT) DAN NON-FARMAKOLOGIS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Tujuan Pembelajaran Bab</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indikasi dan kontraindikasi terapi hormon menopause (HRT) mengacu posisi The Menopause Society terbaru.</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pilihan regimen dan jalur pemberian HRT sesuai profil risiko pasien.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pilihan terapi non-hormonal untuk gejala vasomotor dan GSM.</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pendekatan non-farmakologis dan modifikasi gaya hidup sebagai bagian tata laksana menopause.</w:t>
            </w:r>
          </w:p>
        </w:tc>
      </w:tr>
    </w:tbl>
    <w:p>
      <w:pPr>
        <w:spacing w:after="200"/>
      </w:pPr>
    </w:p>
    <w:p>
      <w:pPr>
        <w:pStyle w:val="Heading2"/>
        <w:spacing w:after="160" w:before="300"/>
      </w:pPr>
      <w:r>
        <w:rPr>
          <w:rFonts w:ascii="Calibri" w:cs="Calibri" w:eastAsia="Calibri" w:hAnsi="Calibri"/>
          <w:b/>
          <w:bCs/>
          <w:color w:val="7A1F3D"/>
          <w:sz w:val="26"/>
          <w:szCs w:val="26"/>
        </w:rPr>
        <w:t xml:space="preserve">3.1 Indikasi dan Kontraindikasi Terapi Hormon Menopause (HRT)</w:t>
      </w:r>
    </w:p>
    <w:p>
      <w:pPr>
        <w:spacing w:after="160" w:line="300"/>
        <w:jc w:val="both"/>
      </w:pPr>
      <w:r>
        <w:rPr>
          <w:rFonts w:ascii="Calibri" w:cs="Calibri" w:eastAsia="Calibri" w:hAnsi="Calibri"/>
          <w:color w:val="222222"/>
          <w:sz w:val="22"/>
          <w:szCs w:val="22"/>
        </w:rPr>
        <w:t xml:space="preserve">Terapi hormon menopause (HRT) merupakan terapi paling efektif untuk gejala vasomotor sedang hingga berat serta genitourinary syndrome of menopause, dan telah terbukti mencegah kehilangan massa tulang. Posisi terkini The North American Menopause Society (kini bernama The Menopause Society) tahun 2022 menegaskan bahwa untuk perempuan sehat berusia di bawah 60 tahun atau dalam 10 tahun sejak onset menopause tanpa kontraindikasi, rasio manfaat terhadap risiko HRT umumnya menguntungkan untuk tata laksana gejala vasomotor yang mengganggu dan pencegahan kehilangan tulang, sejalan dengan konsep "jendela kesempatan" (timing hypothesis) yang telah disinggung pada Bab 2.</w:t>
      </w:r>
    </w:p>
    <w:p>
      <w:pPr>
        <w:spacing w:after="160" w:line="300"/>
        <w:jc w:val="both"/>
      </w:pPr>
      <w:r>
        <w:rPr>
          <w:rFonts w:ascii="Calibri" w:cs="Calibri" w:eastAsia="Calibri" w:hAnsi="Calibri"/>
          <w:color w:val="222222"/>
          <w:sz w:val="22"/>
          <w:szCs w:val="22"/>
        </w:rPr>
        <w:t xml:space="preserve">Indikasi tersebut perlu dibedakan secara tegas dari penggunaan HRT semata-mata untuk pencegahan primer penyakit kronis pada perempuan pascamenopause asimtomatik. United States Preventive Services Task Force (USPSTF) tahun 2022 secara eksplisit merekomendasikan menentang (rekomendasi kategori D) penggunaan estrogen-progestin kombinasi maupun estrogen tunggal untuk tujuan pencegahan primer penyakit kronis semata pada perempuan asimtomatik, mengingat risiko absolut yang melebihi manfaat pada populasi tersebut. Rekomendasi USPSTF ini tidak berlaku bagi perempuan yang menggunakan HRT untuk tata laksana gejala menopause bermakna atau bagi perempuan dengan menopause dini/insufisiensi ovarium prematur, sehingga klinisi perlu menjelaskan perbedaan konteks indikasi ini secara eksplisit kepada pasien.</w:t>
      </w:r>
    </w:p>
    <w:p>
      <w:pPr>
        <w:spacing w:after="160" w:line="300"/>
        <w:jc w:val="both"/>
      </w:pPr>
      <w:r>
        <w:rPr>
          <w:rFonts w:ascii="Calibri" w:cs="Calibri" w:eastAsia="Calibri" w:hAnsi="Calibri"/>
          <w:color w:val="222222"/>
          <w:sz w:val="22"/>
          <w:szCs w:val="22"/>
        </w:rPr>
        <w:t xml:space="preserve">Indikasi utama HRT meliputi gejala vasomotor yang mengganggu kualitas hidup, GSM yang tidak responsif terhadap terapi topikal lokal, serta pencegahan osteoporosis pada perempuan dengan risiko tinggi yang tidak dapat menggunakan terapi lini lain, terutama bila disertai gejala vasomotor yang juga memerlukan tata laksana. Pada perempuan dengan menopause dini atau insufisiensi ovarium prematur, HRT umumnya direkomendasikan hingga mencapai usia rata-rata menopause alami, kecuali terdapat kontraindikasi absolut, karena manfaat proteksi tulang, kardiovaskular, dan neurologis pada kelompok ini dipandang melampaui potensi risiko.</w:t>
      </w:r>
    </w:p>
    <w:p>
      <w:pPr>
        <w:spacing w:after="160" w:line="300"/>
        <w:jc w:val="both"/>
      </w:pPr>
      <w:r>
        <w:rPr>
          <w:rFonts w:ascii="Calibri" w:cs="Calibri" w:eastAsia="Calibri" w:hAnsi="Calibri"/>
          <w:color w:val="222222"/>
          <w:sz w:val="22"/>
          <w:szCs w:val="22"/>
        </w:rPr>
        <w:t xml:space="preserve">Kontraindikasi absolut HRT meliputi riwayat atau kecurigaan kanker payudara, kanker endometrium, perdarahan uterus yang belum dievaluasi penyebabnya, riwayat tromboemboli vena atau arteri yang belum terkontrol, penyakit hati aktif berat, serta kehamilan. Kontraindikasi relatif atau kondisi yang memerlukan pertimbangan individual meliputi riwayat migrain dengan aura, riwayat keluarga kanker payudara, hipertensi tidak terkontrol, dan riwayat penyakit kandung empedu.</w:t>
      </w:r>
    </w:p>
    <w:p>
      <w:pPr>
        <w:spacing w:after="160" w:line="300"/>
        <w:jc w:val="both"/>
      </w:pPr>
      <w:r>
        <w:rPr>
          <w:rFonts w:ascii="Calibri" w:cs="Calibri" w:eastAsia="Calibri" w:hAnsi="Calibri"/>
          <w:color w:val="222222"/>
          <w:sz w:val="22"/>
          <w:szCs w:val="22"/>
        </w:rPr>
        <w:t xml:space="preserve">Kotak berikut merangkum perbedaan penting antara posisi standar internasional dan konteks ketersediaan/regulasi di Indonesia yang perlu dipahami klinisi dalam memberikan konseling HRT kepada pasien.</w:t>
      </w:r>
    </w:p>
    <w:p>
      <w:pPr>
        <w:pStyle w:val="Heading2"/>
        <w:spacing w:after="160" w:before="300"/>
      </w:pPr>
      <w:r>
        <w:rPr>
          <w:rFonts w:ascii="Calibri" w:cs="Calibri" w:eastAsia="Calibri" w:hAnsi="Calibri"/>
          <w:b/>
          <w:bCs/>
          <w:color w:val="7A1F3D"/>
          <w:sz w:val="26"/>
          <w:szCs w:val="26"/>
        </w:rPr>
        <w:t xml:space="preserve">3.2 Regimen dan Jalur Pemberian HRT</w:t>
      </w:r>
    </w:p>
    <w:p>
      <w:pPr>
        <w:spacing w:after="160" w:line="300"/>
        <w:jc w:val="both"/>
      </w:pPr>
      <w:r>
        <w:rPr>
          <w:rFonts w:ascii="Calibri" w:cs="Calibri" w:eastAsia="Calibri" w:hAnsi="Calibri"/>
          <w:color w:val="222222"/>
          <w:sz w:val="22"/>
          <w:szCs w:val="22"/>
        </w:rPr>
        <w:t xml:space="preserve">Pemilihan regimen HRT bergantung pada status uterus pasien: perempuan dengan uterus utuh memerlukan kombinasi estrogen dan progestogen untuk melindungi endometrium dari risiko hiperplasia dan keganasan akibat stimulasi estrogen tanpa perlawanan (unopposed estrogen), sedangkan perempuan pascahisterektomi dapat menggunakan estrogen tunggal.</w:t>
      </w:r>
    </w:p>
    <w:p>
      <w:pPr>
        <w:spacing w:after="160" w:line="300"/>
        <w:jc w:val="both"/>
      </w:pPr>
      <w:r>
        <w:rPr>
          <w:rFonts w:ascii="Calibri" w:cs="Calibri" w:eastAsia="Calibri" w:hAnsi="Calibri"/>
          <w:color w:val="222222"/>
          <w:sz w:val="22"/>
          <w:szCs w:val="22"/>
        </w:rPr>
        <w:t xml:space="preserve">Regimen kombinasi dapat diberikan secara siklik (menghasilkan perdarahan withdrawal terjadwal) pada perempuan perimenopause yang masih menunjukkan aktivitas menstruasi, atau secara kontinu-kombinasi (bertujuan amenore) pada perempuan yang telah cukup lama pascamenopause, dengan pemilihan regimen mempertimbangkan preferensi pasien terhadap ada tidaknya perdarahan berkala.</w:t>
      </w:r>
    </w:p>
    <w:p>
      <w:pPr>
        <w:spacing w:after="160" w:line="300"/>
        <w:jc w:val="both"/>
      </w:pPr>
      <w:r>
        <w:rPr>
          <w:rFonts w:ascii="Calibri" w:cs="Calibri" w:eastAsia="Calibri" w:hAnsi="Calibri"/>
          <w:color w:val="222222"/>
          <w:sz w:val="22"/>
          <w:szCs w:val="22"/>
        </w:rPr>
        <w:t xml:space="preserve">Jalur pemberian estrogen meliputi oral, transdermal (patch, gel, spray), dan vagina (untuk GSM lokal). Jalur transdermal umumnya dikaitkan dengan risiko tromboemboli vena yang lebih rendah dibandingkan jalur oral karena menghindari efek lintas pertama hepatik (first-pass metabolism), sehingga menjadi pilihan yang dipertimbangkan lebih dulu pada perempuan dengan faktor risiko tromboemboli, obesitas, atau riwayat migrain dengan aura.</w:t>
      </w:r>
    </w:p>
    <w:p>
      <w:pPr>
        <w:spacing w:after="160" w:line="300"/>
        <w:jc w:val="both"/>
      </w:pPr>
      <w:r>
        <w:rPr>
          <w:rFonts w:ascii="Calibri" w:cs="Calibri" w:eastAsia="Calibri" w:hAnsi="Calibri"/>
          <w:color w:val="222222"/>
          <w:sz w:val="22"/>
          <w:szCs w:val="22"/>
        </w:rPr>
        <w:t xml:space="preserve">Terapi estrogen vagina dosis rendah merupakan lini pertama untuk GSM terisolasi tanpa gejala vasomotor sistemik, dan umumnya dianggap aman bahkan pada sebagian besar penyintas kanker payudara dengan konsultasi bersama onkologi, karena absorpsi sistemiknya minimal dibandingkan terapi hormon sistemik.</w:t>
      </w:r>
    </w:p>
    <w:p>
      <w:pPr>
        <w:spacing w:after="160" w:line="300"/>
        <w:jc w:val="both"/>
      </w:pPr>
      <w:r>
        <w:rPr>
          <w:rFonts w:ascii="Calibri" w:cs="Calibri" w:eastAsia="Calibri" w:hAnsi="Calibri"/>
          <w:color w:val="222222"/>
          <w:sz w:val="22"/>
          <w:szCs w:val="22"/>
        </w:rPr>
        <w:t xml:space="preserve">Dosis HRT idealnya dimulai dari dosis efektif terendah dan disesuaikan secara berkala berdasarkan respons klinis, dengan evaluasi ulang manfaat dan risiko dilakukan setidaknya setiap tahun, bukan diberikan secara otomatis dalam jangka waktu tetap tanpa evaluasi, sebagaimana akan dibahas lebih lanjut pada Bab 5.</w:t>
      </w:r>
    </w:p>
    <w:p>
      <w:pPr>
        <w:pStyle w:val="Heading2"/>
        <w:spacing w:after="160" w:before="300"/>
      </w:pPr>
      <w:r>
        <w:rPr>
          <w:rFonts w:ascii="Calibri" w:cs="Calibri" w:eastAsia="Calibri" w:hAnsi="Calibri"/>
          <w:b/>
          <w:bCs/>
          <w:color w:val="7A1F3D"/>
          <w:sz w:val="26"/>
          <w:szCs w:val="26"/>
        </w:rPr>
        <w:t xml:space="preserve">3.3 Terapi Non-Hormonal</w:t>
      </w:r>
    </w:p>
    <w:p>
      <w:pPr>
        <w:spacing w:after="160" w:line="300"/>
        <w:jc w:val="both"/>
      </w:pPr>
      <w:r>
        <w:rPr>
          <w:rFonts w:ascii="Calibri" w:cs="Calibri" w:eastAsia="Calibri" w:hAnsi="Calibri"/>
          <w:color w:val="222222"/>
          <w:sz w:val="22"/>
          <w:szCs w:val="22"/>
        </w:rPr>
        <w:t xml:space="preserve">Bagi perempuan dengan kontraindikasi HRT, preferensi menghindari hormon, atau gejala ringan yang belum memerlukan HRT, tersedia beberapa pilihan terapi non-hormonal untuk gejala vasomotor. Golongan selective serotonin reuptake inhibitor (SSRI) dan serotonin-norepinephrine reuptake inhibitor (SNRI) dosis rendah telah menunjukkan efikasi bermakna dalam mengurangi frekuensi dan intensitas hot flashes melalui modulasi jalur termoregulasi hipotalamus yang melibatkan neurotransmiter serotonin dan norepinefrin.</w:t>
      </w:r>
    </w:p>
    <w:p>
      <w:pPr>
        <w:spacing w:after="160" w:line="300"/>
        <w:jc w:val="both"/>
      </w:pPr>
      <w:r>
        <w:rPr>
          <w:rFonts w:ascii="Calibri" w:cs="Calibri" w:eastAsia="Calibri" w:hAnsi="Calibri"/>
          <w:color w:val="222222"/>
          <w:sz w:val="22"/>
          <w:szCs w:val="22"/>
        </w:rPr>
        <w:t xml:space="preserve">Gabapentin, yang bekerja pada jalur berbeda, juga menunjukkan manfaat pada gejala vasomotor, khususnya bermanfaat pada perempuan dengan gejala predominan malam hari karena efek sedatif ringannya dapat membantu kualitas tidur. Fezolinetant, antagonis reseptor neurokinin-3 (NK3) pertama yang disetujui untuk indikasi ini, bekerja secara spesifik pada jalur neuron KNDy hipotalamus yang mendasari termoregulasi dan termasuk pilihan yang direkomendasikan dengan bukti tingkat baik (Level I) menurut posisi terbaru The Menopause Society mengenai terapi non-hormonal (2023), bersama dengan CBT, hipnosis klinis, SSRI/SNRI, gabapentin, dan oksibutinin.</w:t>
      </w:r>
    </w:p>
    <w:p>
      <w:pPr>
        <w:spacing w:after="160" w:line="300"/>
        <w:jc w:val="both"/>
      </w:pPr>
      <w:r>
        <w:rPr>
          <w:rFonts w:ascii="Calibri" w:cs="Calibri" w:eastAsia="Calibri" w:hAnsi="Calibri"/>
          <w:color w:val="222222"/>
          <w:sz w:val="22"/>
          <w:szCs w:val="22"/>
        </w:rPr>
        <w:t xml:space="preserve">Sebaliknya, posisi yang sama menyatakan bahwa bukti untuk fitoterapi/suplemen herbal serta produk kedelai (soy) dan metabolitnya masih tergolong tidak konsisten hingga tidak mendukung penggunaannya untuk gejala vasomotor, sehingga klinisi perlu menyampaikan secara jujur kepada pasien bahwa produk-produk tersebut belum terbukti efektif berdasarkan tinjauan bukti terkini, meskipun populer dipasarkan sebagai terapi "alami" dan tetap termasuk topik yang perlu dikuasai peserta didik sesuai standar kompetensi nasional.</w:t>
      </w:r>
    </w:p>
    <w:p>
      <w:pPr>
        <w:spacing w:after="160" w:line="300"/>
        <w:jc w:val="both"/>
      </w:pPr>
      <w:r>
        <w:rPr>
          <w:rFonts w:ascii="Calibri" w:cs="Calibri" w:eastAsia="Calibri" w:hAnsi="Calibri"/>
          <w:color w:val="222222"/>
          <w:sz w:val="22"/>
          <w:szCs w:val="22"/>
        </w:rPr>
        <w:t xml:space="preserve">Untuk GSM, pilihan non-hormonal lini pertama meliputi pelembap vagina (vaginal moisturizers) yang digunakan reguler dan pelumas (lubricants) yang digunakan saat aktivitas seksual, keduanya bermanfaat memperbaiki gejala kekeringan dan dispareunia ringan hingga sedang tanpa memerlukan paparan hormonal.</w:t>
      </w:r>
    </w:p>
    <w:p>
      <w:pPr>
        <w:spacing w:after="160" w:line="300"/>
        <w:jc w:val="both"/>
      </w:pPr>
      <w:r>
        <w:rPr>
          <w:rFonts w:ascii="Calibri" w:cs="Calibri" w:eastAsia="Calibri" w:hAnsi="Calibri"/>
          <w:color w:val="222222"/>
          <w:sz w:val="22"/>
          <w:szCs w:val="22"/>
        </w:rPr>
        <w:t xml:space="preserve">Pemilihan terapi non-hormonal perlu mempertimbangkan komorbiditas pasien, potensi interaksi obat (khususnya dengan tamoksifen pada penyintas kanker payudara yang menggunakan SSRI/SNRI tertentu yang menghambat metabolisme tamoksifen), serta preferensi pasien, sehingga keputusan terapi tetap bersifat individual dan didiskusikan bersama pasien secara kolaboratif.</w:t>
      </w:r>
    </w:p>
    <w:p>
      <w:pPr>
        <w:pStyle w:val="Heading2"/>
        <w:spacing w:after="160" w:before="300"/>
      </w:pPr>
      <w:r>
        <w:rPr>
          <w:rFonts w:ascii="Calibri" w:cs="Calibri" w:eastAsia="Calibri" w:hAnsi="Calibri"/>
          <w:b/>
          <w:bCs/>
          <w:color w:val="7A1F3D"/>
          <w:sz w:val="26"/>
          <w:szCs w:val="26"/>
        </w:rPr>
        <w:t xml:space="preserve">3.4 Pendekatan Non-Farmakologis dan Modifikasi Gaya Hidup</w:t>
      </w:r>
    </w:p>
    <w:p>
      <w:pPr>
        <w:spacing w:after="160" w:line="300"/>
        <w:jc w:val="both"/>
      </w:pPr>
      <w:r>
        <w:rPr>
          <w:rFonts w:ascii="Calibri" w:cs="Calibri" w:eastAsia="Calibri" w:hAnsi="Calibri"/>
          <w:color w:val="222222"/>
          <w:sz w:val="22"/>
          <w:szCs w:val="22"/>
        </w:rPr>
        <w:t xml:space="preserve">Modifikasi gaya hidup merupakan komponen dasar tata laksana kesehatan menopause secara umum yang relevan untuk seluruh perempuan, baik yang menggunakan terapi farmakologis maupun tidak, meskipun manfaatnya terhadap gejala vasomotor spesifik perlu disampaikan secara proporsional sesuai bukti yang tersedia. Aktivitas fisik teratur, termasuk latihan menahan beban (weight-bearing exercise), tetap bermanfaat mendukung kesehatan kardiovaskular, mempertahankan densitas tulang, memperbaiki mood, dan membantu manajemen berat badan, meskipun posisi terbaru The Menopause Society (2023) mencatat bukti manfaat olahraga khusus untuk mengurangi frekuensi/intensitas hot flashes tergolong terbatas (Level II) dan karenanya bukan alasan utama merekomendasikan olahraga pada konteks ini.</w:t>
      </w:r>
    </w:p>
    <w:p>
      <w:pPr>
        <w:spacing w:after="160" w:line="300"/>
        <w:jc w:val="both"/>
      </w:pPr>
      <w:r>
        <w:rPr>
          <w:rFonts w:ascii="Calibri" w:cs="Calibri" w:eastAsia="Calibri" w:hAnsi="Calibri"/>
          <w:color w:val="222222"/>
          <w:sz w:val="22"/>
          <w:szCs w:val="22"/>
        </w:rPr>
        <w:t xml:space="preserve">Asupan kalsium dan vitamin D yang adekuat melalui makanan atau suplementasi, sesuai kebutuhan individual, tetap mendukung kesehatan tulang bersama dengan aktivitas fisik menahan beban. Modifikasi diet yang menekankan pola makan seimbang, pembatasan alkohol, dan penghentian merokok tetap dianjurkan untuk kesehatan kardiovaskular jangka panjang, meski demikian, bukti untuk modifikasi diet spesifik sebagai terapi gejala vasomotor tergolong lemah (Level III) dan sebaiknya tidak dijanjikan sebagai solusi utama gejala tersebut kepada pasien.</w:t>
      </w:r>
    </w:p>
    <w:p>
      <w:pPr>
        <w:spacing w:after="160" w:line="300"/>
        <w:jc w:val="both"/>
      </w:pPr>
      <w:r>
        <w:rPr>
          <w:rFonts w:ascii="Calibri" w:cs="Calibri" w:eastAsia="Calibri" w:hAnsi="Calibri"/>
          <w:color w:val="222222"/>
          <w:sz w:val="22"/>
          <w:szCs w:val="22"/>
        </w:rPr>
        <w:t xml:space="preserve">Terapi berbasis mind-body dengan bukti terbaik untuk gejala vasomotor adalah cognitive behavioral therapy (CBT) dan hipnosis klinis (Level I), sehingga keduanya dapat ditawarkan sebagai pilihan setara terapi farmakologis non-hormonal bagi perempuan yang memilih pendekatan tanpa obat. Sebaliknya, teknik pernapasan terkontrol/paced respiration serta strategi menghindari pencetus panas (cooling strategies) belum menunjukkan bukti manfaat konsisten untuk mengurangi gejala vasomotor menurut tinjauan bukti terbaru, walau tetap dapat memberi kenyamanan subjektif bagi sebagian pasien dan tidak membahayakan bila dilakukan.</w:t>
      </w:r>
    </w:p>
    <w:p>
      <w:pPr>
        <w:spacing w:after="160" w:line="300"/>
        <w:jc w:val="both"/>
      </w:pPr>
      <w:r>
        <w:rPr>
          <w:rFonts w:ascii="Calibri" w:cs="Calibri" w:eastAsia="Calibri" w:hAnsi="Calibri"/>
          <w:color w:val="222222"/>
          <w:sz w:val="22"/>
          <w:szCs w:val="22"/>
        </w:rPr>
        <w:t xml:space="preserve">Klinisi perlu menyampaikan secara jujur kepada pasien bahwa modifikasi gaya hidup penting untuk kesehatan menyeluruh pascamenopause (tulang, kardiovaskular, berat badan, mood), namun tidak semua komponennya memiliki bukti kuat sebagai terapi gejala vasomotor secara spesifik; CBT dan hipnosis klinis adalah pengecualian dengan bukti kuat dan dapat menjadi pilihan utama non-farmakologis bagi perempuan yang menghindari terapi hormonal maupun non-hormonal berbasis obat.</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3D4E66" w:val="clear"/>
            <w:tcMar>
              <w:top w:type="dxa" w:w="100"/>
              <w:left w:type="dxa" w:w="150"/>
              <w:bottom w:type="dxa" w:w="100"/>
              <w:right w:type="dxa" w:w="150"/>
            </w:tcMar>
          </w:tcPr>
          <w:p>
            <w:r>
              <w:rPr>
                <w:rFonts w:ascii="Calibri" w:cs="Calibri" w:eastAsia="Calibri" w:hAnsi="Calibri"/>
                <w:b/>
                <w:bCs/>
                <w:color w:val="FFFFFF"/>
                <w:sz w:val="23"/>
                <w:szCs w:val="23"/>
              </w:rPr>
              <w:t xml:space="preserve">Perbedaan Standar Internasional vs Konteks Indonesia</w:t>
            </w:r>
          </w:p>
        </w:tc>
      </w:tr>
      <w:tr>
        <w:tc>
          <w:tcPr>
            <w:shd w:fill="E9EDF2"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Posisi The North American Menopause Society/The Menopause Society dan panduan internasional lain (termasuk ACOG Practice Bulletin No. 141) merekomendasikan HRT sebagai terapi lini pertama untuk gejala vasomotor sedang-berat pada perempuan yang memenuhi kriteria kelayakan, dengan penekanan pada individualisasi dosis dan jalur pemberian — berbeda dari rekomendasi USPSTF yang menentang HRT khusus untuk pencegahan primer penyakit kronis pada perempuan asimtomatik.</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Di Indonesia, ketersediaan berbagai sediaan dan jalur pemberian HRT (khususnya sediaan transdermal) masih lebih terbatas dibandingkan negara dengan pasar farmasi yang lebih luas, sehingga pilihan regimen praktis sering kali lebih sempit dan memerlukan penyesuaian terhadap sediaan yang tersedia secara lokal.</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Edukasi masyarakat mengenai HRT di Indonesia masih diwarnai kekhawatiran berlebihan terhadap risiko kanker yang tidak selalu proporsional dengan bukti ilmiah terkini, sehingga konseling berbasis bukti dan penyampaian risiko-manfaat yang seimbang menjadi peran penting subspesialis Obstetri Ginekologi Sosial dalam praktik sehari-hari.</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Catatan penerapan praktis: keputusan pemberian HRT di Indonesia tetap harus mengikuti kaidah persetujuan tindakan medis (informed consent) yang menjelaskan manfaat, risiko, dan alternatif terapi secara jujur dan proporsional sesuai konteks ketersediaan lokal.</w:t>
            </w:r>
          </w:p>
        </w:tc>
      </w:tr>
    </w:tbl>
    <w:p>
      <w:pPr>
        <w:spacing w:after="200"/>
      </w:pP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Poin Kunci</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HRT adalah terapi paling efektif untuk gejala vasomotor sedang-berat dan GSM, dengan rasio manfaat-risiko umumnya menguntungkan bila dimulai dekat onset menopause pada perempuan sehat di bawah 60 tahun.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USPSTF (2022) merekomendasikan menentang (kategori D) penggunaan HRT semata untuk pencegahan primer penyakit kronis pada perempuan asimtomatik; rekomendasi ini berbeda konteks dari penggunaan HRT untuk tata laksana gejala 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Perempuan dengan uterus utuh memerlukan kombinasi estrogen-progestogen; perempuan pascahisterektomi dapat menggunakan estrogen tunggal.</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Jalur transdermal dikaitkan dengan risiko tromboemboli vena lebih rendah dibandingkan oral karena menghindari efek lintas pertama hepatik.</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Terapi estrogen vagina dosis rendah adalah lini pertama untuk GSM terisolasi dengan absorpsi sistemik minimal.</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Menurut posisi The Menopause Society (2023), CBT, hipnosis klinis, SSRI/SNRI, gabapentin, fezolinetant, dan oksibutinin memiliki bukti baik (Level I) untuk gejala vasomotor; suplemen herbal, produk kedelai, dan cooling strategies tidak memiliki bukti yang cukup mendukung.</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Modifikasi gaya hidup tetap penting untuk kesehatan tulang, kardiovaskular, dan berat badan pascamenopause, namun manfaatnya terhadap gejala vasomotor spesifik perlu disampaikan secara proporsional sesuai bukti yang ada.</w:t>
            </w:r>
          </w:p>
        </w:tc>
      </w:tr>
    </w:tbl>
    <w:p>
      <w:pPr>
        <w:spacing w:after="200"/>
      </w:pPr>
    </w:p>
    <w:p>
      <w:pPr>
        <w:spacing w:after="120" w:before="300"/>
      </w:pPr>
      <w:r>
        <w:rPr>
          <w:rFonts w:ascii="Calibri" w:cs="Calibri" w:eastAsia="Calibri" w:hAnsi="Calibri"/>
          <w:b/>
          <w:bCs/>
          <w:color w:val="7A1F3D"/>
          <w:sz w:val="23"/>
          <w:szCs w:val="23"/>
        </w:rPr>
        <w:t xml:space="preserve">Referensi</w:t>
      </w:r>
    </w:p>
    <w:p>
      <w:pPr>
        <w:spacing w:after="80"/>
        <w:ind w:left="360" w:hanging="360"/>
      </w:pPr>
      <w:r>
        <w:rPr>
          <w:rFonts w:ascii="Calibri" w:cs="Calibri" w:eastAsia="Calibri" w:hAnsi="Calibri"/>
          <w:color w:val="444444"/>
          <w:sz w:val="19"/>
          <w:szCs w:val="19"/>
        </w:rPr>
        <w:t xml:space="preserve">1. "The 2022 Hormone Therapy Position Statement of The North American Menopause Society" Advisory Panel. The 2022 hormone therapy position statement of The North American Menopause Society. Menopause. 2022;29(7):767-794. Tersedia di: https://menopause.org/wp-content/uploads/professional/nams-2022-hormone-therapy-position-statement.pdf</w:t>
      </w:r>
    </w:p>
    <w:p>
      <w:pPr>
        <w:spacing w:after="80"/>
        <w:ind w:left="360" w:hanging="360"/>
      </w:pPr>
      <w:r>
        <w:rPr>
          <w:rFonts w:ascii="Calibri" w:cs="Calibri" w:eastAsia="Calibri" w:hAnsi="Calibri"/>
          <w:color w:val="444444"/>
          <w:sz w:val="19"/>
          <w:szCs w:val="19"/>
        </w:rPr>
        <w:t xml:space="preserve">2. "The 2023 Nonhormone Therapy Position Statement of The North American Menopause Society" Advisory Panel. The 2023 nonhormone therapy position statement of The North American Menopause Society. Menopause. 2023;30(6):573-590.</w:t>
      </w:r>
    </w:p>
    <w:p>
      <w:pPr>
        <w:spacing w:after="80"/>
        <w:ind w:left="360" w:hanging="360"/>
      </w:pPr>
      <w:r>
        <w:rPr>
          <w:rFonts w:ascii="Calibri" w:cs="Calibri" w:eastAsia="Calibri" w:hAnsi="Calibri"/>
          <w:color w:val="444444"/>
          <w:sz w:val="19"/>
          <w:szCs w:val="19"/>
        </w:rPr>
        <w:t xml:space="preserve">3. Mangione CM, Barry MJ, Nicholson WK, et al. Hormone Therapy for the Primary Prevention of Chronic Conditions in Postmenopausal Persons: US Preventive Services Task Force Recommendation Statement. JAMA. 2022;328(17):1740-1746. Tersedia di: https://www.uspreventiveservicestaskforce.org/uspstf/recommendation/menopausal-hormone-therapy-preventive-medication</w:t>
      </w:r>
    </w:p>
    <w:p>
      <w:pPr>
        <w:spacing w:after="80"/>
        <w:ind w:left="360" w:hanging="360"/>
      </w:pPr>
      <w:r>
        <w:rPr>
          <w:rFonts w:ascii="Calibri" w:cs="Calibri" w:eastAsia="Calibri" w:hAnsi="Calibri"/>
          <w:color w:val="444444"/>
          <w:sz w:val="19"/>
          <w:szCs w:val="19"/>
        </w:rPr>
        <w:t xml:space="preserve">4. American College of Obstetricians and Gynecologists. Practice Bulletin No. 141: Management of Menopausal Symptoms. Obstet Gynecol. 2014;123(1):202-216 (reaffirmed 2024). Tersedia di: https://www.acog.org/clinical/clinical-guidance/practice-bulletin/articles/2014/01/management-of-menopausal-symptoms</w:t>
      </w:r>
    </w:p>
    <w:p>
      <w:pPr>
        <w:spacing w:after="80"/>
        <w:ind w:left="360" w:hanging="360"/>
      </w:pPr>
      <w:r>
        <w:rPr>
          <w:rFonts w:ascii="Calibri" w:cs="Calibri" w:eastAsia="Calibri" w:hAnsi="Calibri"/>
          <w:color w:val="444444"/>
          <w:sz w:val="19"/>
          <w:szCs w:val="19"/>
        </w:rPr>
        <w:t xml:space="preserve">5. Berek JS, editor. Berek &amp; Novak's Gynecology. 17th ed. Philadelphia: Wolters Kluwer; 2026.</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BAB 4. KONSELING PSIKOSOSIAL: KUALITAS HIDUP DAN RELASI KELUARGA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Tujuan Pembelajaran Bab</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dampak menopause terhadap kualitas hidup perempuan secara menyeluruh.</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dinamika relasi keluarga dan pasangan yang dapat dipengaruhi oleh transisi 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Menguraikan pendekatan konseling suportif yang konkret dan dapat diterapkan dalam praktik klinis.</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Mengenali peran lintas profesi yang relevan dalam tata laksana biopsikososial menopause.</w:t>
            </w:r>
          </w:p>
        </w:tc>
      </w:tr>
    </w:tbl>
    <w:p>
      <w:pPr>
        <w:spacing w:after="200"/>
      </w:pPr>
    </w:p>
    <w:p>
      <w:pPr>
        <w:pStyle w:val="Heading2"/>
        <w:spacing w:after="160" w:before="300"/>
      </w:pPr>
      <w:r>
        <w:rPr>
          <w:rFonts w:ascii="Calibri" w:cs="Calibri" w:eastAsia="Calibri" w:hAnsi="Calibri"/>
          <w:b/>
          <w:bCs/>
          <w:color w:val="7A1F3D"/>
          <w:sz w:val="26"/>
          <w:szCs w:val="26"/>
        </w:rPr>
        <w:t xml:space="preserve">4.1 Dampak Menopause terhadap Kualitas Hidup</w:t>
      </w:r>
    </w:p>
    <w:p>
      <w:pPr>
        <w:spacing w:after="160" w:line="300"/>
        <w:jc w:val="both"/>
      </w:pPr>
      <w:r>
        <w:rPr>
          <w:rFonts w:ascii="Calibri" w:cs="Calibri" w:eastAsia="Calibri" w:hAnsi="Calibri"/>
          <w:color w:val="222222"/>
          <w:sz w:val="22"/>
          <w:szCs w:val="22"/>
        </w:rPr>
        <w:t xml:space="preserve">Menopause tidak dapat dipandang semata sebagai peristiwa biologis, karena dampaknya menjangkau dimensi fisik, psikologis, sosial, dan peran (role) perempuan secara bersamaan. Gejala vasomotor, gangguan tidur, dan GSM yang telah dibahas pada bab-bab sebelumnya secara langsung dapat mengganggu produktivitas kerja, konsentrasi, dan kenyamanan aktivitas sehari-hari, sementara perubahan citra tubuh dan persepsi terhadap penuaan dapat memengaruhi kepercayaan diri.</w:t>
      </w:r>
    </w:p>
    <w:p>
      <w:pPr>
        <w:spacing w:after="160" w:line="300"/>
        <w:jc w:val="both"/>
      </w:pPr>
      <w:r>
        <w:rPr>
          <w:rFonts w:ascii="Calibri" w:cs="Calibri" w:eastAsia="Calibri" w:hAnsi="Calibri"/>
          <w:color w:val="222222"/>
          <w:sz w:val="22"/>
          <w:szCs w:val="22"/>
        </w:rPr>
        <w:t xml:space="preserve">Instrumen terstandar seperti Menopause-Specific Quality of Life Questionnaire (MENQOL) dapat digunakan untuk menilai dampak menopause secara terstruktur pada domain vasomotor, psikososial, fisik, dan seksual, membantu klinisi mengidentifikasi domain mana yang paling terdampak pada masing-masing pasien sehingga intervensi dapat diarahkan secara lebih tepat sasaran.</w:t>
      </w:r>
    </w:p>
    <w:p>
      <w:pPr>
        <w:spacing w:after="160" w:line="300"/>
        <w:jc w:val="both"/>
      </w:pPr>
      <w:r>
        <w:rPr>
          <w:rFonts w:ascii="Calibri" w:cs="Calibri" w:eastAsia="Calibri" w:hAnsi="Calibri"/>
          <w:color w:val="222222"/>
          <w:sz w:val="22"/>
          <w:szCs w:val="22"/>
        </w:rPr>
        <w:t xml:space="preserve">Konteks sosial-budaya turut memengaruhi bagaimana perempuan memaknai dan mengalami menopause. Pada sebagian masyarakat, menopause dimaknai sebagai fase pembebasan dari kekhawatiran kehamilan dan siklus menstruasi, sementara pada konteks lain dapat dimaknai sebagai kehilangan peran reproduktif dan penurunan nilai sosial, terutama pada budaya yang sangat menekankan peran perempuan sebagai ibu dan pengasuh.</w:t>
      </w:r>
    </w:p>
    <w:p>
      <w:pPr>
        <w:spacing w:after="160" w:line="300"/>
        <w:jc w:val="both"/>
      </w:pPr>
      <w:r>
        <w:rPr>
          <w:rFonts w:ascii="Calibri" w:cs="Calibri" w:eastAsia="Calibri" w:hAnsi="Calibri"/>
          <w:color w:val="222222"/>
          <w:sz w:val="22"/>
          <w:szCs w:val="22"/>
        </w:rPr>
        <w:t xml:space="preserve">Dokter Subspesialis Obstetri Ginekologi Sosial perlu menggali makna personal menopause bagi setiap pasien secara individual, tanpa berasumsi bahwa pengalaman menopause bersifat seragam, karena pemahaman ini menjadi dasar pendekatan konseling yang relevan dan bermakna bagi pasien, bukan sekadar edukasi medis generik.</w:t>
      </w:r>
    </w:p>
    <w:p>
      <w:pPr>
        <w:pStyle w:val="Heading2"/>
        <w:spacing w:after="160" w:before="300"/>
      </w:pPr>
      <w:r>
        <w:rPr>
          <w:rFonts w:ascii="Calibri" w:cs="Calibri" w:eastAsia="Calibri" w:hAnsi="Calibri"/>
          <w:b/>
          <w:bCs/>
          <w:color w:val="7A1F3D"/>
          <w:sz w:val="26"/>
          <w:szCs w:val="26"/>
        </w:rPr>
        <w:t xml:space="preserve">4.2 Dinamika Relasi Keluarga dan Pasangan</w:t>
      </w:r>
    </w:p>
    <w:p>
      <w:pPr>
        <w:spacing w:after="160" w:line="300"/>
        <w:jc w:val="both"/>
      </w:pPr>
      <w:r>
        <w:rPr>
          <w:rFonts w:ascii="Calibri" w:cs="Calibri" w:eastAsia="Calibri" w:hAnsi="Calibri"/>
          <w:color w:val="222222"/>
          <w:sz w:val="22"/>
          <w:szCs w:val="22"/>
        </w:rPr>
        <w:t xml:space="preserve">Transisi menopause sering terjadi bersamaan dengan fase kehidupan keluarga yang juga penuh perubahan, seperti anak-anak yang mulai dewasa dan meninggalkan rumah (fenomena "sarang kosong" atau empty nest), perawatan orang tua lanjut usia, atau transisi karier menjelang masa pensiun, sehingga beban psikososial dapat bertumpuk dan saling memperberat satu sama lain.</w:t>
      </w:r>
    </w:p>
    <w:p>
      <w:pPr>
        <w:spacing w:after="160" w:line="300"/>
        <w:jc w:val="both"/>
      </w:pPr>
      <w:r>
        <w:rPr>
          <w:rFonts w:ascii="Calibri" w:cs="Calibri" w:eastAsia="Calibri" w:hAnsi="Calibri"/>
          <w:color w:val="222222"/>
          <w:sz w:val="22"/>
          <w:szCs w:val="22"/>
        </w:rPr>
        <w:t xml:space="preserve">Gejala GSM yang menyebabkan dispareunia dan penurunan hasrat seksual dapat berdampak signifikan terhadap keintiman dengan pasangan apabila tidak dibahas secara terbuka. Tanpa pemahaman bahwa keluhan ini memiliki dasar biologis yang dapat ditata laksana, pasangan berisiko salah memaknai perubahan ini sebagai penolakan personal, yang berpotensi menimbulkan ketegangan relasi.</w:t>
      </w:r>
    </w:p>
    <w:p>
      <w:pPr>
        <w:spacing w:after="160" w:line="300"/>
        <w:jc w:val="both"/>
      </w:pPr>
      <w:r>
        <w:rPr>
          <w:rFonts w:ascii="Calibri" w:cs="Calibri" w:eastAsia="Calibri" w:hAnsi="Calibri"/>
          <w:color w:val="222222"/>
          <w:sz w:val="22"/>
          <w:szCs w:val="22"/>
        </w:rPr>
        <w:t xml:space="preserve">Labilitas mood dan iritabilitas yang menyertai perimenopause juga dapat memengaruhi komunikasi dalam rumah tangga apabila anggota keluarga tidak memahami bahwa perubahan ini terkait proses biologis, bukan semata perubahan karakter personal. Edukasi kepada pasangan dan keluarga terdekat, dengan persetujuan pasien, dapat membantu membangun pemahaman bersama dan mengurangi konflik yang tidak perlu.</w:t>
      </w:r>
    </w:p>
    <w:p>
      <w:pPr>
        <w:spacing w:after="160" w:line="300"/>
        <w:jc w:val="both"/>
      </w:pPr>
      <w:r>
        <w:rPr>
          <w:rFonts w:ascii="Calibri" w:cs="Calibri" w:eastAsia="Calibri" w:hAnsi="Calibri"/>
          <w:color w:val="222222"/>
          <w:sz w:val="22"/>
          <w:szCs w:val="22"/>
        </w:rPr>
        <w:t xml:space="preserve">Klinisi perlu peka terhadap kemungkinan bahwa keluhan menopause yang dilaporkan pasien sesungguhnya bertumpang tindih dengan sumber stres relasi keluarga yang lebih luas, sehingga anamnesis psikososial yang menyeluruh diperlukan untuk membedakan gejala yang murni berasal dari transisi hormonal dengan gejala yang diperberat oleh konteks relasi dan beban peran keluarga.</w:t>
      </w:r>
    </w:p>
    <w:p>
      <w:pPr>
        <w:pStyle w:val="Heading2"/>
        <w:spacing w:after="160" w:before="300"/>
      </w:pPr>
      <w:r>
        <w:rPr>
          <w:rFonts w:ascii="Calibri" w:cs="Calibri" w:eastAsia="Calibri" w:hAnsi="Calibri"/>
          <w:b/>
          <w:bCs/>
          <w:color w:val="7A1F3D"/>
          <w:sz w:val="26"/>
          <w:szCs w:val="26"/>
        </w:rPr>
        <w:t xml:space="preserve">4.3 Pendekatan Konseling Suportif</w:t>
      </w:r>
    </w:p>
    <w:p>
      <w:pPr>
        <w:spacing w:after="160" w:line="300"/>
        <w:jc w:val="both"/>
      </w:pPr>
      <w:r>
        <w:rPr>
          <w:rFonts w:ascii="Calibri" w:cs="Calibri" w:eastAsia="Calibri" w:hAnsi="Calibri"/>
          <w:color w:val="222222"/>
          <w:sz w:val="22"/>
          <w:szCs w:val="22"/>
        </w:rPr>
        <w:t xml:space="preserve">Konseling suportif pada perempuan menopause dimulai dengan mendengarkan aktif dan validasi pengalaman pasien tanpa meminimalkan keluhan sebagai "bagian normal penuaan yang harus diterima begitu saja". Pendekatan yang menormalisasi gejala tanpa menawarkan solusi konkret berisiko membuat pasien merasa tidak didengarkan dan enggan melaporkan keluhan pada kunjungan berikutnya.</w:t>
      </w:r>
    </w:p>
    <w:p>
      <w:pPr>
        <w:spacing w:after="160" w:line="300"/>
        <w:jc w:val="both"/>
      </w:pPr>
      <w:r>
        <w:rPr>
          <w:rFonts w:ascii="Calibri" w:cs="Calibri" w:eastAsia="Calibri" w:hAnsi="Calibri"/>
          <w:color w:val="222222"/>
          <w:sz w:val="22"/>
          <w:szCs w:val="22"/>
        </w:rPr>
        <w:t xml:space="preserve">Psikoedukasi mengenai dasar fisiologis gejala menopause membantu pasien memahami bahwa keluhan yang dialami memiliki penjelasan biologis yang jelas, bukan tanda kelemahan personal, sehingga dapat mengurangi rasa bersalah atau malu yang sering menyertai gejala psikologis dan seksual pada masa ini.</w:t>
      </w:r>
    </w:p>
    <w:p>
      <w:pPr>
        <w:spacing w:after="160" w:line="300"/>
        <w:jc w:val="both"/>
      </w:pPr>
      <w:r>
        <w:rPr>
          <w:rFonts w:ascii="Calibri" w:cs="Calibri" w:eastAsia="Calibri" w:hAnsi="Calibri"/>
          <w:color w:val="222222"/>
          <w:sz w:val="22"/>
          <w:szCs w:val="22"/>
        </w:rPr>
        <w:t xml:space="preserve">Pendekatan konseling berbasis pemecahan masalah (problem-solving) yang konkret, misalnya membantu pasien menyusun strategi praktis mengelola gejala vasomotor di tempat kerja, atau merencanakan percakapan terbuka dengan pasangan mengenai perubahan keintiman, memberikan manfaat yang lebih nyata dibandingkan nasihat umum yang tidak spesifik terhadap situasi pasien.</w:t>
      </w:r>
    </w:p>
    <w:p>
      <w:pPr>
        <w:spacing w:after="160" w:line="300"/>
        <w:jc w:val="both"/>
      </w:pPr>
      <w:r>
        <w:rPr>
          <w:rFonts w:ascii="Calibri" w:cs="Calibri" w:eastAsia="Calibri" w:hAnsi="Calibri"/>
          <w:color w:val="222222"/>
          <w:sz w:val="22"/>
          <w:szCs w:val="22"/>
        </w:rPr>
        <w:t xml:space="preserve">Pada pasien dengan gejala psikologis yang lebih berat atau menetap, seperti gejala depresif bermakna atau kecemasan yang mengganggu fungsi harian, konseling suportif dari Dokter Subspesialis Obstetri Ginekologi Sosial perlu dilengkapi dengan rujukan kepada psikolog atau psikiater sesuai indikasi, mengingat keterbatasan lingkup kewenangan klinis dan pentingnya tata laksana kolaboratif lintas profesi.</w:t>
      </w:r>
    </w:p>
    <w:p>
      <w:pPr>
        <w:pStyle w:val="Heading2"/>
        <w:spacing w:after="160" w:before="300"/>
      </w:pPr>
      <w:r>
        <w:rPr>
          <w:rFonts w:ascii="Calibri" w:cs="Calibri" w:eastAsia="Calibri" w:hAnsi="Calibri"/>
          <w:b/>
          <w:bCs/>
          <w:color w:val="7A1F3D"/>
          <w:sz w:val="26"/>
          <w:szCs w:val="26"/>
        </w:rPr>
        <w:t xml:space="preserve">4.4 Peran Lintas Profesi dalam Tata Laksana Biopsikososial Menopause</w:t>
      </w:r>
    </w:p>
    <w:p>
      <w:pPr>
        <w:spacing w:after="160" w:line="300"/>
        <w:jc w:val="both"/>
      </w:pPr>
      <w:r>
        <w:rPr>
          <w:rFonts w:ascii="Calibri" w:cs="Calibri" w:eastAsia="Calibri" w:hAnsi="Calibri"/>
          <w:color w:val="222222"/>
          <w:sz w:val="22"/>
          <w:szCs w:val="22"/>
        </w:rPr>
        <w:t xml:space="preserve">Tata laksana biopsikososial menopause yang komprehensif memerlukan kolaborasi lintas profesi, mengingat kompleksitas dampak menopause melampaui kewenangan dan kapasitas satu disiplin klinis semata. Psikolog klinis berperan penting dalam tata laksana gejala psikologis yang lebih berat, termasuk pemberian cognitive behavioral therapy (CBT) yang telah terbukti bermanfaat untuk gejala vasomotor maupun gangguan mood terkait menopause.</w:t>
      </w:r>
    </w:p>
    <w:p>
      <w:pPr>
        <w:spacing w:after="160" w:line="300"/>
        <w:jc w:val="both"/>
      </w:pPr>
      <w:r>
        <w:rPr>
          <w:rFonts w:ascii="Calibri" w:cs="Calibri" w:eastAsia="Calibri" w:hAnsi="Calibri"/>
          <w:color w:val="222222"/>
          <w:sz w:val="22"/>
          <w:szCs w:val="22"/>
        </w:rPr>
        <w:t xml:space="preserve">Ahli gizi dapat membantu perempuan pascamenopause menyusun pola makan yang mendukung kesehatan tulang dan kardiovaskular, sekaligus membantu manajemen berat badan yang sering menjadi tantangan pada masa transisi ini akibat perubahan komposisi tubuh dan laju metabolisme.</w:t>
      </w:r>
    </w:p>
    <w:p>
      <w:pPr>
        <w:spacing w:after="160" w:line="300"/>
        <w:jc w:val="both"/>
      </w:pPr>
      <w:r>
        <w:rPr>
          <w:rFonts w:ascii="Calibri" w:cs="Calibri" w:eastAsia="Calibri" w:hAnsi="Calibri"/>
          <w:color w:val="222222"/>
          <w:sz w:val="22"/>
          <w:szCs w:val="22"/>
        </w:rPr>
        <w:t xml:space="preserve">Fisioterapis berperan dalam menyusun program latihan menahan beban yang aman dan sesuai kondisi individual, termasuk pada pasien dengan risiko osteoporosis atau keterbatasan fisik lain, sementara konselor pernikahan atau terapis keluarga dapat dilibatkan pada kasus dengan ketegangan relasi pasangan yang bermakna terkait perubahan seksual dan emosional masa menopause.</w:t>
      </w:r>
    </w:p>
    <w:p>
      <w:pPr>
        <w:spacing w:after="160" w:line="300"/>
        <w:jc w:val="both"/>
      </w:pPr>
      <w:r>
        <w:rPr>
          <w:rFonts w:ascii="Calibri" w:cs="Calibri" w:eastAsia="Calibri" w:hAnsi="Calibri"/>
          <w:color w:val="222222"/>
          <w:sz w:val="22"/>
          <w:szCs w:val="22"/>
        </w:rPr>
        <w:t xml:space="preserve">Koordinasi lintas profesi yang efektif memerlukan komunikasi yang jelas mengenai tujuan rujukan, informasi klinis relevan yang dibagikan dengan persetujuan pasien, serta umpan balik dua arah agar rencana tata laksana tetap terintegrasi dan tidak terfragmentasi, sehingga pasien merasakan kontinuitas perawatan meskipun dilayani oleh berbagai profesi berbeda.</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4E7A5A" w:val="clear"/>
            <w:tcMar>
              <w:top w:type="dxa" w:w="100"/>
              <w:left w:type="dxa" w:w="150"/>
              <w:bottom w:type="dxa" w:w="100"/>
              <w:right w:type="dxa" w:w="150"/>
            </w:tcMar>
          </w:tcPr>
          <w:p>
            <w:r>
              <w:rPr>
                <w:rFonts w:ascii="Calibri" w:cs="Calibri" w:eastAsia="Calibri" w:hAnsi="Calibri"/>
                <w:b/>
                <w:bCs/>
                <w:color w:val="FFFFFF"/>
                <w:sz w:val="23"/>
                <w:szCs w:val="23"/>
              </w:rPr>
              <w:t xml:space="preserve">Peran Lintas Profesi</w:t>
            </w:r>
          </w:p>
        </w:tc>
      </w:tr>
      <w:tr>
        <w:tc>
          <w:tcPr>
            <w:shd w:fill="E7F0E9"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Psikolog Klinis / Psikiater: tata laksana gejala depresi/kecemasan bermakna, CBT untuk gejala vasomotor dan mood.</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Ahli Gizi: penyusunan pola makan mendukung kesehatan tulang, kardiovaskular, dan manajemen berat badan.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Fisioterapis: program latihan menahan beban yang aman sesuai kondisi individual dan risiko osteoporosis.</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Konselor Pernikahan/Terapis Keluarga: mediasi ketegangan relasi pasangan terkait perubahan seksual dan emosional.</w:t>
            </w:r>
          </w:p>
        </w:tc>
      </w:tr>
    </w:tbl>
    <w:p>
      <w:pPr>
        <w:spacing w:after="200"/>
      </w:pP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Poin Kunci</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Dampak menopause menjangkau dimensi fisik, psikologis, sosial, dan peran perempuan secara bersamaan, tidak dapat direduksi menjadi gejala fisik semata.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MENQOL dapat digunakan untuk menilai dampak menopause terhadap kualitas hidup secara terstruktur pada berbagai domain.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Makna personal menopause dipengaruhi konteks sosial-budaya dan perlu digali secara individual, tidak diasumsikan seragam.</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Transisi menopause sering bertumpang tindih dengan perubahan besar lain dalam siklus keluarga, seperti fenomena sarang kosong.</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GSM yang tidak dibahas terbuka berisiko disalahartikan pasangan sebagai penolakan personal, memicu ketegangan relasi.</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Konseling suportif efektif memvalidasi pengalaman pasien dan menawarkan strategi problem-solving konkret, bukan sekadar normalisasi pasif.</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Kolaborasi lintas profesi (psikolog, ahli gizi, fisioterapis, konselor keluarga) diperlukan untuk tata laksana biopsikososial yang komprehensif.</w:t>
            </w:r>
          </w:p>
        </w:tc>
      </w:tr>
    </w:tbl>
    <w:p>
      <w:pPr>
        <w:spacing w:after="200"/>
      </w:pPr>
    </w:p>
    <w:p>
      <w:pPr>
        <w:spacing w:after="120" w:before="300"/>
      </w:pPr>
      <w:r>
        <w:rPr>
          <w:rFonts w:ascii="Calibri" w:cs="Calibri" w:eastAsia="Calibri" w:hAnsi="Calibri"/>
          <w:b/>
          <w:bCs/>
          <w:color w:val="7A1F3D"/>
          <w:sz w:val="23"/>
          <w:szCs w:val="23"/>
        </w:rPr>
        <w:t xml:space="preserve">Referensi</w:t>
      </w:r>
    </w:p>
    <w:p>
      <w:pPr>
        <w:spacing w:after="80"/>
        <w:ind w:left="360" w:hanging="360"/>
      </w:pPr>
      <w:r>
        <w:rPr>
          <w:rFonts w:ascii="Calibri" w:cs="Calibri" w:eastAsia="Calibri" w:hAnsi="Calibri"/>
          <w:color w:val="444444"/>
          <w:sz w:val="19"/>
          <w:szCs w:val="19"/>
        </w:rPr>
        <w:t xml:space="preserve">1. Hilditch JR, Lewis J, Peter A, van Maris B, Ross A, Franssen E, Guyatt GH, Norton PG, Dunn E. A menopause-specific quality of life questionnaire: development and psychometric properties. Maturitas. 1996;24(3):161-175.</w:t>
      </w:r>
    </w:p>
    <w:p>
      <w:pPr>
        <w:spacing w:after="80"/>
        <w:ind w:left="360" w:hanging="360"/>
      </w:pPr>
      <w:r>
        <w:rPr>
          <w:rFonts w:ascii="Calibri" w:cs="Calibri" w:eastAsia="Calibri" w:hAnsi="Calibri"/>
          <w:color w:val="444444"/>
          <w:sz w:val="19"/>
          <w:szCs w:val="19"/>
        </w:rPr>
        <w:t xml:space="preserve">2. Berek JS, editor. Berek &amp; Novak's Gynecology. 17th ed. Philadelphia: Wolters Kluwer; 2026.</w:t>
      </w:r>
    </w:p>
    <w:p>
      <w:pPr>
        <w:spacing w:after="80"/>
        <w:ind w:left="360" w:hanging="360"/>
      </w:pPr>
      <w:r>
        <w:rPr>
          <w:rFonts w:ascii="Calibri" w:cs="Calibri" w:eastAsia="Calibri" w:hAnsi="Calibri"/>
          <w:color w:val="444444"/>
          <w:sz w:val="19"/>
          <w:szCs w:val="19"/>
        </w:rPr>
        <w:t xml:space="preserve">3. Perkumpulan Obstetri dan Ginekologi Indonesia (POGI)/Kolegium Obstetri dan Ginekologi Indonesia. Kurikulum dan ketentuan Program Pendidikan Dokter Subspesialis Obstetri Ginekologi Sosial.</w:t>
      </w:r>
    </w:p>
    <w:p>
      <w:pPr>
        <w:spacing w:after="80"/>
        <w:ind w:left="360" w:hanging="360"/>
      </w:pPr>
      <w:r>
        <w:rPr>
          <w:rFonts w:ascii="Calibri" w:cs="Calibri" w:eastAsia="Calibri" w:hAnsi="Calibri"/>
          <w:color w:val="444444"/>
          <w:sz w:val="19"/>
          <w:szCs w:val="19"/>
        </w:rPr>
        <w:t xml:space="preserve">4. Konsil Kesehatan Indonesia. Keputusan Ketua Konsil Kesehatan Indonesia Nomor HK.01.02/KKI/1318/2026 tentang Standar Kompetensi Dokter Spesialis dan Subspesialis Bidang Obstetri dan Ginekologi, Lampiran Tabel 25 (Kompetensi Prosedur Klinis), butir 16 "Kasus Menopause dengan Masalah Biopsikososial".</w:t>
      </w:r>
    </w:p>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BAB 5. EVALUASI DAN TINDAK LANJUT JANGKA PANJANG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Tujuan Pembelajaran Bab</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Menyusun jadwal pemantauan tahunan yang sesuai bagi perempuan pascamenopause.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skrining kanker terkait usia yang relevan pada periode pascamenopause.</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Menguraikan pendekatan evaluasi keberhasilan terapi dan penyesuaian rencana tata laksana.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pentingnya edukasi berkelanjutan dan kriteria rujukan pada kasus kompleks.</w:t>
            </w:r>
          </w:p>
        </w:tc>
      </w:tr>
    </w:tbl>
    <w:p>
      <w:pPr>
        <w:spacing w:after="200"/>
      </w:pPr>
    </w:p>
    <w:p>
      <w:pPr>
        <w:pStyle w:val="Heading2"/>
        <w:spacing w:after="160" w:before="300"/>
      </w:pPr>
      <w:r>
        <w:rPr>
          <w:rFonts w:ascii="Calibri" w:cs="Calibri" w:eastAsia="Calibri" w:hAnsi="Calibri"/>
          <w:b/>
          <w:bCs/>
          <w:color w:val="7A1F3D"/>
          <w:sz w:val="26"/>
          <w:szCs w:val="26"/>
        </w:rPr>
        <w:t xml:space="preserve">5.1 Jadwal Pemantauan Tahunan Perempuan Pascamenopause</w:t>
      </w:r>
    </w:p>
    <w:p>
      <w:pPr>
        <w:spacing w:after="160" w:line="300"/>
        <w:jc w:val="both"/>
      </w:pPr>
      <w:r>
        <w:rPr>
          <w:rFonts w:ascii="Calibri" w:cs="Calibri" w:eastAsia="Calibri" w:hAnsi="Calibri"/>
          <w:color w:val="222222"/>
          <w:sz w:val="22"/>
          <w:szCs w:val="22"/>
        </w:rPr>
        <w:t xml:space="preserve">Kunjungan tahunan perempuan pascamenopause idealnya mencakup evaluasi komprehensif yang melampaui sekadar keluhan yang dibawa pasien, mengingat banyak kondisi terkait usia bersifat asimtomatik pada tahap awal. Komponen dasar kunjungan tahunan meliputi anamnesis gejala vasomotor, urogenital, dan psikologis terkini, evaluasi kepatuhan dan respons terhadap terapi yang sedang dijalani, pengukuran tekanan darah, indeks massa tubuh, dan lingkar pinggang.</w:t>
      </w:r>
    </w:p>
    <w:p>
      <w:pPr>
        <w:spacing w:after="160" w:line="300"/>
        <w:jc w:val="both"/>
      </w:pPr>
      <w:r>
        <w:rPr>
          <w:rFonts w:ascii="Calibri" w:cs="Calibri" w:eastAsia="Calibri" w:hAnsi="Calibri"/>
          <w:color w:val="222222"/>
          <w:sz w:val="22"/>
          <w:szCs w:val="22"/>
        </w:rPr>
        <w:t xml:space="preserve">Pemeriksaan payudara klinis dan pemeriksaan panggul rutin tetap menjadi bagian pemantauan tahunan, disesuaikan dengan riwayat ginekologi dan faktor risiko individual pasien. Bagi pasien yang menggunakan HRT, evaluasi tahunan menjadi momen penting untuk meninjau ulang indikasi, dosis, dan durasi penggunaan, sebagaimana ditekankan pada Bab 3, bukan melanjutkan terapi secara otomatis tanpa evaluasi ulang.</w:t>
      </w:r>
    </w:p>
    <w:p>
      <w:pPr>
        <w:spacing w:after="160" w:line="300"/>
        <w:jc w:val="both"/>
      </w:pPr>
      <w:r>
        <w:rPr>
          <w:rFonts w:ascii="Calibri" w:cs="Calibri" w:eastAsia="Calibri" w:hAnsi="Calibri"/>
          <w:color w:val="222222"/>
          <w:sz w:val="22"/>
          <w:szCs w:val="22"/>
        </w:rPr>
        <w:t xml:space="preserve">Pemantauan laboratorium seperti profil lipid dan status glikemik dapat dilakukan secara berkala sesuai faktor risiko kardiovaskular individual, sementara evaluasi densitas tulang melalui DXA diulang sesuai interval yang direkomendasikan berdasarkan hasil pemeriksaan sebelumnya dan tingkat risiko fraktur pasien, umumnya setiap 2 tahun pada kelompok berisiko atau dengan interval lebih panjang pada hasil normal dengan risiko rendah.</w:t>
      </w:r>
    </w:p>
    <w:p>
      <w:pPr>
        <w:spacing w:after="160" w:line="300"/>
        <w:jc w:val="both"/>
      </w:pPr>
      <w:r>
        <w:rPr>
          <w:rFonts w:ascii="Calibri" w:cs="Calibri" w:eastAsia="Calibri" w:hAnsi="Calibri"/>
          <w:color w:val="222222"/>
          <w:sz w:val="22"/>
          <w:szCs w:val="22"/>
        </w:rPr>
        <w:t xml:space="preserve">Pendekatan pemantauan tahunan yang terstruktur ini membantu mendeteksi perubahan status kesehatan secara dini, memungkinkan penyesuaian rencana tata laksana yang responsif, serta memberikan kesempatan berkelanjutan bagi pasien untuk mendiskusikan keluhan baru yang mungkin belum terungkap pada kunjungan sebelumnya.</w:t>
      </w:r>
    </w:p>
    <w:p>
      <w:pPr>
        <w:pStyle w:val="Heading2"/>
        <w:spacing w:after="160" w:before="300"/>
      </w:pPr>
      <w:r>
        <w:rPr>
          <w:rFonts w:ascii="Calibri" w:cs="Calibri" w:eastAsia="Calibri" w:hAnsi="Calibri"/>
          <w:b/>
          <w:bCs/>
          <w:color w:val="7A1F3D"/>
          <w:sz w:val="26"/>
          <w:szCs w:val="26"/>
        </w:rPr>
        <w:t xml:space="preserve">5.2 Skrining Kanker Terkait Usia Pascamenopause</w:t>
      </w:r>
    </w:p>
    <w:p>
      <w:pPr>
        <w:spacing w:after="160" w:line="300"/>
        <w:jc w:val="both"/>
      </w:pPr>
      <w:r>
        <w:rPr>
          <w:rFonts w:ascii="Calibri" w:cs="Calibri" w:eastAsia="Calibri" w:hAnsi="Calibri"/>
          <w:color w:val="222222"/>
          <w:sz w:val="22"/>
          <w:szCs w:val="22"/>
        </w:rPr>
        <w:t xml:space="preserve">Risiko beberapa jenis kanker meningkat seiring bertambahnya usia pada periode pascamenopause, sehingga skrining kanker terjadwal menjadi komponen penting tindak lanjut jangka panjang. Skrining kanker payudara melalui mamografi berkala dianjurkan sesuai pedoman usia dan interval yang berlaku, dengan penyesuaian frekuensi pada perempuan dengan faktor risiko tinggi seperti riwayat keluarga bermakna.</w:t>
      </w:r>
    </w:p>
    <w:p>
      <w:pPr>
        <w:spacing w:after="160" w:line="300"/>
        <w:jc w:val="both"/>
      </w:pPr>
      <w:r>
        <w:rPr>
          <w:rFonts w:ascii="Calibri" w:cs="Calibri" w:eastAsia="Calibri" w:hAnsi="Calibri"/>
          <w:color w:val="222222"/>
          <w:sz w:val="22"/>
          <w:szCs w:val="22"/>
        </w:rPr>
        <w:t xml:space="preserve">Skrining kanker serviks tetap dilanjutkan sesuai pedoman berlaku hingga usia yang direkomendasikan, dengan mempertimbangkan riwayat skrining sebelumnya dan status vaksinasi HPV, sementara kewaspadaan terhadap gejala perdarahan pascamenopause harus selalu ditindaklanjuti sebagai tanda bahaya yang memerlukan evaluasi endometrium segera, mengingat perdarahan pascamenopause merupakan gejala kardinal kanker endometrium hingga terbukti sebaliknya.</w:t>
      </w:r>
    </w:p>
    <w:p>
      <w:pPr>
        <w:spacing w:after="160" w:line="300"/>
        <w:jc w:val="both"/>
      </w:pPr>
      <w:r>
        <w:rPr>
          <w:rFonts w:ascii="Calibri" w:cs="Calibri" w:eastAsia="Calibri" w:hAnsi="Calibri"/>
          <w:color w:val="222222"/>
          <w:sz w:val="22"/>
          <w:szCs w:val="22"/>
        </w:rPr>
        <w:t xml:space="preserve">Perempuan yang menggunakan terapi HRT kombinasi jangka panjang atau memiliki faktor risiko tambahan kanker endometrium (seperti obesitas atau riwayat sindrom ovarium polikistik) memerlukan kewaspadaan lebih terhadap perdarahan abnormal, dengan ambang rujukan untuk evaluasi ultrasonografi transvaginal atau biopsi endometrium yang rendah pada kelompok ini.</w:t>
      </w:r>
    </w:p>
    <w:p>
      <w:pPr>
        <w:spacing w:after="160" w:line="300"/>
        <w:jc w:val="both"/>
      </w:pPr>
      <w:r>
        <w:rPr>
          <w:rFonts w:ascii="Calibri" w:cs="Calibri" w:eastAsia="Calibri" w:hAnsi="Calibri"/>
          <w:color w:val="222222"/>
          <w:sz w:val="22"/>
          <w:szCs w:val="22"/>
        </w:rPr>
        <w:t xml:space="preserve">Skrining kanker kolorektal sesuai pedoman usia yang berlaku juga relevan dibahas dalam konteks pemantauan kesehatan menyeluruh perempuan pascamenopause, meskipun pelaksanaannya dapat melibatkan kolaborasi dengan disiplin lain, menegaskan pentingnya peran Dokter Subspesialis Obstetri Ginekologi Sosial sebagai koordinator kesehatan menyeluruh perempuan usia lanjut, bukan hanya berfokus pada organ reproduksi semata.</w:t>
      </w:r>
    </w:p>
    <w:p>
      <w:pPr>
        <w:pStyle w:val="Heading2"/>
        <w:spacing w:after="160" w:before="300"/>
      </w:pPr>
      <w:r>
        <w:rPr>
          <w:rFonts w:ascii="Calibri" w:cs="Calibri" w:eastAsia="Calibri" w:hAnsi="Calibri"/>
          <w:b/>
          <w:bCs/>
          <w:color w:val="7A1F3D"/>
          <w:sz w:val="26"/>
          <w:szCs w:val="26"/>
        </w:rPr>
        <w:t xml:space="preserve">5.3 Evaluasi Keberhasilan Terapi dan Penyesuaian Rencana Tata Laksana</w:t>
      </w:r>
    </w:p>
    <w:p>
      <w:pPr>
        <w:spacing w:after="160" w:line="300"/>
        <w:jc w:val="both"/>
      </w:pPr>
      <w:r>
        <w:rPr>
          <w:rFonts w:ascii="Calibri" w:cs="Calibri" w:eastAsia="Calibri" w:hAnsi="Calibri"/>
          <w:color w:val="222222"/>
          <w:sz w:val="22"/>
          <w:szCs w:val="22"/>
        </w:rPr>
        <w:t xml:space="preserve">Evaluasi keberhasilan terapi menopause perlu dilakukan secara terstruktur dengan membandingkan derajat keparahan gejala sebelum dan sesudah intervensi, idealnya menggunakan instrumen terstandar seperti catatan harian gejala vasomotor atau kuesioner kualitas hidup yang telah disinggung pada Bab 4, bukan hanya berdasarkan kesan subjektif klinisi maupun pasien secara sepintas.</w:t>
      </w:r>
    </w:p>
    <w:p>
      <w:pPr>
        <w:spacing w:after="160" w:line="300"/>
        <w:jc w:val="both"/>
      </w:pPr>
      <w:r>
        <w:rPr>
          <w:rFonts w:ascii="Calibri" w:cs="Calibri" w:eastAsia="Calibri" w:hAnsi="Calibri"/>
          <w:color w:val="222222"/>
          <w:sz w:val="22"/>
          <w:szCs w:val="22"/>
        </w:rPr>
        <w:t xml:space="preserve">Bila respons terapi tidak adekuat setelah periode uji yang cukup (umumnya beberapa bulan untuk terapi farmakologis mencapai efek optimal), klinisi perlu meninjau ulang diagnosis, kepatuhan pasien terhadap regimen, kemungkinan interaksi obat, serta mempertimbangkan penyesuaian dosis, pergantian jalur pemberian, atau kombinasi dengan modalitas non-farmakologis sebagaimana dibahas pada Bab 3.</w:t>
      </w:r>
    </w:p>
    <w:p>
      <w:pPr>
        <w:spacing w:after="160" w:line="300"/>
        <w:jc w:val="both"/>
      </w:pPr>
      <w:r>
        <w:rPr>
          <w:rFonts w:ascii="Calibri" w:cs="Calibri" w:eastAsia="Calibri" w:hAnsi="Calibri"/>
          <w:color w:val="222222"/>
          <w:sz w:val="22"/>
          <w:szCs w:val="22"/>
        </w:rPr>
        <w:t xml:space="preserve">Efek samping yang muncul selama terapi, seperti perdarahan abnormal pada penggunaan HRT, perlu dievaluasi segera dan tidak diabaikan sebagai efek samping ringan yang dianggap wajar, mengingat pentingnya menyingkirkan penyebab patologis pada setiap perdarahan pascamenopause yang tidak terduga di luar pola withdrawal bleeding yang direncanakan pada regimen siklik.</w:t>
      </w:r>
    </w:p>
    <w:p>
      <w:pPr>
        <w:spacing w:after="160" w:line="300"/>
        <w:jc w:val="both"/>
      </w:pPr>
      <w:r>
        <w:rPr>
          <w:rFonts w:ascii="Calibri" w:cs="Calibri" w:eastAsia="Calibri" w:hAnsi="Calibri"/>
          <w:color w:val="222222"/>
          <w:sz w:val="22"/>
          <w:szCs w:val="22"/>
        </w:rPr>
        <w:t xml:space="preserve">Penyesuaian rencana tata laksana bersifat dinamis dan perlu ditinjau ulang seiring perjalanan waktu, mengingat kebutuhan dan profil risiko pasien dapat berubah dari fase pascamenopause dini menuju pascamenopause lanjut, sehingga keputusan yang tepat pada satu titik waktu tidak selalu tetap optimal pada tahun-tahun berikutnya.</w:t>
      </w:r>
    </w:p>
    <w:p>
      <w:pPr>
        <w:pStyle w:val="Heading2"/>
        <w:spacing w:after="160" w:before="300"/>
      </w:pPr>
      <w:r>
        <w:rPr>
          <w:rFonts w:ascii="Calibri" w:cs="Calibri" w:eastAsia="Calibri" w:hAnsi="Calibri"/>
          <w:b/>
          <w:bCs/>
          <w:color w:val="7A1F3D"/>
          <w:sz w:val="26"/>
          <w:szCs w:val="26"/>
        </w:rPr>
        <w:t xml:space="preserve">5.4 Edukasi Berkelanjutan dan Kriteria Rujukan</w:t>
      </w:r>
    </w:p>
    <w:p>
      <w:pPr>
        <w:spacing w:after="160" w:line="300"/>
        <w:jc w:val="both"/>
      </w:pPr>
      <w:r>
        <w:rPr>
          <w:rFonts w:ascii="Calibri" w:cs="Calibri" w:eastAsia="Calibri" w:hAnsi="Calibri"/>
          <w:color w:val="222222"/>
          <w:sz w:val="22"/>
          <w:szCs w:val="22"/>
        </w:rPr>
        <w:t xml:space="preserve">Edukasi berkelanjutan kepada pasien mengenai perjalanan alami menopause, tanda bahaya yang memerlukan evaluasi segera, dan pentingnya kepatuhan terhadap jadwal pemantauan tahunan merupakan bagian integral tata laksana jangka panjang, membantu pasien menjadi mitra aktif dalam menjaga kesehatannya sendiri dan bukan sekadar penerima instruksi medis secara pasif.</w:t>
      </w:r>
    </w:p>
    <w:p>
      <w:pPr>
        <w:spacing w:after="160" w:line="300"/>
        <w:jc w:val="both"/>
      </w:pPr>
      <w:r>
        <w:rPr>
          <w:rFonts w:ascii="Calibri" w:cs="Calibri" w:eastAsia="Calibri" w:hAnsi="Calibri"/>
          <w:color w:val="222222"/>
          <w:sz w:val="22"/>
          <w:szCs w:val="22"/>
        </w:rPr>
        <w:t xml:space="preserve">Kriteria rujukan ke subspesialis lain atau fasilitas kesehatan tingkat lanjut perlu dipahami dengan jelas oleh Dokter Subspesialis Obstetri Ginekologi Sosial, meliputi antara lain perdarahan pascamenopause dengan kecurigaan keganasan, osteoporosis berat dengan riwayat fraktur fragilitas yang memerlukan tata laksana subspesialistik metabolik tulang, gejala psikologis berat yang tidak membaik dengan konseling suportif, dan kasus dengan komorbiditas kardiovaskular kompleks yang memerlukan koordinasi bersama kardiologi.</w:t>
      </w:r>
    </w:p>
    <w:p>
      <w:pPr>
        <w:spacing w:after="160" w:line="300"/>
        <w:jc w:val="both"/>
      </w:pPr>
      <w:r>
        <w:rPr>
          <w:rFonts w:ascii="Calibri" w:cs="Calibri" w:eastAsia="Calibri" w:hAnsi="Calibri"/>
          <w:color w:val="222222"/>
          <w:sz w:val="22"/>
          <w:szCs w:val="22"/>
        </w:rPr>
        <w:t xml:space="preserve">Dokumentasi klinis yang baik pada setiap kunjungan tindak lanjut, mencakup gejala, hasil pemeriksaan, keputusan terapi, dan rencana pemantauan berikutnya, mendukung kontinuitas perawatan terutama bila pasien memerlukan rujukan atau alih rawat, serta memudahkan evaluasi tren perubahan status kesehatan pasien dari waktu ke waktu.</w:t>
      </w:r>
    </w:p>
    <w:p>
      <w:pPr>
        <w:spacing w:after="160" w:line="300"/>
        <w:jc w:val="both"/>
      </w:pPr>
      <w:r>
        <w:rPr>
          <w:rFonts w:ascii="Calibri" w:cs="Calibri" w:eastAsia="Calibri" w:hAnsi="Calibri"/>
          <w:color w:val="222222"/>
          <w:sz w:val="22"/>
          <w:szCs w:val="22"/>
        </w:rPr>
        <w:t xml:space="preserve">Sebagai penutup rangkaian tata laksana menopause dalam buku ini, penting ditekankan bahwa pendekatan biopsikososial yang konsisten sejak Bab 1 hingga Bab 5 — memahami fisiologi, menilai risiko, memilih terapi yang tepat, memberikan dukungan psikososial, dan melakukan pemantauan berkelanjutan — merupakan kerangka kerja terintegrasi yang saling melengkapi, bukan tahapan yang berdiri sendiri-sendiri.</w:t>
      </w:r>
    </w:p>
    <w:p>
      <w:pPr>
        <w:spacing w:after="120" w:before="200"/>
      </w:pPr>
      <w:r>
        <w:rPr>
          <w:rFonts w:ascii="Calibri" w:cs="Calibri" w:eastAsia="Calibri" w:hAnsi="Calibri"/>
          <w:b/>
          <w:bCs/>
          <w:i/>
          <w:iCs/>
          <w:color w:val="555555"/>
          <w:sz w:val="21"/>
          <w:szCs w:val="21"/>
        </w:rPr>
        <w:t xml:space="preserve">Tabel 5.1 Ringkasan Jadwal Pemantauan Tahunan Pascamenopause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Komponen</w:t>
            </w:r>
          </w:p>
        </w:tc>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Interval/Keterangan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Anamnesis gejala &amp; evaluasi terapi</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Setiap kunjungan tahunan</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Tekanan darah, IMT, lingkar pinggang</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Setiap kunjungan tahunan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Profil lipid &amp; status glikemik</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Berkala sesuai risiko kardiovaskular individual</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DXA</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Sesuai interval berdasarkan hasil sebelumnya &amp; risiko fraktur (umumnya tiap 2 tahun pada risiko tinggi)</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Mamografi</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Sesuai pedoman usia/interval berlaku</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Skrining serviks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Sesuai pedoman usia/interval &amp; riwayat skrining</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Evaluasi endometrium</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Segera bila terdapat perdarahan pascamenopause di luar pola terjadwal</w:t>
            </w:r>
          </w:p>
        </w:tc>
      </w:tr>
    </w:tbl>
    <w:p>
      <w:pPr>
        <w:spacing w:after="200"/>
      </w:pP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shd w:fill="7A1F3D" w:val="clear"/>
            <w:tcMar>
              <w:top w:type="dxa" w:w="100"/>
              <w:left w:type="dxa" w:w="150"/>
              <w:bottom w:type="dxa" w:w="100"/>
              <w:right w:type="dxa" w:w="150"/>
            </w:tcMar>
          </w:tcPr>
          <w:p>
            <w:r>
              <w:rPr>
                <w:rFonts w:ascii="Calibri" w:cs="Calibri" w:eastAsia="Calibri" w:hAnsi="Calibri"/>
                <w:b/>
                <w:bCs/>
                <w:color w:val="FFFFFF"/>
                <w:sz w:val="23"/>
                <w:szCs w:val="23"/>
              </w:rPr>
              <w:t xml:space="preserve">Poin Kunci</w:t>
            </w:r>
          </w:p>
        </w:tc>
      </w:tr>
      <w:tr>
        <w:tc>
          <w:tcPr>
            <w:shd w:fill="F3E5EA" w:val="clear"/>
            <w:tcMar>
              <w:top w:type="dxa" w:w="150"/>
              <w:left w:type="dxa" w:w="200"/>
              <w:bottom w:type="dxa" w:w="150"/>
              <w:right w:type="dxa" w:w="200"/>
            </w:tcMar>
          </w:tcPr>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Kunjungan tahunan pascamenopause mencakup evaluasi gejala, terapi, antropometri, dan pemeriksaan fisik terstruktur, bukan hanya menanggapi keluhan pasien.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Evaluasi ulang indikasi dan dosis HRT dilakukan setidaknya setiap tahun, bukan dilanjutkan otomatis tanpa peninjauan.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Perdarahan pascamenopause di luar pola terjadwal adalah tanda bahaya yang memerlukan evaluasi endometrium segera.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Interval DXA ulang ditentukan oleh hasil sebelumnya dan tingkat risiko fraktur individual pasien.</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Keberhasilan terapi idealnya dievaluasi dengan instrumen terstandar, bukan kesan subjektif semata.</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Rencana tata laksana bersifat dinamis dan perlu ditinjau ulang seiring perubahan fase pascamenopause dini menuju lanjut.</w:t>
            </w:r>
          </w:p>
          <w:p>
            <w:pPr>
              <w:spacing w:after="9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Kriteria rujukan yang jelas dan dokumentasi klinis yang baik mendukung kontinuitas perawatan lintas profesi dan fasilitas.</w:t>
            </w:r>
          </w:p>
        </w:tc>
      </w:tr>
    </w:tbl>
    <w:p>
      <w:pPr>
        <w:spacing w:after="200"/>
      </w:pPr>
    </w:p>
    <w:p>
      <w:pPr>
        <w:spacing w:after="120" w:before="300"/>
      </w:pPr>
      <w:r>
        <w:rPr>
          <w:rFonts w:ascii="Calibri" w:cs="Calibri" w:eastAsia="Calibri" w:hAnsi="Calibri"/>
          <w:b/>
          <w:bCs/>
          <w:color w:val="7A1F3D"/>
          <w:sz w:val="23"/>
          <w:szCs w:val="23"/>
        </w:rPr>
        <w:t xml:space="preserve">Referensi</w:t>
      </w:r>
    </w:p>
    <w:p>
      <w:pPr>
        <w:spacing w:after="80"/>
        <w:ind w:left="360" w:hanging="360"/>
      </w:pPr>
      <w:r>
        <w:rPr>
          <w:rFonts w:ascii="Calibri" w:cs="Calibri" w:eastAsia="Calibri" w:hAnsi="Calibri"/>
          <w:color w:val="444444"/>
          <w:sz w:val="19"/>
          <w:szCs w:val="19"/>
        </w:rPr>
        <w:t xml:space="preserve">1. American College of Obstetricians and Gynecologists. Practice Bulletin No. 141: Management of Menopausal Symptoms. Obstet Gynecol. 2014;123(1):202-216 (reaffirmed 2024). Tersedia di: https://www.acog.org/clinical/clinical-guidance/practice-bulletin/articles/2014/01/management-of-menopausal-symptoms</w:t>
      </w:r>
    </w:p>
    <w:p>
      <w:pPr>
        <w:spacing w:after="80"/>
        <w:ind w:left="360" w:hanging="360"/>
      </w:pPr>
      <w:r>
        <w:rPr>
          <w:rFonts w:ascii="Calibri" w:cs="Calibri" w:eastAsia="Calibri" w:hAnsi="Calibri"/>
          <w:color w:val="444444"/>
          <w:sz w:val="19"/>
          <w:szCs w:val="19"/>
        </w:rPr>
        <w:t xml:space="preserve">2. "The 2022 Hormone Therapy Position Statement of The North American Menopause Society" Advisory Panel. The 2022 hormone therapy position statement of The North American Menopause Society. Menopause. 2022;29(7):767-794.</w:t>
      </w:r>
    </w:p>
    <w:p>
      <w:pPr>
        <w:spacing w:after="80"/>
        <w:ind w:left="360" w:hanging="360"/>
      </w:pPr>
      <w:r>
        <w:rPr>
          <w:rFonts w:ascii="Calibri" w:cs="Calibri" w:eastAsia="Calibri" w:hAnsi="Calibri"/>
          <w:color w:val="444444"/>
          <w:sz w:val="19"/>
          <w:szCs w:val="19"/>
        </w:rPr>
        <w:t xml:space="preserve">3. Berek JS, editor. Berek &amp; Novak's Gynecology. 17th ed. Philadelphia: Wolters Kluwer; 2026.</w:t>
      </w:r>
    </w:p>
    <w:p>
      <w:pPr>
        <w:spacing w:after="80"/>
        <w:ind w:left="360" w:hanging="360"/>
      </w:pPr>
      <w:r>
        <w:rPr>
          <w:rFonts w:ascii="Calibri" w:cs="Calibri" w:eastAsia="Calibri" w:hAnsi="Calibri"/>
          <w:color w:val="444444"/>
          <w:sz w:val="19"/>
          <w:szCs w:val="19"/>
        </w:rPr>
        <w:t xml:space="preserve">4. Cunningham FG, Leveno KJ, Dashe JS, Hoffman BL, Spong CY, Casey BM, editors. Williams Obstetrics. 26th ed. New York: McGraw Hill; 2022.</w:t>
      </w:r>
    </w:p>
    <w:p>
      <w:pPr>
        <w:pStyle w:val="Heading1"/>
        <w:pBdr>
          <w:bottom w:val="single" w:color="7A1F3D" w:sz="12" w:space="6"/>
        </w:pBdr>
        <w:spacing w:after="240" w:before="400"/>
      </w:pPr>
      <w:r>
        <w:rPr>
          <w:rFonts w:ascii="Calibri" w:cs="Calibri" w:eastAsia="Calibri" w:hAnsi="Calibri"/>
          <w:b/>
          <w:bCs/>
          <w:color w:val="7A1F3D"/>
          <w:sz w:val="32"/>
          <w:szCs w:val="32"/>
        </w:rPr>
        <w:t xml:space="preserve">GLOSARIUM</w:t>
      </w:r>
    </w:p>
    <w:p>
      <w:pPr>
        <w:spacing w:after="120" w:before="200"/>
      </w:pPr>
      <w:r>
        <w:rPr>
          <w:rFonts w:ascii="Calibri" w:cs="Calibri" w:eastAsia="Calibri" w:hAnsi="Calibri"/>
          <w:b/>
          <w:bCs/>
          <w:i/>
          <w:iCs/>
          <w:color w:val="555555"/>
          <w:sz w:val="21"/>
          <w:szCs w:val="21"/>
        </w:rP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Istilah</w:t>
            </w:r>
          </w:p>
        </w:tc>
        <w:tc>
          <w:tcPr>
            <w:tcW w:type="dxa" w:w="4675"/>
            <w:shd w:fill="7A1F3D"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Deskripsi</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Amenore</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Tidak terjadinya menstruasi dalam periode waktu tertentu.</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Aterosklerosis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Proses penumpukan plak lemak pada dinding pembuluh darah arteri.</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Atrofi vulvovaginal</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Penipisan dan kekeringan jaringan vulva dan vagina akibat defisiensi estrogen; kini tercakup dalam istilah GSM.</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Dispareunia</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Nyeri saat atau setelah hubungan seksual.</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Empty nest syndrome</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Kondisi psikososial yang muncul ketika anak-anak meninggalkan rumah keluarga.</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Estrogen unopposed</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Paparan estrogen tanpa perlawanan progestogen, meningkatkan risiko hiperplasia endometrium.</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Fezolinetant</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Antagonis reseptor neurokinin-3 (NK3), obat non-hormonal pertama yang disetujui khusus untuk gejala vasomotor menopause.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Fraktur fragilitas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Fraktur yang terjadi akibat trauma ringan yang seharusnya tidak menyebabkan fraktur pada tulang normal.</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Hot flashes</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Sensasi panas mendadak yang menjalar dari dada ke wajah, gejala vasomotor khas menopause.</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Insufisiensi ovarium prematur</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Hilangnya fungsi ovarium normal sebelum usia 40 tahun.</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Osteopenia</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Densitas mineral tulang di bawah normal namun belum mencapai ambang osteoporosis.</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Osteoporosis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Penurunan densitas dan kualitas tulang yang meningkatkan risiko fraktur.</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Perimenopause</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Masa transisi menuju menopause yang ditandai perubahan pola siklus menstruasi dan fluktuasi hormon.</w:t>
            </w:r>
          </w:p>
        </w:tc>
      </w:tr>
      <w:tr>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Timing hypothesis</w:t>
            </w:r>
          </w:p>
        </w:tc>
        <w:tc>
          <w:tcPr>
            <w:tcW w:type="dxa" w:w="4675"/>
            <w:shd w:fill="F2F2F2" w:val="clear"/>
            <w:tcMar>
              <w:top w:type="dxa" w:w="90"/>
              <w:left w:type="dxa" w:w="120"/>
              <w:bottom w:type="dxa" w:w="90"/>
              <w:right w:type="dxa" w:w="120"/>
            </w:tcMar>
          </w:tcPr>
          <w:p>
            <w:r>
              <w:rPr>
                <w:rFonts w:ascii="Calibri" w:cs="Calibri" w:eastAsia="Calibri" w:hAnsi="Calibri"/>
                <w:color w:val="222222"/>
                <w:sz w:val="20"/>
                <w:szCs w:val="20"/>
              </w:rPr>
              <w:t xml:space="preserve">Konsep bahwa manfaat kardiovaskular HRT lebih besar bila dimulai dekat onset menopause dibandingkan bertahun-tahun setelahnya.</w:t>
            </w:r>
          </w:p>
        </w:tc>
      </w:tr>
      <w:tr>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Vasomotor</w:t>
            </w:r>
          </w:p>
        </w:tc>
        <w:tc>
          <w:tcPr>
            <w:tcW w:type="dxa" w:w="4675"/>
            <w:shd w:fill="FFFFFF" w:val="clear"/>
            <w:tcMar>
              <w:top w:type="dxa" w:w="90"/>
              <w:left w:type="dxa" w:w="120"/>
              <w:bottom w:type="dxa" w:w="90"/>
              <w:right w:type="dxa" w:w="120"/>
            </w:tcMar>
          </w:tcPr>
          <w:p>
            <w:r>
              <w:rPr>
                <w:rFonts w:ascii="Calibri" w:cs="Calibri" w:eastAsia="Calibri" w:hAnsi="Calibri"/>
                <w:color w:val="222222"/>
                <w:sz w:val="20"/>
                <w:szCs w:val="20"/>
              </w:rPr>
              <w:t xml:space="preserve">Berkaitan dengan perubahan diameter pembuluh darah; pada konteks menopause merujuk pada gejala hot flashes dan keringat malam.</w:t>
            </w:r>
          </w:p>
        </w:tc>
      </w:tr>
    </w:tbl>
    <w:p>
      <w:r>
        <w:br w:type="page"/>
      </w:r>
    </w:p>
    <w:p>
      <w:pPr>
        <w:pStyle w:val="Heading1"/>
        <w:pBdr>
          <w:bottom w:val="single" w:color="7A1F3D" w:sz="12" w:space="6"/>
        </w:pBdr>
        <w:spacing w:after="240" w:before="400"/>
      </w:pPr>
      <w:r>
        <w:rPr>
          <w:rFonts w:ascii="Calibri" w:cs="Calibri" w:eastAsia="Calibri" w:hAnsi="Calibri"/>
          <w:b/>
          <w:bCs/>
          <w:color w:val="7A1F3D"/>
          <w:sz w:val="32"/>
          <w:szCs w:val="32"/>
        </w:rPr>
        <w:t xml:space="preserve">DAFTAR PUSTAKA</w:t>
      </w:r>
    </w:p>
    <w:p>
      <w:pPr>
        <w:spacing w:after="100"/>
        <w:ind w:left="360" w:hanging="360"/>
      </w:pPr>
      <w:r>
        <w:rPr>
          <w:rFonts w:ascii="Calibri" w:cs="Calibri" w:eastAsia="Calibri" w:hAnsi="Calibri"/>
          <w:color w:val="222222"/>
          <w:sz w:val="20"/>
          <w:szCs w:val="20"/>
        </w:rPr>
        <w:t xml:space="preserve">1. Konsil Kesehatan Indonesia. Keputusan Ketua Konsil Kesehatan Indonesia Nomor HK.01.02/KKI/1318/2026 tentang Standar Kompetensi Dokter Spesialis dan Subspesialis Bidang Obstetri dan Ginekologi, Lampiran Tabel 25 dan Tabel 37, butir 16 "Kasus Menopause".</w:t>
      </w:r>
    </w:p>
    <w:p>
      <w:pPr>
        <w:spacing w:after="100"/>
        <w:ind w:left="360" w:hanging="360"/>
      </w:pPr>
      <w:r>
        <w:rPr>
          <w:rFonts w:ascii="Calibri" w:cs="Calibri" w:eastAsia="Calibri" w:hAnsi="Calibri"/>
          <w:color w:val="222222"/>
          <w:sz w:val="20"/>
          <w:szCs w:val="20"/>
        </w:rPr>
        <w:t xml:space="preserve">2. Republik Indonesia. Undang-Undang Nomor 17 Tahun 2023 tentang Kesehatan.</w:t>
      </w:r>
    </w:p>
    <w:p>
      <w:pPr>
        <w:spacing w:after="100"/>
        <w:ind w:left="360" w:hanging="360"/>
      </w:pPr>
      <w:r>
        <w:rPr>
          <w:rFonts w:ascii="Calibri" w:cs="Calibri" w:eastAsia="Calibri" w:hAnsi="Calibri"/>
          <w:color w:val="222222"/>
          <w:sz w:val="20"/>
          <w:szCs w:val="20"/>
        </w:rPr>
        <w:t xml:space="preserve">3. Republik Indonesia. Peraturan Pemerintah Nomor 28 Tahun 2024 tentang Peraturan Pelaksanaan Undang-Undang Nomor 17 Tahun 2023 tentang Kesehatan.</w:t>
      </w:r>
    </w:p>
    <w:p>
      <w:pPr>
        <w:spacing w:after="100"/>
        <w:ind w:left="360" w:hanging="360"/>
      </w:pPr>
      <w:r>
        <w:rPr>
          <w:rFonts w:ascii="Calibri" w:cs="Calibri" w:eastAsia="Calibri" w:hAnsi="Calibri"/>
          <w:color w:val="222222"/>
          <w:sz w:val="20"/>
          <w:szCs w:val="20"/>
        </w:rPr>
        <w:t xml:space="preserve">4. Cunningham FG, Leveno KJ, Dashe JS, Hoffman BL, Spong CY, Casey BM, editors. Williams Obstetrics. 26th ed. New York: McGraw Hill; 2022.</w:t>
      </w:r>
    </w:p>
    <w:p>
      <w:pPr>
        <w:spacing w:after="100"/>
        <w:ind w:left="360" w:hanging="360"/>
      </w:pPr>
      <w:r>
        <w:rPr>
          <w:rFonts w:ascii="Calibri" w:cs="Calibri" w:eastAsia="Calibri" w:hAnsi="Calibri"/>
          <w:color w:val="222222"/>
          <w:sz w:val="20"/>
          <w:szCs w:val="20"/>
        </w:rPr>
        <w:t xml:space="preserve">5. Berek JS, editor. Berek &amp; Novak's Gynecology. 17th ed. Philadelphia: Wolters Kluwer; 2026.</w:t>
      </w:r>
    </w:p>
    <w:p>
      <w:pPr>
        <w:spacing w:after="100"/>
        <w:ind w:left="360" w:hanging="360"/>
      </w:pPr>
      <w:r>
        <w:rPr>
          <w:rFonts w:ascii="Calibri" w:cs="Calibri" w:eastAsia="Calibri" w:hAnsi="Calibri"/>
          <w:color w:val="222222"/>
          <w:sz w:val="20"/>
          <w:szCs w:val="20"/>
        </w:rPr>
        <w:t xml:space="preserve">6. Harlow SD, Gass M, Hall JE, et al., for the STRAW + 10 Collaborative Group. Executive summary of the Stages of Reproductive Aging Workshop + 10: addressing the unfinished agenda of staging reproductive aging. Climacteric. 2012;15(2):105-114.</w:t>
      </w:r>
      <w:r>
        <w:rPr>
          <w:rFonts w:ascii="Calibri" w:cs="Calibri" w:eastAsia="Calibri" w:hAnsi="Calibri"/>
          <w:color w:val="222222"/>
          <w:sz w:val="20"/>
          <w:szCs w:val="20"/>
        </w:rPr>
        <w:t xml:space="preserve"> Tersedia di: </w:t>
      </w:r>
      <w:hyperlink w:history="1" r:id="rIdgosrr9_atlp4nobhhqhel">
        <w:r>
          <w:rPr>
            <w:rFonts w:ascii="Calibri" w:cs="Calibri" w:eastAsia="Calibri" w:hAnsi="Calibri"/>
            <w:color w:val="1155CC"/>
            <w:sz w:val="20"/>
            <w:szCs w:val="20"/>
            <w:u w:val="single"/>
          </w:rPr>
          <w:t xml:space="preserve">https://pmc.ncbi.nlm.nih.gov/articles/PMC3580996</w:t>
        </w:r>
      </w:hyperlink>
    </w:p>
    <w:p>
      <w:pPr>
        <w:spacing w:after="100"/>
        <w:ind w:left="360" w:hanging="360"/>
      </w:pPr>
      <w:r>
        <w:rPr>
          <w:rFonts w:ascii="Calibri" w:cs="Calibri" w:eastAsia="Calibri" w:hAnsi="Calibri"/>
          <w:color w:val="222222"/>
          <w:sz w:val="20"/>
          <w:szCs w:val="20"/>
        </w:rPr>
        <w:t xml:space="preserve">7. "The 2022 Hormone Therapy Position Statement of The North American Menopause Society" Advisory Panel. The 2022 hormone therapy position statement of The North American Menopause Society. Menopause. 2022;29(7):767-794.</w:t>
      </w:r>
      <w:r>
        <w:rPr>
          <w:rFonts w:ascii="Calibri" w:cs="Calibri" w:eastAsia="Calibri" w:hAnsi="Calibri"/>
          <w:color w:val="222222"/>
          <w:sz w:val="20"/>
          <w:szCs w:val="20"/>
        </w:rPr>
        <w:t xml:space="preserve"> Tersedia di: </w:t>
      </w:r>
      <w:hyperlink w:history="1" r:id="rIdvubmdrfy09atpjghac8sk">
        <w:r>
          <w:rPr>
            <w:rFonts w:ascii="Calibri" w:cs="Calibri" w:eastAsia="Calibri" w:hAnsi="Calibri"/>
            <w:color w:val="1155CC"/>
            <w:sz w:val="20"/>
            <w:szCs w:val="20"/>
            <w:u w:val="single"/>
          </w:rPr>
          <w:t xml:space="preserve">https://menopause.org/wp-content/uploads/professional/nams-2022-hormone-therapy-position-statement.pdf</w:t>
        </w:r>
      </w:hyperlink>
    </w:p>
    <w:p>
      <w:pPr>
        <w:spacing w:after="100"/>
        <w:ind w:left="360" w:hanging="360"/>
      </w:pPr>
      <w:r>
        <w:rPr>
          <w:rFonts w:ascii="Calibri" w:cs="Calibri" w:eastAsia="Calibri" w:hAnsi="Calibri"/>
          <w:color w:val="222222"/>
          <w:sz w:val="20"/>
          <w:szCs w:val="20"/>
        </w:rPr>
        <w:t xml:space="preserve">8. "The 2023 Nonhormone Therapy Position Statement of The North American Menopause Society" Advisory Panel. The 2023 nonhormone therapy position statement of The North American Menopause Society. Menopause. 2023;30(6):573-590.</w:t>
      </w:r>
    </w:p>
    <w:p>
      <w:pPr>
        <w:spacing w:after="100"/>
        <w:ind w:left="360" w:hanging="360"/>
      </w:pPr>
      <w:r>
        <w:rPr>
          <w:rFonts w:ascii="Calibri" w:cs="Calibri" w:eastAsia="Calibri" w:hAnsi="Calibri"/>
          <w:color w:val="222222"/>
          <w:sz w:val="20"/>
          <w:szCs w:val="20"/>
        </w:rPr>
        <w:t xml:space="preserve">9. "The 2020 Genitourinary Syndrome of Menopause Position Statement of The North American Menopause Society" Editorial Panel. The 2020 genitourinary syndrome of menopause position statement of The North American Menopause Society. Menopause. 2020;27(9):976-992.</w:t>
      </w:r>
    </w:p>
    <w:p>
      <w:pPr>
        <w:spacing w:after="100"/>
        <w:ind w:left="360" w:hanging="360"/>
      </w:pPr>
      <w:r>
        <w:rPr>
          <w:rFonts w:ascii="Calibri" w:cs="Calibri" w:eastAsia="Calibri" w:hAnsi="Calibri"/>
          <w:color w:val="222222"/>
          <w:sz w:val="20"/>
          <w:szCs w:val="20"/>
        </w:rPr>
        <w:t xml:space="preserve">10. Mangione CM, Barry MJ, Nicholson WK, et al. Hormone Therapy for the Primary Prevention of Chronic Conditions in Postmenopausal Persons: US Preventive Services Task Force Recommendation Statement. JAMA. 2022;328(17):1740-1746.</w:t>
      </w:r>
      <w:r>
        <w:rPr>
          <w:rFonts w:ascii="Calibri" w:cs="Calibri" w:eastAsia="Calibri" w:hAnsi="Calibri"/>
          <w:color w:val="222222"/>
          <w:sz w:val="20"/>
          <w:szCs w:val="20"/>
        </w:rPr>
        <w:t xml:space="preserve"> Tersedia di: </w:t>
      </w:r>
      <w:hyperlink w:history="1" r:id="rId7-dpdimsvsrzocn2y1jan">
        <w:r>
          <w:rPr>
            <w:rFonts w:ascii="Calibri" w:cs="Calibri" w:eastAsia="Calibri" w:hAnsi="Calibri"/>
            <w:color w:val="1155CC"/>
            <w:sz w:val="20"/>
            <w:szCs w:val="20"/>
            <w:u w:val="single"/>
          </w:rPr>
          <w:t xml:space="preserve">https://www.uspreventiveservicestaskforce.org/uspstf/recommendation/menopausal-hormone-therapy-preventive-medication</w:t>
        </w:r>
      </w:hyperlink>
    </w:p>
    <w:p>
      <w:pPr>
        <w:spacing w:after="100"/>
        <w:ind w:left="360" w:hanging="360"/>
      </w:pPr>
      <w:r>
        <w:rPr>
          <w:rFonts w:ascii="Calibri" w:cs="Calibri" w:eastAsia="Calibri" w:hAnsi="Calibri"/>
          <w:color w:val="222222"/>
          <w:sz w:val="20"/>
          <w:szCs w:val="20"/>
        </w:rPr>
        <w:t xml:space="preserve">11. American College of Obstetricians and Gynecologists. Practice Bulletin No. 141: Management of Menopausal Symptoms. Obstet Gynecol. 2014;123(1):202-216 (reaffirmed 2024).</w:t>
      </w:r>
      <w:r>
        <w:rPr>
          <w:rFonts w:ascii="Calibri" w:cs="Calibri" w:eastAsia="Calibri" w:hAnsi="Calibri"/>
          <w:color w:val="222222"/>
          <w:sz w:val="20"/>
          <w:szCs w:val="20"/>
        </w:rPr>
        <w:t xml:space="preserve"> Tersedia di: </w:t>
      </w:r>
      <w:hyperlink w:history="1" r:id="rIdtl00hbrc5u3at2pbenaby">
        <w:r>
          <w:rPr>
            <w:rFonts w:ascii="Calibri" w:cs="Calibri" w:eastAsia="Calibri" w:hAnsi="Calibri"/>
            <w:color w:val="1155CC"/>
            <w:sz w:val="20"/>
            <w:szCs w:val="20"/>
            <w:u w:val="single"/>
          </w:rPr>
          <w:t xml:space="preserve">https://www.acog.org/clinical/clinical-guidance/practice-bulletin/articles/2014/01/management-of-menopausal-symptoms</w:t>
        </w:r>
      </w:hyperlink>
    </w:p>
    <w:p>
      <w:pPr>
        <w:spacing w:after="100"/>
        <w:ind w:left="360" w:hanging="360"/>
      </w:pPr>
      <w:r>
        <w:rPr>
          <w:rFonts w:ascii="Calibri" w:cs="Calibri" w:eastAsia="Calibri" w:hAnsi="Calibri"/>
          <w:color w:val="222222"/>
          <w:sz w:val="20"/>
          <w:szCs w:val="20"/>
        </w:rPr>
        <w:t xml:space="preserve">12. Kanis JA, on behalf of the WHO Collaborating Centre for Metabolic Bone Diseases, University of Sheffield. FRAX Fracture Risk Assessment Tool [Internet]. Sheffield: University of Sheffield.</w:t>
      </w:r>
      <w:r>
        <w:rPr>
          <w:rFonts w:ascii="Calibri" w:cs="Calibri" w:eastAsia="Calibri" w:hAnsi="Calibri"/>
          <w:color w:val="222222"/>
          <w:sz w:val="20"/>
          <w:szCs w:val="20"/>
        </w:rPr>
        <w:t xml:space="preserve"> Tersedia di: </w:t>
      </w:r>
      <w:hyperlink w:history="1" r:id="rIdwrega7aeeljswjwuwfu8x">
        <w:r>
          <w:rPr>
            <w:rFonts w:ascii="Calibri" w:cs="Calibri" w:eastAsia="Calibri" w:hAnsi="Calibri"/>
            <w:color w:val="1155CC"/>
            <w:sz w:val="20"/>
            <w:szCs w:val="20"/>
            <w:u w:val="single"/>
          </w:rPr>
          <w:t xml:space="preserve">https://www.sheffield.ac.uk/FRAX/</w:t>
        </w:r>
      </w:hyperlink>
    </w:p>
    <w:p>
      <w:pPr>
        <w:spacing w:after="100"/>
        <w:ind w:left="360" w:hanging="360"/>
      </w:pPr>
      <w:r>
        <w:rPr>
          <w:rFonts w:ascii="Calibri" w:cs="Calibri" w:eastAsia="Calibri" w:hAnsi="Calibri"/>
          <w:color w:val="222222"/>
          <w:sz w:val="20"/>
          <w:szCs w:val="20"/>
        </w:rPr>
        <w:t xml:space="preserve">13. Hilditch JR, Lewis J, Peter A, van Maris B, Ross A, Franssen E, Guyatt GH, Norton PG, Dunn E. A menopause-specific quality of life questionnaire: development and psychometric properties. Maturitas. 1996;24(3):161-175.</w:t>
      </w:r>
    </w:p>
    <w:p>
      <w:pPr>
        <w:spacing w:after="100"/>
        <w:ind w:left="360" w:hanging="360"/>
      </w:pPr>
      <w:r>
        <w:rPr>
          <w:rFonts w:ascii="Calibri" w:cs="Calibri" w:eastAsia="Calibri" w:hAnsi="Calibri"/>
          <w:color w:val="222222"/>
          <w:sz w:val="20"/>
          <w:szCs w:val="20"/>
        </w:rPr>
        <w:t xml:space="preserve">14. Perkumpulan Obstetri dan Ginekologi Indonesia (POGI)/Kolegium Obstetri dan Ginekologi Indonesia. Kurikulum dan ketentuan Program Pendidikan Dokter Subspesialis Obstetri Ginekologi Sosial.</w:t>
      </w:r>
    </w:p>
    <w:sectPr>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osrr9_atlp4nobhhqhel" Type="http://schemas.openxmlformats.org/officeDocument/2006/relationships/hyperlink" Target="https://pmc.ncbi.nlm.nih.gov/articles/PMC3580996" TargetMode="External"/><Relationship Id="rIdvubmdrfy09atpjghac8sk" Type="http://schemas.openxmlformats.org/officeDocument/2006/relationships/hyperlink" Target="https://menopause.org/wp-content/uploads/professional/nams-2022-hormone-therapy-position-statement.pdf" TargetMode="External"/><Relationship Id="rId7-dpdimsvsrzocn2y1jan" Type="http://schemas.openxmlformats.org/officeDocument/2006/relationships/hyperlink" Target="https://www.uspreventiveservicestaskforce.org/uspstf/recommendation/menopausal-hormone-therapy-preventive-medication" TargetMode="External"/><Relationship Id="rIdtl00hbrc5u3at2pbenaby" Type="http://schemas.openxmlformats.org/officeDocument/2006/relationships/hyperlink" Target="https://www.acog.org/clinical/clinical-guidance/practice-bulletin/articles/2014/01/management-of-menopausal-symptoms" TargetMode="External"/><Relationship Id="rIdwrega7aeeljswjwuwfu8x" Type="http://schemas.openxmlformats.org/officeDocument/2006/relationships/hyperlink" Target="https://www.sheffield.ac.uk/FRAX/"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2026-08-01T05:15:26.427Z</dcterms:created>
  <dcterms:modified xsi:type="dcterms:W3CDTF">2026-08-01T05:15:26.429Z</dcterms:modified>
</cp:coreProperties>
</file>

<file path=docProps/custom.xml><?xml version="1.0" encoding="utf-8"?>
<Properties xmlns="http://schemas.openxmlformats.org/officeDocument/2006/custom-properties" xmlns:vt="http://schemas.openxmlformats.org/officeDocument/2006/docPropsVTypes"/>
</file>