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shd w:fill="7A1F3D" w:val="clear"/>
            <w:tcMar>
              <w:top w:type="dxa" w:w="600"/>
              <w:left w:type="dxa" w:w="400"/>
              <w:bottom w:type="dxa" w:w="600"/>
              <w:right w:type="dxa" w:w="400"/>
            </w:tcMar>
            <w:vAlign w:val="center"/>
          </w:tcPr>
          <w:p>
            <w:pPr>
              <w:spacing w:after="120"/>
              <w:jc w:val="center"/>
            </w:pPr>
            <w:r>
              <w:rPr>
                <w:b/>
                <w:bCs/>
                <w:color w:val="F3D9E1"/>
                <w:sz w:val="20"/>
                <w:szCs w:val="20"/>
              </w:rPr>
              <w:t xml:space="preserve">SERI BUKU AJAR OBSTETRI GINEKOLOGI SOSIAL</w:t>
            </w:r>
          </w:p>
          <w:p>
            <w:pPr>
              <w:spacing w:after="120"/>
              <w:jc w:val="center"/>
            </w:pPr>
            <w:r>
              <w:rPr>
                <w:b/>
                <w:bCs/>
                <w:color w:val="FFFFFF"/>
                <w:sz w:val="22"/>
                <w:szCs w:val="22"/>
              </w:rPr>
              <w:t xml:space="preserve">BUKU 12 DARI 13 BUKU TEMATIK</w:t>
            </w:r>
          </w:p>
          <w:p>
            <w:pPr>
              <w:spacing w:after="200" w:before="200"/>
              <w:jc w:val="center"/>
            </w:pPr>
            <w:r>
              <w:rPr>
                <w:b/>
                <w:bCs/>
                <w:color w:val="FFFFFF"/>
                <w:sz w:val="44"/>
                <w:szCs w:val="44"/>
              </w:rPr>
              <w:t xml:space="preserve">PENDIDIKAN KLINIS DAN PENGEMBANGAN TENAGA PELATIH KESEHATAN REPRODUKSI</w:t>
            </w:r>
          </w:p>
          <w:p>
            <w:pPr>
              <w:spacing w:after="100" w:before="100"/>
              <w:jc w:val="center"/>
            </w:pPr>
            <w:r>
              <w:rPr>
                <w:i/>
                <w:iCs/>
                <w:color w:val="F3D9E1"/>
                <w:sz w:val="22"/>
                <w:szCs w:val="22"/>
              </w:rPr>
              <w:t xml:space="preserve">Andragogi • Miller's Pyramid • Bedside Teaching • OSCE • Peyton's 4-Step • Umpan Balik • Kalibrasi Penilai</w:t>
            </w:r>
          </w:p>
        </w:tc>
      </w:tr>
    </w:tbl>
    <w:p>
      <w:pPr>
        <w:spacing w:after="200" w:before="600"/>
      </w:pPr>
    </w:p>
    <w:p>
      <w:pPr>
        <w:spacing w:after="120"/>
        <w:jc w:val="center"/>
      </w:pPr>
      <w:r>
        <w:rPr>
          <w:b/>
          <w:bCs/>
          <w:color w:val="555555"/>
          <w:sz w:val="22"/>
          <w:szCs w:val="22"/>
        </w:rPr>
        <w:t xml:space="preserve">Penulis: </w:t>
      </w:r>
      <w:r>
        <w:rPr>
          <w:color w:val="222222"/>
          <w:sz w:val="22"/>
          <w:szCs w:val="22"/>
        </w:rPr>
        <w:t xml:space="preserve">Dr.dr. Budi Siswanto, Sp.OG., Subsp.Obginsos., SH., S.Kom.</w:t>
      </w:r>
    </w:p>
    <w:p>
      <w:pPr>
        <w:spacing w:after="120"/>
        <w:jc w:val="center"/>
      </w:pPr>
      <w:r>
        <w:rPr>
          <w:b/>
          <w:bCs/>
          <w:color w:val="555555"/>
          <w:sz w:val="22"/>
          <w:szCs w:val="22"/>
        </w:rPr>
        <w:t xml:space="preserve">Penerbit: </w:t>
      </w:r>
      <w:r>
        <w:rPr>
          <w:color w:val="222222"/>
          <w:sz w:val="22"/>
          <w:szCs w:val="22"/>
        </w:rPr>
        <w:t xml:space="preserve">Perpustakaan ABBA</w:t>
      </w:r>
    </w:p>
    <w:p>
      <w:pPr>
        <w:spacing w:after="120"/>
        <w:jc w:val="center"/>
      </w:pPr>
      <w:r>
        <w:rPr>
          <w:b/>
          <w:bCs/>
          <w:color w:val="555555"/>
          <w:sz w:val="22"/>
          <w:szCs w:val="22"/>
        </w:rPr>
        <w:t xml:space="preserve">Alamat Penerbit: </w:t>
      </w:r>
      <w:r>
        <w:rPr>
          <w:color w:val="222222"/>
          <w:sz w:val="22"/>
          <w:szCs w:val="22"/>
        </w:rPr>
        <w:t xml:space="preserve">Jl Danau Kerinci No 9 Malang</w:t>
      </w:r>
    </w:p>
    <w:p>
      <w:pPr>
        <w:spacing w:after="120"/>
        <w:jc w:val="center"/>
      </w:pPr>
      <w:r>
        <w:rPr>
          <w:b/>
          <w:bCs/>
          <w:color w:val="555555"/>
          <w:sz w:val="22"/>
          <w:szCs w:val="22"/>
        </w:rPr>
        <w:t xml:space="preserve">Tahun Penyusunan: </w:t>
      </w:r>
      <w:r>
        <w:rPr>
          <w:color w:val="222222"/>
          <w:sz w:val="22"/>
          <w:szCs w:val="22"/>
        </w:rPr>
        <w:t xml:space="preserve">2026</w:t>
      </w:r>
    </w:p>
    <w:p>
      <w:pPr>
        <w:spacing w:before="300"/>
        <w:jc w:val="center"/>
      </w:pPr>
      <w:r>
        <w:rPr>
          <w:i/>
          <w:iCs/>
          <w:color w:val="555555"/>
          <w:sz w:val="22"/>
          <w:szCs w:val="22"/>
        </w:rPr>
        <w:t xml:space="preserve">Disusun untuk Program Pendidikan Dokter Subspesialis Obstetri Ginekologi Sosial</w:t>
      </w:r>
    </w:p>
    <w:p>
      <w:r>
        <w:br w:type="page"/>
      </w:r>
    </w:p>
    <w:p>
      <w:pPr>
        <w:pStyle w:val="Heading1"/>
        <w:spacing w:after="200" w:before="400"/>
      </w:pPr>
      <w:r>
        <w:rPr>
          <w:b/>
          <w:bCs/>
          <w:color w:val="7A1F3D"/>
          <w:sz w:val="36"/>
          <w:szCs w:val="36"/>
        </w:rPr>
        <w:t xml:space="preserve">KATA PENGANTAR</w:t>
      </w:r>
    </w:p>
    <w:p>
      <w:pPr>
        <w:spacing w:after="160" w:line="300"/>
        <w:jc w:val="both"/>
      </w:pPr>
      <w:r>
        <w:rPr>
          <w:sz w:val="22"/>
          <w:szCs w:val="22"/>
        </w:rPr>
        <w:t xml:space="preserve">Buku ke-12 dari rangkaian empat belas buku ajar Seri Obstetri Ginekologi Sosial ini disusun sebagai jawaban atas kebutuhan mendesak akan panduan sistematis bagi peserta didik Program Pendidikan Dokter Subspesialis Obstetri Ginekologi Sosial yang tengah bertransisi peran, dari pembelajar menjadi pelatih klinis bagi residen Obstetri dan Ginekologi junior. Transisi ini menuntut penguasaan kompetensi pedagogis yang selama ini jarang diajarkan secara eksplisit dalam kurikulum kedokteran klinis konvensional, padahal kemampuan mengajar dengan baik merupakan kunci keberlanjutan mutu layanan kesehatan reproduksi lintas generasi tenaga medis.</w:t>
      </w:r>
    </w:p>
    <w:p>
      <w:pPr>
        <w:spacing w:after="160" w:line="300"/>
        <w:jc w:val="both"/>
      </w:pPr>
      <w:r>
        <w:rPr>
          <w:sz w:val="22"/>
          <w:szCs w:val="22"/>
        </w:rPr>
        <w:t xml:space="preserve">Enam bab dalam buku ini disusun secara progresif: dimulai dari kerangka filosofis andragogi dan Miller's Pyramid (Bab 1), dilanjutkan dengan teknik pengajaran praktis di tengah kesibukan klinis melalui One-Minute Preceptor dan microteaching (Bab 2), perancangan instrumen penilaian OSCE yang selaras dengan Standar Kompetensi nasional (Bab 3), fasilitasi keterampilan prosedural melalui Peyton's 4-Step (Bab 4), pemberian umpan balik yang membangun melalui model Pendleton dan SBI (Bab 5), hingga penjaminan mutu pendidikan melalui kalibrasi penilai dan portofolio pembelajaran (Bab 6).</w:t>
      </w:r>
    </w:p>
    <w:p>
      <w:pPr>
        <w:spacing w:after="160" w:line="300"/>
        <w:jc w:val="both"/>
      </w:pPr>
      <w:r>
        <w:rPr>
          <w:sz w:val="22"/>
          <w:szCs w:val="22"/>
        </w:rPr>
        <w:t xml:space="preserve">Sebagaimana ciri khas subspesialisasi Obstetri Ginekologi Sosial, setiap prinsip pedagogis dalam buku ini senantiasa dikontekstualisasikan pada kasus biopsikososial nyata yang dihadapi peserta didik—kekerasan berbasis gender, kehamilan tidak diinginkan, kesehatan mental perinatal—sehingga kompetensi mengajar yang dibangun tidak terlepas dari kepekaan etik dan hukum yang menjadi identitas subspesialisasi ini. Semoga buku ini bermanfaat bagi peserta didik semester 4–5, dosen pembimbing, serta seluruh pemangku kepentingan pendidikan kedokteran subspesialistik di Indonesia.</w:t>
      </w:r>
    </w:p>
    <w:p>
      <w:pPr>
        <w:spacing w:before="300"/>
        <w:jc w:val="right"/>
      </w:pPr>
      <w:r>
        <w:rPr>
          <w:i/>
          <w:iCs/>
          <w:sz w:val="22"/>
          <w:szCs w:val="22"/>
        </w:rPr>
        <w:t xml:space="preserve">Malang, Juli 2026</w:t>
      </w:r>
    </w:p>
    <w:p>
      <w:pPr>
        <w:jc w:val="right"/>
      </w:pPr>
      <w:r>
        <w:rPr>
          <w:b/>
          <w:bCs/>
          <w:sz w:val="22"/>
          <w:szCs w:val="22"/>
        </w:rPr>
        <w:t xml:space="preserve">Dr.dr. Budi Siswanto, Sp.OG., Subsp.Obginsos., SH., S.Kom.</w:t>
      </w:r>
    </w:p>
    <w:p>
      <w:r>
        <w:br w:type="page"/>
      </w:r>
    </w:p>
    <w:p>
      <w:pPr>
        <w:pStyle w:val="Heading1"/>
        <w:spacing w:after="200" w:before="400"/>
      </w:pPr>
      <w:r>
        <w:rPr>
          <w:b/>
          <w:bCs/>
          <w:color w:val="7A1F3D"/>
          <w:sz w:val="36"/>
          <w:szCs w:val="36"/>
        </w:rPr>
        <w:t xml:space="preserve">DAFTAR ISI</w:t>
      </w:r>
    </w:p>
    <w:p>
      <w:pPr>
        <w:spacing w:after="200"/>
      </w:pPr>
      <w:r>
        <w:rPr>
          <w:i/>
          <w:iCs/>
          <w:color w:val="555555"/>
          <w:sz w:val="18"/>
          <w:szCs w:val="18"/>
        </w:rPr>
        <w:t xml:space="preserve">(Perbarui bidang ini di Microsoft Word dengan klik kanan → Update Field, atau References → Update Table, untuk menampilkan nomor halaman otomatis.)</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400"/>
      </w:pPr>
      <w:r>
        <w:rPr>
          <w:b/>
          <w:bCs/>
          <w:color w:val="7A1F3D"/>
          <w:sz w:val="36"/>
          <w:szCs w:val="36"/>
        </w:rPr>
        <w:t xml:space="preserve">DAFTAR SINGKATAN DAN ISTILAH</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6800"/>
      </w:tblGrid>
      <w:tr>
        <w:trPr>
          <w:tblHeader/>
        </w:trPr>
        <w:tc>
          <w:tcPr>
            <w:tcW w:type="dxa" w:w="2200"/>
            <w:shd w:fill="7A1F3D" w:val="clear"/>
            <w:tcMar>
              <w:top w:type="dxa" w:w="100"/>
              <w:left w:type="dxa" w:w="100"/>
              <w:bottom w:type="dxa" w:w="100"/>
              <w:right w:type="dxa" w:w="100"/>
            </w:tcMar>
          </w:tcPr>
          <w:p>
            <w:r>
              <w:rPr>
                <w:b/>
                <w:bCs/>
                <w:color w:val="FFFFFF"/>
                <w:sz w:val="20"/>
                <w:szCs w:val="20"/>
              </w:rPr>
              <w:t xml:space="preserve">Singkatan</w:t>
            </w:r>
          </w:p>
        </w:tc>
        <w:tc>
          <w:tcPr>
            <w:tcW w:type="dxa" w:w="6800"/>
            <w:shd w:fill="7A1F3D" w:val="clear"/>
            <w:tcMar>
              <w:top w:type="dxa" w:w="100"/>
              <w:left w:type="dxa" w:w="100"/>
              <w:bottom w:type="dxa" w:w="100"/>
              <w:right w:type="dxa" w:w="100"/>
            </w:tcMar>
          </w:tcPr>
          <w:p>
            <w:r>
              <w:rPr>
                <w:b/>
                <w:bCs/>
                <w:color w:val="FFFFFF"/>
                <w:sz w:val="20"/>
                <w:szCs w:val="20"/>
              </w:rPr>
              <w:t xml:space="preserve">Kepanjangan</w:t>
            </w:r>
          </w:p>
        </w:tc>
      </w:tr>
      <w:tr>
        <w:tc>
          <w:tcPr>
            <w:tcW w:type="dxa" w:w="2200"/>
            <w:shd w:fill="FFFFFF" w:val="clear"/>
            <w:tcMar>
              <w:top w:type="dxa" w:w="100"/>
              <w:left w:type="dxa" w:w="100"/>
              <w:bottom w:type="dxa" w:w="100"/>
              <w:right w:type="dxa" w:w="100"/>
            </w:tcMar>
          </w:tcPr>
          <w:p>
            <w:r>
              <w:rPr>
                <w:sz w:val="20"/>
                <w:szCs w:val="20"/>
              </w:rPr>
              <w:t xml:space="preserve">AKDR</w:t>
            </w:r>
          </w:p>
        </w:tc>
        <w:tc>
          <w:tcPr>
            <w:tcW w:type="dxa" w:w="6800"/>
            <w:shd w:fill="FFFFFF" w:val="clear"/>
            <w:tcMar>
              <w:top w:type="dxa" w:w="100"/>
              <w:left w:type="dxa" w:w="100"/>
              <w:bottom w:type="dxa" w:w="100"/>
              <w:right w:type="dxa" w:w="100"/>
            </w:tcMar>
          </w:tcPr>
          <w:p>
            <w:r>
              <w:rPr>
                <w:sz w:val="20"/>
                <w:szCs w:val="20"/>
              </w:rPr>
              <w:t xml:space="preserve">Alat Kontrasepsi Dalam Rahim</w:t>
            </w:r>
          </w:p>
        </w:tc>
      </w:tr>
      <w:tr>
        <w:tc>
          <w:tcPr>
            <w:tcW w:type="dxa" w:w="2200"/>
            <w:shd w:fill="F3E4E9" w:val="clear"/>
            <w:tcMar>
              <w:top w:type="dxa" w:w="100"/>
              <w:left w:type="dxa" w:w="100"/>
              <w:bottom w:type="dxa" w:w="100"/>
              <w:right w:type="dxa" w:w="100"/>
            </w:tcMar>
          </w:tcPr>
          <w:p>
            <w:r>
              <w:rPr>
                <w:sz w:val="20"/>
                <w:szCs w:val="20"/>
              </w:rPr>
              <w:t xml:space="preserve">DOPS</w:t>
            </w:r>
          </w:p>
        </w:tc>
        <w:tc>
          <w:tcPr>
            <w:tcW w:type="dxa" w:w="6800"/>
            <w:shd w:fill="F3E4E9" w:val="clear"/>
            <w:tcMar>
              <w:top w:type="dxa" w:w="100"/>
              <w:left w:type="dxa" w:w="100"/>
              <w:bottom w:type="dxa" w:w="100"/>
              <w:right w:type="dxa" w:w="100"/>
            </w:tcMar>
          </w:tcPr>
          <w:p>
            <w:r>
              <w:rPr>
                <w:sz w:val="20"/>
                <w:szCs w:val="20"/>
              </w:rPr>
              <w:t xml:space="preserve">Direct Observation of Procedural Skills</w:t>
            </w:r>
          </w:p>
        </w:tc>
      </w:tr>
      <w:tr>
        <w:tc>
          <w:tcPr>
            <w:tcW w:type="dxa" w:w="2200"/>
            <w:shd w:fill="FFFFFF" w:val="clear"/>
            <w:tcMar>
              <w:top w:type="dxa" w:w="100"/>
              <w:left w:type="dxa" w:w="100"/>
              <w:bottom w:type="dxa" w:w="100"/>
              <w:right w:type="dxa" w:w="100"/>
            </w:tcMar>
          </w:tcPr>
          <w:p>
            <w:r>
              <w:rPr>
                <w:sz w:val="20"/>
                <w:szCs w:val="20"/>
              </w:rPr>
              <w:t xml:space="preserve">ILP</w:t>
            </w:r>
          </w:p>
        </w:tc>
        <w:tc>
          <w:tcPr>
            <w:tcW w:type="dxa" w:w="6800"/>
            <w:shd w:fill="FFFFFF" w:val="clear"/>
            <w:tcMar>
              <w:top w:type="dxa" w:w="100"/>
              <w:left w:type="dxa" w:w="100"/>
              <w:bottom w:type="dxa" w:w="100"/>
              <w:right w:type="dxa" w:w="100"/>
            </w:tcMar>
          </w:tcPr>
          <w:p>
            <w:r>
              <w:rPr>
                <w:sz w:val="20"/>
                <w:szCs w:val="20"/>
              </w:rPr>
              <w:t xml:space="preserve">Individual Learning Plan (Rencana Belajar Individual)</w:t>
            </w:r>
          </w:p>
        </w:tc>
      </w:tr>
      <w:tr>
        <w:tc>
          <w:tcPr>
            <w:tcW w:type="dxa" w:w="2200"/>
            <w:shd w:fill="F3E4E9" w:val="clear"/>
            <w:tcMar>
              <w:top w:type="dxa" w:w="100"/>
              <w:left w:type="dxa" w:w="100"/>
              <w:bottom w:type="dxa" w:w="100"/>
              <w:right w:type="dxa" w:w="100"/>
            </w:tcMar>
          </w:tcPr>
          <w:p>
            <w:r>
              <w:rPr>
                <w:sz w:val="20"/>
                <w:szCs w:val="20"/>
              </w:rPr>
              <w:t xml:space="preserve">KDRT</w:t>
            </w:r>
          </w:p>
        </w:tc>
        <w:tc>
          <w:tcPr>
            <w:tcW w:type="dxa" w:w="6800"/>
            <w:shd w:fill="F3E4E9" w:val="clear"/>
            <w:tcMar>
              <w:top w:type="dxa" w:w="100"/>
              <w:left w:type="dxa" w:w="100"/>
              <w:bottom w:type="dxa" w:w="100"/>
              <w:right w:type="dxa" w:w="100"/>
            </w:tcMar>
          </w:tcPr>
          <w:p>
            <w:r>
              <w:rPr>
                <w:sz w:val="20"/>
                <w:szCs w:val="20"/>
              </w:rPr>
              <w:t xml:space="preserve">Kekerasan Dalam Rumah Tangga</w:t>
            </w:r>
          </w:p>
        </w:tc>
      </w:tr>
      <w:tr>
        <w:tc>
          <w:tcPr>
            <w:tcW w:type="dxa" w:w="2200"/>
            <w:shd w:fill="FFFFFF" w:val="clear"/>
            <w:tcMar>
              <w:top w:type="dxa" w:w="100"/>
              <w:left w:type="dxa" w:w="100"/>
              <w:bottom w:type="dxa" w:w="100"/>
              <w:right w:type="dxa" w:w="100"/>
            </w:tcMar>
          </w:tcPr>
          <w:p>
            <w:r>
              <w:rPr>
                <w:sz w:val="20"/>
                <w:szCs w:val="20"/>
              </w:rPr>
              <w:t xml:space="preserve">Kepkonsil</w:t>
            </w:r>
          </w:p>
        </w:tc>
        <w:tc>
          <w:tcPr>
            <w:tcW w:type="dxa" w:w="6800"/>
            <w:shd w:fill="FFFFFF" w:val="clear"/>
            <w:tcMar>
              <w:top w:type="dxa" w:w="100"/>
              <w:left w:type="dxa" w:w="100"/>
              <w:bottom w:type="dxa" w:w="100"/>
              <w:right w:type="dxa" w:w="100"/>
            </w:tcMar>
          </w:tcPr>
          <w:p>
            <w:r>
              <w:rPr>
                <w:sz w:val="20"/>
                <w:szCs w:val="20"/>
              </w:rPr>
              <w:t xml:space="preserve">Keputusan Ketua Konsil Kesehatan Indonesia</w:t>
            </w:r>
          </w:p>
        </w:tc>
      </w:tr>
      <w:tr>
        <w:tc>
          <w:tcPr>
            <w:tcW w:type="dxa" w:w="2200"/>
            <w:shd w:fill="F3E4E9" w:val="clear"/>
            <w:tcMar>
              <w:top w:type="dxa" w:w="100"/>
              <w:left w:type="dxa" w:w="100"/>
              <w:bottom w:type="dxa" w:w="100"/>
              <w:right w:type="dxa" w:w="100"/>
            </w:tcMar>
          </w:tcPr>
          <w:p>
            <w:r>
              <w:rPr>
                <w:sz w:val="20"/>
                <w:szCs w:val="20"/>
              </w:rPr>
              <w:t xml:space="preserve">Mini-CEX</w:t>
            </w:r>
          </w:p>
        </w:tc>
        <w:tc>
          <w:tcPr>
            <w:tcW w:type="dxa" w:w="6800"/>
            <w:shd w:fill="F3E4E9" w:val="clear"/>
            <w:tcMar>
              <w:top w:type="dxa" w:w="100"/>
              <w:left w:type="dxa" w:w="100"/>
              <w:bottom w:type="dxa" w:w="100"/>
              <w:right w:type="dxa" w:w="100"/>
            </w:tcMar>
          </w:tcPr>
          <w:p>
            <w:r>
              <w:rPr>
                <w:sz w:val="20"/>
                <w:szCs w:val="20"/>
              </w:rPr>
              <w:t xml:space="preserve">Mini Clinical Evaluation Exercise</w:t>
            </w:r>
          </w:p>
        </w:tc>
      </w:tr>
      <w:tr>
        <w:tc>
          <w:tcPr>
            <w:tcW w:type="dxa" w:w="2200"/>
            <w:shd w:fill="FFFFFF" w:val="clear"/>
            <w:tcMar>
              <w:top w:type="dxa" w:w="100"/>
              <w:left w:type="dxa" w:w="100"/>
              <w:bottom w:type="dxa" w:w="100"/>
              <w:right w:type="dxa" w:w="100"/>
            </w:tcMar>
          </w:tcPr>
          <w:p>
            <w:r>
              <w:rPr>
                <w:sz w:val="20"/>
                <w:szCs w:val="20"/>
              </w:rPr>
              <w:t xml:space="preserve">OMP</w:t>
            </w:r>
          </w:p>
        </w:tc>
        <w:tc>
          <w:tcPr>
            <w:tcW w:type="dxa" w:w="6800"/>
            <w:shd w:fill="FFFFFF" w:val="clear"/>
            <w:tcMar>
              <w:top w:type="dxa" w:w="100"/>
              <w:left w:type="dxa" w:w="100"/>
              <w:bottom w:type="dxa" w:w="100"/>
              <w:right w:type="dxa" w:w="100"/>
            </w:tcMar>
          </w:tcPr>
          <w:p>
            <w:r>
              <w:rPr>
                <w:sz w:val="20"/>
                <w:szCs w:val="20"/>
              </w:rPr>
              <w:t xml:space="preserve">One-Minute Preceptor</w:t>
            </w:r>
          </w:p>
        </w:tc>
      </w:tr>
      <w:tr>
        <w:tc>
          <w:tcPr>
            <w:tcW w:type="dxa" w:w="2200"/>
            <w:shd w:fill="F3E4E9" w:val="clear"/>
            <w:tcMar>
              <w:top w:type="dxa" w:w="100"/>
              <w:left w:type="dxa" w:w="100"/>
              <w:bottom w:type="dxa" w:w="100"/>
              <w:right w:type="dxa" w:w="100"/>
            </w:tcMar>
          </w:tcPr>
          <w:p>
            <w:r>
              <w:rPr>
                <w:sz w:val="20"/>
                <w:szCs w:val="20"/>
              </w:rPr>
              <w:t xml:space="preserve">OSCE</w:t>
            </w:r>
          </w:p>
        </w:tc>
        <w:tc>
          <w:tcPr>
            <w:tcW w:type="dxa" w:w="6800"/>
            <w:shd w:fill="F3E4E9" w:val="clear"/>
            <w:tcMar>
              <w:top w:type="dxa" w:w="100"/>
              <w:left w:type="dxa" w:w="100"/>
              <w:bottom w:type="dxa" w:w="100"/>
              <w:right w:type="dxa" w:w="100"/>
            </w:tcMar>
          </w:tcPr>
          <w:p>
            <w:r>
              <w:rPr>
                <w:sz w:val="20"/>
                <w:szCs w:val="20"/>
              </w:rPr>
              <w:t xml:space="preserve">Objective Structured Clinical Examination</w:t>
            </w:r>
          </w:p>
        </w:tc>
      </w:tr>
      <w:tr>
        <w:tc>
          <w:tcPr>
            <w:tcW w:type="dxa" w:w="2200"/>
            <w:shd w:fill="FFFFFF" w:val="clear"/>
            <w:tcMar>
              <w:top w:type="dxa" w:w="100"/>
              <w:left w:type="dxa" w:w="100"/>
              <w:bottom w:type="dxa" w:w="100"/>
              <w:right w:type="dxa" w:w="100"/>
            </w:tcMar>
          </w:tcPr>
          <w:p>
            <w:r>
              <w:rPr>
                <w:sz w:val="20"/>
                <w:szCs w:val="20"/>
              </w:rPr>
              <w:t xml:space="preserve">Obginsos</w:t>
            </w:r>
          </w:p>
        </w:tc>
        <w:tc>
          <w:tcPr>
            <w:tcW w:type="dxa" w:w="6800"/>
            <w:shd w:fill="FFFFFF" w:val="clear"/>
            <w:tcMar>
              <w:top w:type="dxa" w:w="100"/>
              <w:left w:type="dxa" w:w="100"/>
              <w:bottom w:type="dxa" w:w="100"/>
              <w:right w:type="dxa" w:w="100"/>
            </w:tcMar>
          </w:tcPr>
          <w:p>
            <w:r>
              <w:rPr>
                <w:sz w:val="20"/>
                <w:szCs w:val="20"/>
              </w:rPr>
              <w:t xml:space="preserve">Obstetri Ginekologi Sosial</w:t>
            </w:r>
          </w:p>
        </w:tc>
      </w:tr>
      <w:tr>
        <w:tc>
          <w:tcPr>
            <w:tcW w:type="dxa" w:w="2200"/>
            <w:shd w:fill="F3E4E9" w:val="clear"/>
            <w:tcMar>
              <w:top w:type="dxa" w:w="100"/>
              <w:left w:type="dxa" w:w="100"/>
              <w:bottom w:type="dxa" w:w="100"/>
              <w:right w:type="dxa" w:w="100"/>
            </w:tcMar>
          </w:tcPr>
          <w:p>
            <w:r>
              <w:rPr>
                <w:sz w:val="20"/>
                <w:szCs w:val="20"/>
              </w:rPr>
              <w:t xml:space="preserve">PPDS</w:t>
            </w:r>
          </w:p>
        </w:tc>
        <w:tc>
          <w:tcPr>
            <w:tcW w:type="dxa" w:w="6800"/>
            <w:shd w:fill="F3E4E9" w:val="clear"/>
            <w:tcMar>
              <w:top w:type="dxa" w:w="100"/>
              <w:left w:type="dxa" w:w="100"/>
              <w:bottom w:type="dxa" w:w="100"/>
              <w:right w:type="dxa" w:w="100"/>
            </w:tcMar>
          </w:tcPr>
          <w:p>
            <w:r>
              <w:rPr>
                <w:sz w:val="20"/>
                <w:szCs w:val="20"/>
              </w:rPr>
              <w:t xml:space="preserve">Program Pendidikan Dokter Subspesialis</w:t>
            </w:r>
          </w:p>
        </w:tc>
      </w:tr>
      <w:tr>
        <w:tc>
          <w:tcPr>
            <w:tcW w:type="dxa" w:w="2200"/>
            <w:shd w:fill="FFFFFF" w:val="clear"/>
            <w:tcMar>
              <w:top w:type="dxa" w:w="100"/>
              <w:left w:type="dxa" w:w="100"/>
              <w:bottom w:type="dxa" w:w="100"/>
              <w:right w:type="dxa" w:w="100"/>
            </w:tcMar>
          </w:tcPr>
          <w:p>
            <w:r>
              <w:rPr>
                <w:sz w:val="20"/>
                <w:szCs w:val="20"/>
              </w:rPr>
              <w:t xml:space="preserve">POGI</w:t>
            </w:r>
          </w:p>
        </w:tc>
        <w:tc>
          <w:tcPr>
            <w:tcW w:type="dxa" w:w="6800"/>
            <w:shd w:fill="FFFFFF" w:val="clear"/>
            <w:tcMar>
              <w:top w:type="dxa" w:w="100"/>
              <w:left w:type="dxa" w:w="100"/>
              <w:bottom w:type="dxa" w:w="100"/>
              <w:right w:type="dxa" w:w="100"/>
            </w:tcMar>
          </w:tcPr>
          <w:p>
            <w:r>
              <w:rPr>
                <w:sz w:val="20"/>
                <w:szCs w:val="20"/>
              </w:rPr>
              <w:t xml:space="preserve">Perkumpulan Obstetri dan Ginekologi Indonesia</w:t>
            </w:r>
          </w:p>
        </w:tc>
      </w:tr>
      <w:tr>
        <w:tc>
          <w:tcPr>
            <w:tcW w:type="dxa" w:w="2200"/>
            <w:shd w:fill="F3E4E9" w:val="clear"/>
            <w:tcMar>
              <w:top w:type="dxa" w:w="100"/>
              <w:left w:type="dxa" w:w="100"/>
              <w:bottom w:type="dxa" w:w="100"/>
              <w:right w:type="dxa" w:w="100"/>
            </w:tcMar>
          </w:tcPr>
          <w:p>
            <w:r>
              <w:rPr>
                <w:sz w:val="20"/>
                <w:szCs w:val="20"/>
              </w:rPr>
              <w:t xml:space="preserve">SBI</w:t>
            </w:r>
          </w:p>
        </w:tc>
        <w:tc>
          <w:tcPr>
            <w:tcW w:type="dxa" w:w="6800"/>
            <w:shd w:fill="F3E4E9" w:val="clear"/>
            <w:tcMar>
              <w:top w:type="dxa" w:w="100"/>
              <w:left w:type="dxa" w:w="100"/>
              <w:bottom w:type="dxa" w:w="100"/>
              <w:right w:type="dxa" w:w="100"/>
            </w:tcMar>
          </w:tcPr>
          <w:p>
            <w:r>
              <w:rPr>
                <w:sz w:val="20"/>
                <w:szCs w:val="20"/>
              </w:rPr>
              <w:t xml:space="preserve">Situation-Behaviour-Impact</w:t>
            </w:r>
          </w:p>
        </w:tc>
      </w:tr>
      <w:tr>
        <w:tc>
          <w:tcPr>
            <w:tcW w:type="dxa" w:w="2200"/>
            <w:shd w:fill="FFFFFF" w:val="clear"/>
            <w:tcMar>
              <w:top w:type="dxa" w:w="100"/>
              <w:left w:type="dxa" w:w="100"/>
              <w:bottom w:type="dxa" w:w="100"/>
              <w:right w:type="dxa" w:w="100"/>
            </w:tcMar>
          </w:tcPr>
          <w:p>
            <w:r>
              <w:rPr>
                <w:sz w:val="20"/>
                <w:szCs w:val="20"/>
              </w:rPr>
              <w:t xml:space="preserve">Sp.OG.</w:t>
            </w:r>
          </w:p>
        </w:tc>
        <w:tc>
          <w:tcPr>
            <w:tcW w:type="dxa" w:w="6800"/>
            <w:shd w:fill="FFFFFF" w:val="clear"/>
            <w:tcMar>
              <w:top w:type="dxa" w:w="100"/>
              <w:left w:type="dxa" w:w="100"/>
              <w:bottom w:type="dxa" w:w="100"/>
              <w:right w:type="dxa" w:w="100"/>
            </w:tcMar>
          </w:tcPr>
          <w:p>
            <w:r>
              <w:rPr>
                <w:sz w:val="20"/>
                <w:szCs w:val="20"/>
              </w:rPr>
              <w:t xml:space="preserve">Spesialis Obstetri dan Ginekologi</w:t>
            </w:r>
          </w:p>
        </w:tc>
      </w:tr>
      <w:tr>
        <w:tc>
          <w:tcPr>
            <w:tcW w:type="dxa" w:w="2200"/>
            <w:shd w:fill="F3E4E9" w:val="clear"/>
            <w:tcMar>
              <w:top w:type="dxa" w:w="100"/>
              <w:left w:type="dxa" w:w="100"/>
              <w:bottom w:type="dxa" w:w="100"/>
              <w:right w:type="dxa" w:w="100"/>
            </w:tcMar>
          </w:tcPr>
          <w:p>
            <w:r>
              <w:rPr>
                <w:sz w:val="20"/>
                <w:szCs w:val="20"/>
              </w:rPr>
              <w:t xml:space="preserve">TPKS</w:t>
            </w:r>
          </w:p>
        </w:tc>
        <w:tc>
          <w:tcPr>
            <w:tcW w:type="dxa" w:w="6800"/>
            <w:shd w:fill="F3E4E9" w:val="clear"/>
            <w:tcMar>
              <w:top w:type="dxa" w:w="100"/>
              <w:left w:type="dxa" w:w="100"/>
              <w:bottom w:type="dxa" w:w="100"/>
              <w:right w:type="dxa" w:w="100"/>
            </w:tcMar>
          </w:tcPr>
          <w:p>
            <w:r>
              <w:rPr>
                <w:sz w:val="20"/>
                <w:szCs w:val="20"/>
              </w:rPr>
              <w:t xml:space="preserve">Tindak Pidana Kekerasan Seksual</w:t>
            </w:r>
          </w:p>
        </w:tc>
      </w:tr>
      <w:tr>
        <w:tc>
          <w:tcPr>
            <w:tcW w:type="dxa" w:w="2200"/>
            <w:shd w:fill="FFFFFF" w:val="clear"/>
            <w:tcMar>
              <w:top w:type="dxa" w:w="100"/>
              <w:left w:type="dxa" w:w="100"/>
              <w:bottom w:type="dxa" w:w="100"/>
              <w:right w:type="dxa" w:w="100"/>
            </w:tcMar>
          </w:tcPr>
          <w:p>
            <w:r>
              <w:rPr>
                <w:sz w:val="20"/>
                <w:szCs w:val="20"/>
              </w:rPr>
              <w:t xml:space="preserve">ToT</w:t>
            </w:r>
          </w:p>
        </w:tc>
        <w:tc>
          <w:tcPr>
            <w:tcW w:type="dxa" w:w="6800"/>
            <w:shd w:fill="FFFFFF" w:val="clear"/>
            <w:tcMar>
              <w:top w:type="dxa" w:w="100"/>
              <w:left w:type="dxa" w:w="100"/>
              <w:bottom w:type="dxa" w:w="100"/>
              <w:right w:type="dxa" w:w="100"/>
            </w:tcMar>
          </w:tcPr>
          <w:p>
            <w:r>
              <w:rPr>
                <w:sz w:val="20"/>
                <w:szCs w:val="20"/>
              </w:rPr>
              <w:t xml:space="preserve">Training of Trainers (Pelatihan bagi Pelatih)</w:t>
            </w:r>
          </w:p>
        </w:tc>
      </w:tr>
      <w:tr>
        <w:tc>
          <w:tcPr>
            <w:tcW w:type="dxa" w:w="2200"/>
            <w:shd w:fill="F3E4E9" w:val="clear"/>
            <w:tcMar>
              <w:top w:type="dxa" w:w="100"/>
              <w:left w:type="dxa" w:w="100"/>
              <w:bottom w:type="dxa" w:w="100"/>
              <w:right w:type="dxa" w:w="100"/>
            </w:tcMar>
          </w:tcPr>
          <w:p>
            <w:r>
              <w:rPr>
                <w:sz w:val="20"/>
                <w:szCs w:val="20"/>
              </w:rPr>
              <w:t xml:space="preserve">WHO</w:t>
            </w:r>
          </w:p>
        </w:tc>
        <w:tc>
          <w:tcPr>
            <w:tcW w:type="dxa" w:w="6800"/>
            <w:shd w:fill="F3E4E9" w:val="clear"/>
            <w:tcMar>
              <w:top w:type="dxa" w:w="100"/>
              <w:left w:type="dxa" w:w="100"/>
              <w:bottom w:type="dxa" w:w="100"/>
              <w:right w:type="dxa" w:w="100"/>
            </w:tcMar>
          </w:tcPr>
          <w:p>
            <w:r>
              <w:rPr>
                <w:sz w:val="20"/>
                <w:szCs w:val="20"/>
              </w:rPr>
              <w:t xml:space="preserve">World Health Organization</w:t>
            </w:r>
          </w:p>
        </w:tc>
      </w:tr>
    </w:tbl>
    <w:p>
      <w:r>
        <w:br w:type="page"/>
      </w:r>
    </w:p>
    <w:p>
      <w:pPr>
        <w:pStyle w:val="Heading1"/>
        <w:spacing w:after="200" w:before="400"/>
      </w:pPr>
      <w:r>
        <w:rPr>
          <w:b/>
          <w:bCs/>
          <w:color w:val="7A1F3D"/>
          <w:sz w:val="36"/>
          <w:szCs w:val="36"/>
        </w:rPr>
        <w:t xml:space="preserve">BAB 1. PRINSIP ANDRAGOGI DAN MILLER'S PYRAMID DALAM PENDIDIKAN KLINIS</w:t>
      </w:r>
    </w:p>
    <w:p>
      <w:pPr>
        <w:shd w:fill="7A1F3D" w:val="clear"/>
        <w:spacing w:after="0" w:before="200"/>
      </w:pPr>
      <w:r>
        <w:rPr>
          <w:b/>
          <w:bCs/>
          <w:color w:val="FFFFFF"/>
          <w:sz w:val="22"/>
          <w:szCs w:val="22"/>
        </w:rPr>
        <w:t xml:space="preserve">TUJUAN PEMBELAJARAN BAB</w:t>
      </w:r>
    </w:p>
    <w:p>
      <w:pPr>
        <w:pStyle w:val="ListParagraph"/>
        <w:numPr>
          <w:ilvl w:val="0"/>
          <w:numId w:val="1"/>
        </w:numPr>
        <w:shd w:fill="F7F3F1" w:val="clear"/>
        <w:spacing w:after="60"/>
        <w:ind w:left="200" w:right="200"/>
      </w:pPr>
      <w:r>
        <w:rPr>
          <w:color w:val="3A3A3A"/>
          <w:sz w:val="22"/>
          <w:szCs w:val="22"/>
        </w:rPr>
        <w:t xml:space="preserve">Menjelaskan prinsip andragogi Knowles dan relevansinya bagi peserta didik Program Pendidikan Dokter Subspesialis Obstetri Ginekologi Sosial (PPDS Obginsos).</w:t>
      </w:r>
    </w:p>
    <w:p>
      <w:pPr>
        <w:pStyle w:val="ListParagraph"/>
        <w:numPr>
          <w:ilvl w:val="0"/>
          <w:numId w:val="1"/>
        </w:numPr>
        <w:shd w:fill="F7F3F1" w:val="clear"/>
        <w:spacing w:after="60"/>
        <w:ind w:left="200" w:right="200"/>
      </w:pPr>
      <w:r>
        <w:rPr>
          <w:color w:val="3A3A3A"/>
          <w:sz w:val="22"/>
          <w:szCs w:val="22"/>
        </w:rPr>
        <w:t xml:space="preserve">Menguraikan empat tingkat Miller's Pyramid (knows, knows how, shows how, does) secara konkret.</w:t>
      </w:r>
    </w:p>
    <w:p>
      <w:pPr>
        <w:pStyle w:val="ListParagraph"/>
        <w:numPr>
          <w:ilvl w:val="0"/>
          <w:numId w:val="1"/>
        </w:numPr>
        <w:shd w:fill="F7F3F1" w:val="clear"/>
        <w:spacing w:after="60"/>
        <w:ind w:left="200" w:right="200"/>
      </w:pPr>
      <w:r>
        <w:rPr>
          <w:color w:val="3A3A3A"/>
          <w:sz w:val="22"/>
          <w:szCs w:val="22"/>
        </w:rPr>
        <w:t xml:space="preserve">Menghubungkan setiap tingkat Miller's Pyramid dengan metode dan instrumen penilaian kompetensi yang sesuai.</w:t>
      </w:r>
    </w:p>
    <w:p>
      <w:pPr>
        <w:pStyle w:val="ListParagraph"/>
        <w:numPr>
          <w:ilvl w:val="0"/>
          <w:numId w:val="1"/>
        </w:numPr>
        <w:shd w:fill="F7F3F1" w:val="clear"/>
        <w:spacing w:after="60"/>
        <w:ind w:left="200" w:right="200"/>
      </w:pPr>
      <w:r>
        <w:rPr>
          <w:color w:val="3A3A3A"/>
          <w:sz w:val="22"/>
          <w:szCs w:val="22"/>
        </w:rPr>
        <w:t xml:space="preserve">Menerapkan kerangka Miller's Pyramid pada penilaian kompetensi biopsikososial Obginsos.</w:t>
      </w:r>
    </w:p>
    <w:p>
      <w:pPr>
        <w:pStyle w:val="ListParagraph"/>
        <w:numPr>
          <w:ilvl w:val="0"/>
          <w:numId w:val="1"/>
        </w:numPr>
        <w:shd w:fill="F7F3F1" w:val="clear"/>
        <w:spacing w:after="60"/>
        <w:ind w:left="200" w:right="200"/>
      </w:pPr>
      <w:r>
        <w:rPr>
          <w:color w:val="3A3A3A"/>
          <w:sz w:val="22"/>
          <w:szCs w:val="22"/>
        </w:rPr>
        <w:t xml:space="preserve">Mengidentifikasi peran pelatih klinis dalam memfasilitasi pergeseran peserta didik dari tingkat kognitif ke tingkat perilaku nyata.</w:t>
      </w:r>
    </w:p>
    <w:p>
      <w:pPr>
        <w:pStyle w:val="ListParagraph"/>
        <w:numPr>
          <w:ilvl w:val="0"/>
          <w:numId w:val="1"/>
        </w:numPr>
        <w:shd w:fill="F7F3F1" w:val="clear"/>
        <w:spacing w:after="200"/>
        <w:ind w:left="200" w:right="200"/>
      </w:pPr>
      <w:r>
        <w:rPr>
          <w:color w:val="3A3A3A"/>
          <w:sz w:val="22"/>
          <w:szCs w:val="22"/>
        </w:rPr>
        <w:t xml:space="preserve">Menyelaraskan Miller's Pyramid dengan Tabel 19 Kepkonsil Nomor HK.01.02/KKI/1318/2026 serta membandingkannya dengan kerangka kompetensi internasional (ACGME Milestones, CanMEDS).</w:t>
      </w:r>
    </w:p>
    <w:p>
      <w:pPr>
        <w:pStyle w:val="Heading2"/>
        <w:spacing w:after="150" w:before="300"/>
      </w:pPr>
      <w:r>
        <w:rPr>
          <w:b/>
          <w:bCs/>
          <w:color w:val="7A1F3D"/>
          <w:sz w:val="28"/>
          <w:szCs w:val="28"/>
        </w:rPr>
        <w:t xml:space="preserve">1.1 Mengapa Andragogi, Bukan Sekadar Pedagogi</w:t>
      </w:r>
    </w:p>
    <w:p>
      <w:pPr>
        <w:spacing w:after="160" w:line="300"/>
        <w:jc w:val="both"/>
      </w:pPr>
      <w:r>
        <w:rPr>
          <w:sz w:val="22"/>
          <w:szCs w:val="22"/>
        </w:rPr>
        <w:t xml:space="preserve">Pendidikan dokter subspesialis berbeda secara mendasar dari pendidikan kedokteran dasar karena pesertanya adalah profesional dewasa yang telah menuntaskan pendidikan Sp.OG, memiliki pengalaman klinis substansial, dan datang dengan motivasi intrinsik yang spesifik terhadap peran barunya sebagai konsultan Obstetri Ginekologi Sosial. Malcolm Knowles merumuskan enam asumsi andragogi yang menjadi dasar filosofis pendidikan klinis subspesialistik: kebutuhan untuk mengetahui alasan pembelajaran (need to know), konsep diri peserta didik sebagai pribadi yang mandiri (self-directing), peran pengalaman sebelumnya sebagai sumber belajar, kesiapan belajar yang berorientasi pada peran sosial dan tugas kehidupan nyata, orientasi belajar yang berpusat pada masalah (problem-centered) bukan mata pelajaran (subject-centered), serta motivasi yang lebih banyak berasal dari faktor internal dibanding eksternal.</w:t>
      </w:r>
    </w:p>
    <w:p>
      <w:pPr>
        <w:spacing w:after="160" w:line="300"/>
        <w:jc w:val="both"/>
      </w:pPr>
      <w:r>
        <w:rPr>
          <w:sz w:val="22"/>
          <w:szCs w:val="22"/>
        </w:rPr>
        <w:t xml:space="preserve">Dalam konteks pendidikan klinis Obginsos, prinsip andragogi ini diterjemahkan menjadi beberapa konsekuensi praktis bagi pelatih. Pertama, setiap sesi pembelajaran—baik bedside teaching, diskusi kasus, maupun pelatihan keterampilan prosedural—perlu dibuka dengan penjelasan relevansi klinis yang eksplisit, bukan sekadar penyampaian teori. Kedua, pelatih perlu memosisikan diri sebagai fasilitator dan mitra reflektif, bukan sebagai figur otoritas tunggal yang mendikte jawaban benar-salah, mengingat peserta didik semester akhir umumnya telah memiliki pengalaman klinis independen sebagai spesialis Obstetri dan Ginekologi. Ketiga, pengalaman klinis peserta didik—termasuk kasus sulit yang pernah ditangani sebagai Sp.OG umum—harus secara aktif digali dan dijadikan bahan diskusi, bukan diabaikan. Keempat, materi pembelajaran idealnya disusun berbasis masalah biopsikososial nyata (problem-based) yang relevan dengan peran subspesialistik, seperti kasus kehamilan remaja dengan dimensi hukum, atau kekerasan berbasis gender yang memerlukan koordinasi lintas profesi.</w:t>
      </w:r>
    </w:p>
    <w:p>
      <w:pPr>
        <w:pStyle w:val="Heading2"/>
        <w:spacing w:after="150" w:before="300"/>
      </w:pPr>
      <w:r>
        <w:rPr>
          <w:b/>
          <w:bCs/>
          <w:color w:val="7A1F3D"/>
          <w:sz w:val="28"/>
          <w:szCs w:val="28"/>
        </w:rPr>
        <w:t xml:space="preserve">1.2 Miller's Pyramid: Kerangka Hierarkis Kompetensi Klinis</w:t>
      </w:r>
    </w:p>
    <w:p>
      <w:pPr>
        <w:spacing w:after="160" w:line="300"/>
        <w:jc w:val="both"/>
      </w:pPr>
      <w:r>
        <w:rPr>
          <w:sz w:val="22"/>
          <w:szCs w:val="22"/>
        </w:rPr>
        <w:t xml:space="preserve">George Miller pada tahun 1990 memperkenalkan kerangka piramida empat tingkat yang hingga kini menjadi rujukan universal dalam desain kurikulum dan penilaian kompetensi kedokteran, termasuk dalam pendidikan subspesialis. Piramida ini menggambarkan hierarki kompetensi dari dasar kognitif menuju perilaku aktual di tempat kerja, dengan setiap tingkat memerlukan metode penilaian yang berbeda karena mengukur konstruk yang berbeda pula.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3400"/>
        <w:gridCol w:w="1400"/>
      </w:tblGrid>
      <w:tr>
        <w:trPr>
          <w:tblHeader/>
        </w:trPr>
        <w:tc>
          <w:tcPr>
            <w:tcW w:type="dxa" w:w="2000"/>
            <w:shd w:fill="7A1F3D" w:val="clear"/>
            <w:tcMar>
              <w:top w:type="dxa" w:w="100"/>
              <w:left w:type="dxa" w:w="100"/>
              <w:bottom w:type="dxa" w:w="100"/>
              <w:right w:type="dxa" w:w="100"/>
            </w:tcMar>
          </w:tcPr>
          <w:p>
            <w:r>
              <w:rPr>
                <w:b/>
                <w:bCs/>
                <w:color w:val="FFFFFF"/>
                <w:sz w:val="20"/>
                <w:szCs w:val="20"/>
              </w:rPr>
              <w:t xml:space="preserve">Tingkat</w:t>
            </w:r>
          </w:p>
        </w:tc>
        <w:tc>
          <w:tcPr>
            <w:tcW w:type="dxa" w:w="2200"/>
            <w:shd w:fill="7A1F3D" w:val="clear"/>
            <w:tcMar>
              <w:top w:type="dxa" w:w="100"/>
              <w:left w:type="dxa" w:w="100"/>
              <w:bottom w:type="dxa" w:w="100"/>
              <w:right w:type="dxa" w:w="100"/>
            </w:tcMar>
          </w:tcPr>
          <w:p>
            <w:r>
              <w:rPr>
                <w:b/>
                <w:bCs/>
                <w:color w:val="FFFFFF"/>
                <w:sz w:val="20"/>
                <w:szCs w:val="20"/>
              </w:rPr>
              <w:t xml:space="preserve">Konstruk</w:t>
            </w:r>
          </w:p>
        </w:tc>
        <w:tc>
          <w:tcPr>
            <w:tcW w:type="dxa" w:w="3400"/>
            <w:shd w:fill="7A1F3D" w:val="clear"/>
            <w:tcMar>
              <w:top w:type="dxa" w:w="100"/>
              <w:left w:type="dxa" w:w="100"/>
              <w:bottom w:type="dxa" w:w="100"/>
              <w:right w:type="dxa" w:w="100"/>
            </w:tcMar>
          </w:tcPr>
          <w:p>
            <w:r>
              <w:rPr>
                <w:b/>
                <w:bCs/>
                <w:color w:val="FFFFFF"/>
                <w:sz w:val="20"/>
                <w:szCs w:val="20"/>
              </w:rPr>
              <w:t xml:space="preserve">Contoh Penerapan pada Obginsos</w:t>
            </w:r>
          </w:p>
        </w:tc>
        <w:tc>
          <w:tcPr>
            <w:tcW w:type="dxa" w:w="1400"/>
            <w:shd w:fill="7A1F3D" w:val="clear"/>
            <w:tcMar>
              <w:top w:type="dxa" w:w="100"/>
              <w:left w:type="dxa" w:w="100"/>
              <w:bottom w:type="dxa" w:w="100"/>
              <w:right w:type="dxa" w:w="100"/>
            </w:tcMar>
          </w:tcPr>
          <w:p>
            <w:r>
              <w:rPr>
                <w:b/>
                <w:bCs/>
                <w:color w:val="FFFFFF"/>
                <w:sz w:val="20"/>
                <w:szCs w:val="20"/>
              </w:rPr>
              <w:t xml:space="preserve">Metode Penilaian Sesuai</w:t>
            </w:r>
          </w:p>
        </w:tc>
      </w:tr>
      <w:tr>
        <w:tc>
          <w:tcPr>
            <w:tcW w:type="dxa" w:w="2000"/>
            <w:shd w:fill="FFFFFF" w:val="clear"/>
            <w:tcMar>
              <w:top w:type="dxa" w:w="100"/>
              <w:left w:type="dxa" w:w="100"/>
              <w:bottom w:type="dxa" w:w="100"/>
              <w:right w:type="dxa" w:w="100"/>
            </w:tcMar>
          </w:tcPr>
          <w:p>
            <w:r>
              <w:rPr>
                <w:sz w:val="20"/>
                <w:szCs w:val="20"/>
              </w:rPr>
              <w:t xml:space="preserve">Knows (Tahu)</w:t>
            </w:r>
          </w:p>
        </w:tc>
        <w:tc>
          <w:tcPr>
            <w:tcW w:type="dxa" w:w="2200"/>
            <w:shd w:fill="FFFFFF" w:val="clear"/>
            <w:tcMar>
              <w:top w:type="dxa" w:w="100"/>
              <w:left w:type="dxa" w:w="100"/>
              <w:bottom w:type="dxa" w:w="100"/>
              <w:right w:type="dxa" w:w="100"/>
            </w:tcMar>
          </w:tcPr>
          <w:p>
            <w:r>
              <w:rPr>
                <w:sz w:val="20"/>
                <w:szCs w:val="20"/>
              </w:rPr>
              <w:t xml:space="preserve">Pengetahuan faktual dan konseptual</w:t>
            </w:r>
          </w:p>
        </w:tc>
        <w:tc>
          <w:tcPr>
            <w:tcW w:type="dxa" w:w="3400"/>
            <w:shd w:fill="FFFFFF" w:val="clear"/>
            <w:tcMar>
              <w:top w:type="dxa" w:w="100"/>
              <w:left w:type="dxa" w:w="100"/>
              <w:bottom w:type="dxa" w:w="100"/>
              <w:right w:type="dxa" w:w="100"/>
            </w:tcMar>
          </w:tcPr>
          <w:p>
            <w:r>
              <w:rPr>
                <w:sz w:val="20"/>
                <w:szCs w:val="20"/>
              </w:rPr>
              <w:t xml:space="preserve">Peserta didik mampu menjelaskan kriteria diagnostik depresi perinatal menurut DSM-5 dan faktor risiko biopsikososialnya</w:t>
            </w:r>
          </w:p>
        </w:tc>
        <w:tc>
          <w:tcPr>
            <w:tcW w:type="dxa" w:w="1400"/>
            <w:shd w:fill="FFFFFF" w:val="clear"/>
            <w:tcMar>
              <w:top w:type="dxa" w:w="100"/>
              <w:left w:type="dxa" w:w="100"/>
              <w:bottom w:type="dxa" w:w="100"/>
              <w:right w:type="dxa" w:w="100"/>
            </w:tcMar>
          </w:tcPr>
          <w:p>
            <w:r>
              <w:rPr>
                <w:sz w:val="20"/>
                <w:szCs w:val="20"/>
              </w:rPr>
              <w:t xml:space="preserve">Ujian tulis (MCQ, esai terstruktur), kuis daring</w:t>
            </w:r>
          </w:p>
        </w:tc>
      </w:tr>
      <w:tr>
        <w:tc>
          <w:tcPr>
            <w:tcW w:type="dxa" w:w="2000"/>
            <w:shd w:fill="F3E4E9" w:val="clear"/>
            <w:tcMar>
              <w:top w:type="dxa" w:w="100"/>
              <w:left w:type="dxa" w:w="100"/>
              <w:bottom w:type="dxa" w:w="100"/>
              <w:right w:type="dxa" w:w="100"/>
            </w:tcMar>
          </w:tcPr>
          <w:p>
            <w:r>
              <w:rPr>
                <w:sz w:val="20"/>
                <w:szCs w:val="20"/>
              </w:rPr>
              <w:t xml:space="preserve">Knows How (Tahu Bagaimana)</w:t>
            </w:r>
          </w:p>
        </w:tc>
        <w:tc>
          <w:tcPr>
            <w:tcW w:type="dxa" w:w="2200"/>
            <w:shd w:fill="F3E4E9" w:val="clear"/>
            <w:tcMar>
              <w:top w:type="dxa" w:w="100"/>
              <w:left w:type="dxa" w:w="100"/>
              <w:bottom w:type="dxa" w:w="100"/>
              <w:right w:type="dxa" w:w="100"/>
            </w:tcMar>
          </w:tcPr>
          <w:p>
            <w:r>
              <w:rPr>
                <w:sz w:val="20"/>
                <w:szCs w:val="20"/>
              </w:rPr>
              <w:t xml:space="preserve">Kemampuan mengaplikasikan pengetahuan pada situasi hipotetis</w:t>
            </w:r>
          </w:p>
        </w:tc>
        <w:tc>
          <w:tcPr>
            <w:tcW w:type="dxa" w:w="3400"/>
            <w:shd w:fill="F3E4E9" w:val="clear"/>
            <w:tcMar>
              <w:top w:type="dxa" w:w="100"/>
              <w:left w:type="dxa" w:w="100"/>
              <w:bottom w:type="dxa" w:w="100"/>
              <w:right w:type="dxa" w:w="100"/>
            </w:tcMar>
          </w:tcPr>
          <w:p>
            <w:r>
              <w:rPr>
                <w:sz w:val="20"/>
                <w:szCs w:val="20"/>
              </w:rPr>
              <w:t xml:space="preserve">Peserta didik mampu menyusun rencana tata laksana kasus simulasi kehamilan tidak diinginkan pada remaja dengan mempertimbangkan aspek hukum dan psikososial</w:t>
            </w:r>
          </w:p>
        </w:tc>
        <w:tc>
          <w:tcPr>
            <w:tcW w:type="dxa" w:w="1400"/>
            <w:shd w:fill="F3E4E9" w:val="clear"/>
            <w:tcMar>
              <w:top w:type="dxa" w:w="100"/>
              <w:left w:type="dxa" w:w="100"/>
              <w:bottom w:type="dxa" w:w="100"/>
              <w:right w:type="dxa" w:w="100"/>
            </w:tcMar>
          </w:tcPr>
          <w:p>
            <w:r>
              <w:rPr>
                <w:sz w:val="20"/>
                <w:szCs w:val="20"/>
              </w:rPr>
              <w:t xml:space="preserve">Soal vignette klinis, extended matching question, oral case-based discussion</w:t>
            </w:r>
          </w:p>
        </w:tc>
      </w:tr>
      <w:tr>
        <w:tc>
          <w:tcPr>
            <w:tcW w:type="dxa" w:w="2000"/>
            <w:shd w:fill="FFFFFF" w:val="clear"/>
            <w:tcMar>
              <w:top w:type="dxa" w:w="100"/>
              <w:left w:type="dxa" w:w="100"/>
              <w:bottom w:type="dxa" w:w="100"/>
              <w:right w:type="dxa" w:w="100"/>
            </w:tcMar>
          </w:tcPr>
          <w:p>
            <w:r>
              <w:rPr>
                <w:sz w:val="20"/>
                <w:szCs w:val="20"/>
              </w:rPr>
              <w:t xml:space="preserve">Shows How (Menunjukkan Bagaimana)</w:t>
            </w:r>
          </w:p>
        </w:tc>
        <w:tc>
          <w:tcPr>
            <w:tcW w:type="dxa" w:w="2200"/>
            <w:shd w:fill="FFFFFF" w:val="clear"/>
            <w:tcMar>
              <w:top w:type="dxa" w:w="100"/>
              <w:left w:type="dxa" w:w="100"/>
              <w:bottom w:type="dxa" w:w="100"/>
              <w:right w:type="dxa" w:w="100"/>
            </w:tcMar>
          </w:tcPr>
          <w:p>
            <w:r>
              <w:rPr>
                <w:sz w:val="20"/>
                <w:szCs w:val="20"/>
              </w:rPr>
              <w:t xml:space="preserve">Kemampuan mendemonstrasikan keterampilan dalam kondisi terkontrol/simulasi</w:t>
            </w:r>
          </w:p>
        </w:tc>
        <w:tc>
          <w:tcPr>
            <w:tcW w:type="dxa" w:w="3400"/>
            <w:shd w:fill="FFFFFF" w:val="clear"/>
            <w:tcMar>
              <w:top w:type="dxa" w:w="100"/>
              <w:left w:type="dxa" w:w="100"/>
              <w:bottom w:type="dxa" w:w="100"/>
              <w:right w:type="dxa" w:w="100"/>
            </w:tcMar>
          </w:tcPr>
          <w:p>
            <w:r>
              <w:rPr>
                <w:sz w:val="20"/>
                <w:szCs w:val="20"/>
              </w:rPr>
              <w:t xml:space="preserve">Peserta didik mendemonstrasikan wawancara skrining kekerasan dalam rumah tangga menggunakan teknik komunikasi berpusat pasien pada stasiun OSCE</w:t>
            </w:r>
          </w:p>
        </w:tc>
        <w:tc>
          <w:tcPr>
            <w:tcW w:type="dxa" w:w="1400"/>
            <w:shd w:fill="FFFFFF" w:val="clear"/>
            <w:tcMar>
              <w:top w:type="dxa" w:w="100"/>
              <w:left w:type="dxa" w:w="100"/>
              <w:bottom w:type="dxa" w:w="100"/>
              <w:right w:type="dxa" w:w="100"/>
            </w:tcMar>
          </w:tcPr>
          <w:p>
            <w:r>
              <w:rPr>
                <w:sz w:val="20"/>
                <w:szCs w:val="20"/>
              </w:rPr>
              <w:t xml:space="preserve">OSCE, simulasi pasien standar, penilaian berbasis rubrik (checklist/global rating)</w:t>
            </w:r>
          </w:p>
        </w:tc>
      </w:tr>
      <w:tr>
        <w:tc>
          <w:tcPr>
            <w:tcW w:type="dxa" w:w="2000"/>
            <w:shd w:fill="F3E4E9" w:val="clear"/>
            <w:tcMar>
              <w:top w:type="dxa" w:w="100"/>
              <w:left w:type="dxa" w:w="100"/>
              <w:bottom w:type="dxa" w:w="100"/>
              <w:right w:type="dxa" w:w="100"/>
            </w:tcMar>
          </w:tcPr>
          <w:p>
            <w:r>
              <w:rPr>
                <w:sz w:val="20"/>
                <w:szCs w:val="20"/>
              </w:rPr>
              <w:t xml:space="preserve">Does (Melakukan)</w:t>
            </w:r>
          </w:p>
        </w:tc>
        <w:tc>
          <w:tcPr>
            <w:tcW w:type="dxa" w:w="2200"/>
            <w:shd w:fill="F3E4E9" w:val="clear"/>
            <w:tcMar>
              <w:top w:type="dxa" w:w="100"/>
              <w:left w:type="dxa" w:w="100"/>
              <w:bottom w:type="dxa" w:w="100"/>
              <w:right w:type="dxa" w:w="100"/>
            </w:tcMar>
          </w:tcPr>
          <w:p>
            <w:r>
              <w:rPr>
                <w:sz w:val="20"/>
                <w:szCs w:val="20"/>
              </w:rPr>
              <w:t xml:space="preserve">Perilaku aktual pada praktik klinis nyata sehari-hari</w:t>
            </w:r>
          </w:p>
        </w:tc>
        <w:tc>
          <w:tcPr>
            <w:tcW w:type="dxa" w:w="3400"/>
            <w:shd w:fill="F3E4E9" w:val="clear"/>
            <w:tcMar>
              <w:top w:type="dxa" w:w="100"/>
              <w:left w:type="dxa" w:w="100"/>
              <w:bottom w:type="dxa" w:w="100"/>
              <w:right w:type="dxa" w:w="100"/>
            </w:tcMar>
          </w:tcPr>
          <w:p>
            <w:r>
              <w:rPr>
                <w:sz w:val="20"/>
                <w:szCs w:val="20"/>
              </w:rPr>
              <w:t xml:space="preserve">Peserta didik secara konsisten menerapkan pendekatan biopsikososial saat menangani pasien kekerasan berbasis gender di poliklinik/bangsal</w:t>
            </w:r>
          </w:p>
        </w:tc>
        <w:tc>
          <w:tcPr>
            <w:tcW w:type="dxa" w:w="1400"/>
            <w:shd w:fill="F3E4E9" w:val="clear"/>
            <w:tcMar>
              <w:top w:type="dxa" w:w="100"/>
              <w:left w:type="dxa" w:w="100"/>
              <w:bottom w:type="dxa" w:w="100"/>
              <w:right w:type="dxa" w:w="100"/>
            </w:tcMar>
          </w:tcPr>
          <w:p>
            <w:r>
              <w:rPr>
                <w:sz w:val="20"/>
                <w:szCs w:val="20"/>
              </w:rPr>
              <w:t xml:space="preserve">Workplace-based assessment: mini-CEX, DOPS, portofolio, penilaian 360 derajat</w:t>
            </w:r>
          </w:p>
        </w:tc>
      </w:tr>
    </w:tbl>
    <w:p>
      <w:pPr>
        <w:pStyle w:val="Heading3"/>
        <w:spacing w:after="100" w:before="200"/>
      </w:pPr>
      <w:r>
        <w:rPr>
          <w:b/>
          <w:bCs/>
          <w:i/>
          <w:iCs/>
          <w:color w:val="555555"/>
          <w:sz w:val="24"/>
          <w:szCs w:val="24"/>
        </w:rPr>
        <w:t xml:space="preserve">1.2.1 Dua Tingkat Kognitif: Knows dan Knows How</w:t>
      </w:r>
    </w:p>
    <w:p>
      <w:pPr>
        <w:spacing w:after="160" w:line="300"/>
        <w:jc w:val="both"/>
      </w:pPr>
      <w:r>
        <w:rPr>
          <w:sz w:val="22"/>
          <w:szCs w:val="22"/>
        </w:rPr>
        <w:t xml:space="preserve">Dua tingkat dasar piramida—knows dan knows how—berada pada domain kognitif dan secara tradisional diukur melalui instrumen tertulis atau lisan. Pada tingkat knows, penilaian berfokus pada penguasaan fakta, konsep, dan prinsip, misalnya pengetahuan tentang epidemiologi kehamilan remaja di Indonesia atau kerangka hukum UU TPKS. Pada tingkat knows how, peserta didik dituntut mengaplikasikan pengetahuan tersebut pada skenario klinis tertulis, seperti menyusun algoritma rujukan lintas profesi untuk kasus KDRT dengan mempertimbangkan keterbatasan sumber daya di fasilitas kesehatan primer. Kelemahan utama kedua metode ini adalah keduanya tidak dapat memastikan peserta didik benar-benar mampu melakukan tindakan tersebut secara nyata; seorang peserta didik dapat menjawab soal dengan sempurna namun kesulitan menerapkannya di hadapan pasien yang sesungguhnya.</w:t>
      </w:r>
    </w:p>
    <w:p>
      <w:pPr>
        <w:pStyle w:val="Heading3"/>
        <w:spacing w:after="100" w:before="200"/>
      </w:pPr>
      <w:r>
        <w:rPr>
          <w:b/>
          <w:bCs/>
          <w:i/>
          <w:iCs/>
          <w:color w:val="555555"/>
          <w:sz w:val="24"/>
          <w:szCs w:val="24"/>
        </w:rPr>
        <w:t xml:space="preserve">1.2.2 Dua Tingkat Perilaku: Shows How dan Does</w:t>
      </w:r>
    </w:p>
    <w:p>
      <w:pPr>
        <w:spacing w:after="160" w:line="300"/>
        <w:jc w:val="both"/>
      </w:pPr>
      <w:r>
        <w:rPr>
          <w:sz w:val="22"/>
          <w:szCs w:val="22"/>
        </w:rPr>
        <w:t xml:space="preserve">Dua tingkat atas piramida bersifat behavioral dan memerlukan observasi langsung. Shows how diukur dalam lingkungan simulasi atau semi-terkontrol seperti OSCE, di mana peserta didik didemonstrasikan melakukan keterampilan tertentu di hadapan penguji dengan pasien standar atau manekin. Tingkat ini penting karena memberi kesempatan berlatih dan dinilai tanpa risiko terhadap pasien sungguhan, terutama untuk keterampilan sensitif seperti wawancara korban kekerasan seksual. Adapun does merupakan tingkat tertinggi dan paling sulit dinilai karena menuntut observasi perilaku nyata di lingkungan kerja otentik, tanpa peserta didik menyadari sedang dinilai secara ketat—sering disebut sebagai 'unobtrusive assessment'. Untuk Obginsos, tingkat does dapat dinilai melalui rekam jejak longitudinal penanganan kasus biopsikososial di poliklinik rujukan, umpan balik dari tim lintas profesi (psikolog, pekerja sosial), dan review portofolio kasus yang ditangani selama rotasi klinis.</w:t>
      </w:r>
    </w:p>
    <w:p>
      <w:pPr>
        <w:pStyle w:val="Heading2"/>
        <w:spacing w:after="150" w:before="300"/>
      </w:pPr>
      <w:r>
        <w:rPr>
          <w:b/>
          <w:bCs/>
          <w:color w:val="7A1F3D"/>
          <w:sz w:val="28"/>
          <w:szCs w:val="28"/>
        </w:rPr>
        <w:t xml:space="preserve">1.3 Aplikasi Praktis Miller's Pyramid pada Kurikulum Obginsos</w:t>
      </w:r>
    </w:p>
    <w:p>
      <w:pPr>
        <w:spacing w:after="160" w:line="300"/>
        <w:jc w:val="both"/>
      </w:pPr>
      <w:r>
        <w:rPr>
          <w:sz w:val="22"/>
          <w:szCs w:val="22"/>
        </w:rPr>
        <w:t xml:space="preserve">Penerapan Miller's Pyramid dalam kurikulum PPDS Obginsos idealnya bersifat progresif dan longitudinal. Pada semester awal program (semester 1–2), penekanan kurikulum berada pada tingkat knows dan knows how melalui kuliah, telaah literatur, dan diskusi kasus tertulis mengenai kerangka biopsikososial, kesehatan mental perinatal, dan aspek medikolegal. Memasuki semester 3–4, penekanan bergeser ke shows how melalui simulasi terstruktur, termasuk OSCE formatif yang menilai keterampilan komunikasi krisis dan prosedur klinis spesifik. Pada semester akhir (4–5), sebagaimana relevan dengan peserta didik sasaran buku ini, penekanan seharusnya telah bergeser signifikan ke tingkat does, di mana peserta didik tidak hanya dinilai sebagai pembelajar tetapi mulai berperan sebagai pelatih bagi residen Obstetri dan Ginekologi junior—suatu transisi peran yang menjadi inti pembahasan pada bab-bab selanjutnya dalam buku ini.</w:t>
      </w:r>
    </w:p>
    <w:p>
      <w:pPr>
        <w:spacing w:after="160" w:line="300"/>
        <w:jc w:val="both"/>
      </w:pPr>
      <w:r>
        <w:rPr>
          <w:sz w:val="22"/>
          <w:szCs w:val="22"/>
        </w:rPr>
        <w:t xml:space="preserve">Penting bagi pelatih klinis untuk menyadari bahwa kegagalan performa pada tingkat does tidak selalu mencerminkan kekurangan pengetahuan (knows), melainkan dapat disebabkan oleh faktor sistem seperti beban kerja berlebih, kurangnya dukungan supervisi, atau hambatan struktural dalam layanan. Miller sendiri menekankan bahwa piramida ini bukan sekadar alat ukur tetapi juga kerangka diagnostik untuk mengidentifikasi pada tingkat mana kesenjangan kompetensi terjadi, sehingga intervensi pendidikan dapat ditargetkan secara tepat—apakah diperlukan penguatan pengetahuan, latihan simulasi tambahan, atau justru perbaikan sistem kerja dan dukungan supervisi di lapangan.</w:t>
      </w:r>
    </w:p>
    <w:p>
      <w:pPr>
        <w:pStyle w:val="Heading2"/>
        <w:spacing w:after="150" w:before="300"/>
      </w:pPr>
      <w:r>
        <w:rPr>
          <w:b/>
          <w:bCs/>
          <w:color w:val="7A1F3D"/>
          <w:sz w:val="28"/>
          <w:szCs w:val="28"/>
        </w:rPr>
        <w:t xml:space="preserve">1.4 Penyelarasan dengan Tabel 19 Kepkonsil dan Kerangka Kompetensi Internasional</w:t>
      </w:r>
    </w:p>
    <w:p>
      <w:pPr>
        <w:spacing w:after="160" w:line="300"/>
        <w:jc w:val="both"/>
      </w:pPr>
      <w:r>
        <w:rPr>
          <w:sz w:val="22"/>
          <w:szCs w:val="22"/>
        </w:rPr>
        <w:t xml:space="preserve">Miller's Pyramid bukan sekadar kerangka teoretis, melainkan fondasi metodologis di balik Tabel 19 (Kompetensi Penatalaksanaan Klinis Dokter Spesialis Obstetri dan Ginekologi Subspesialis/Konsultan Obstetri Ginekologi Sosial) dalam Keputusan Ketua Konsil Kesehatan Indonesia Nomor HK.01.02/KKI/1318/2026. Tabel 19 menjabarkan sembilan komponen kompetensi penatalaksanaan klinis secara berurutan—anamnesis, pemeriksaan fisik, pemeriksaan penunjang, interpretasi hasil, diagnosis kerja dan banding, perencanaan terapi, evaluasi respons dan penyesuaian, penetapan prognosis, serta dokumentasi medis dan komunikasi—yang masing-masing disertai deskripsi kriteria kinerja minimal dan indikator kuantitatif (mis. dokumentasi kekerasan dalam rumah tangga 100%, penanganan kegawatdaruratan maternal sesuai protokol 100%, akurasi diagnosis kerja ≥85% melalui penilaian sejawat). Struktur ini pada dasarnya adalah operasionalisasi tingkat does pada Miller's Pyramid: setiap kriteria kinerja minimal dirumuskan sebagai perilaku klinis terukur di tempat kerja nyata, bukan sekadar pengetahuan yang diujikan secara tertulis, sehingga pelatih klinis wajib merancang metode penilaian workplace-based (mini-CEX, DOPS, portofolio) agar benar-benar selaras dengan maksud regulasi ini, bukan hanya mengandalkan ujian tertulis yang secara metodologis hanya mengukur tingkat knows dan knows how.</w:t>
      </w:r>
    </w:p>
    <w:p>
      <w:pPr>
        <w:spacing w:after="160" w:line="300"/>
        <w:jc w:val="both"/>
      </w:pPr>
      <w:r>
        <w:rPr>
          <w:sz w:val="22"/>
          <w:szCs w:val="22"/>
        </w:rPr>
        <w:t xml:space="preserve">Padanan internasional kerangka ini dapat dilihat pada dua model kompetensi yang banyak diadopsi program pendidikan kedokteran pascasarjana di berbagai negara. Pertama, ACGME (Accreditation Council for Graduate Medical Education) bersama American Board of Obstetrics and Gynecology (ABOG) dan American College of Obstetricians and Gynecologists (ACOG) menerbitkan Milestones Project pada tahun 2014, yang menyusun kompetensi residensi Obstetri dan Ginekologi ke dalam dua puluh delapan sumbu kompetensi (competency axes) yang dijenjangkan pada lima tingkat pencapaian (milestones), serupa dengan logika hierarkis Miller's Pyramid namun dengan granularitas lebih tinggi. Kedua, CanMEDS Physician Competency Framework yang diterbitkan Royal College of Physicians and Surgeons of Canada—edisi terbaru CanMEDS 2015 masih menjadi rujukan resmi hingga saat buku ini disusun—mengorganisasi kompetensi dokter ke dalam tujuh peran (Medical Expert, Communicator, Collaborator, Leader, Health Advocate, Scholar, Professional), sebuah pendekatan berbasis peran yang melengkapi pendekatan berjenjang Miller's Pyramid. Perlu dicatat bahwa Royal College bersama mitra pendidikan kedokteran Kanada tengah menyelesaikan pembaruan menyeluruh kerangka ini, dengan rencana peluncuran pada musim gugur 2026, sehingga pelatih klinis Indonesia yang mengikuti literatur internasional perlu memantau perkembangan tersebut.</w:t>
      </w:r>
    </w:p>
    <w:p>
      <w:pPr>
        <w:shd w:fill="7A1F3D" w:val="clear"/>
        <w:spacing w:after="0" w:before="200"/>
      </w:pPr>
      <w:r>
        <w:rPr>
          <w:b/>
          <w:bCs/>
          <w:color w:val="FFFFFF"/>
          <w:sz w:val="22"/>
          <w:szCs w:val="22"/>
        </w:rPr>
        <w:t xml:space="preserve">PERBEDAAN STANDAR INTERNASIONAL vs KONTEKS INDONESIA</w:t>
      </w:r>
    </w:p>
    <w:p>
      <w:pPr>
        <w:pStyle w:val="ListParagraph"/>
        <w:numPr>
          <w:ilvl w:val="0"/>
          <w:numId w:val="1"/>
        </w:numPr>
        <w:shd w:fill="F7F3F1" w:val="clear"/>
        <w:spacing w:after="60"/>
        <w:ind w:left="200" w:right="200"/>
      </w:pPr>
      <w:r>
        <w:rPr>
          <w:color w:val="3A3A3A"/>
          <w:sz w:val="22"/>
          <w:szCs w:val="22"/>
        </w:rPr>
        <w:t xml:space="preserve">Standar internasional (ACGME Milestones, CanMEDS) memberikan kerangka kompetensi generik lintas spesialisasi yang kemudian diadaptasi oleh masing-masing program residensi/subspesialisasi di negara asalnya, dengan penekanan besar pada peran non-klinis seperti kepemimpinan sistem kesehatan dan advokasi.</w:t>
      </w:r>
    </w:p>
    <w:p>
      <w:pPr>
        <w:pStyle w:val="ListParagraph"/>
        <w:numPr>
          <w:ilvl w:val="0"/>
          <w:numId w:val="1"/>
        </w:numPr>
        <w:shd w:fill="F7F3F1" w:val="clear"/>
        <w:spacing w:after="60"/>
        <w:ind w:left="200" w:right="200"/>
      </w:pPr>
      <w:r>
        <w:rPr>
          <w:color w:val="3A3A3A"/>
          <w:sz w:val="22"/>
          <w:szCs w:val="22"/>
        </w:rPr>
        <w:t xml:space="preserve">Konteks Indonesia mewajibkan penggunaan Tabel 19 Kepkonsil Nomor HK.01.02/KKI/1318/2026 sebagai rujukan hukum tunggal untuk kompetensi penatalaksanaan klinis subspesialis Obginsos, dengan indikator kinerja yang lebih spesifik dan terukur secara kuantitatif dibanding milestone generik ACGME.</w:t>
      </w:r>
    </w:p>
    <w:p>
      <w:pPr>
        <w:pStyle w:val="ListParagraph"/>
        <w:numPr>
          <w:ilvl w:val="0"/>
          <w:numId w:val="1"/>
        </w:numPr>
        <w:shd w:fill="F7F3F1" w:val="clear"/>
        <w:spacing w:after="200"/>
        <w:ind w:left="200" w:right="200"/>
      </w:pPr>
      <w:r>
        <w:rPr>
          <w:color w:val="3A3A3A"/>
          <w:sz w:val="22"/>
          <w:szCs w:val="22"/>
        </w:rPr>
        <w:t xml:space="preserve">Catatan penerapan praktis: pelatih klinis dapat memanfaatkan struktur milestone ACGME atau peran CanMEDS sebagai kerangka pelengkap untuk merancang instrumen penilaian workplace-based, selama capaian akhir tetap dapat ditelusuri secara eksplisit ke sembilan komponen kompetensi pada Tabel 19 Kepkonsil.</w:t>
      </w:r>
    </w:p>
    <w:p>
      <w:pPr>
        <w:shd w:fill="7A1F3D" w:val="clear"/>
        <w:spacing w:after="0" w:before="200"/>
      </w:pPr>
      <w:r>
        <w:rPr>
          <w:b/>
          <w:bCs/>
          <w:color w:val="FFFFFF"/>
          <w:sz w:val="22"/>
          <w:szCs w:val="22"/>
        </w:rPr>
        <w:t xml:space="preserve">VIGNETTE KASUS (ILUSTRATIF, FIKTIF)</w:t>
      </w:r>
    </w:p>
    <w:p>
      <w:pPr>
        <w:shd w:fill="F7F3F1" w:val="clear"/>
        <w:spacing w:after="200"/>
        <w:ind w:left="200" w:right="200"/>
      </w:pPr>
      <w:r>
        <w:rPr>
          <w:color w:val="3A3A3A"/>
          <w:sz w:val="22"/>
          <w:szCs w:val="22"/>
        </w:rPr>
        <w:t xml:space="preserve">dr. Rani, peserta didik semester 5 PPDS Obginsos, ditugaskan membimbing residen Obstetri dan Ginekologi tingkat III yang akan menangani kasus dugaan kekerasan dalam rumah tangga. Residen tersebut mampu menjawab dengan baik saat ditanya lisan mengenai protokol skrining KDRT (tingkat knows dan knows how), namun tampak kaku dan menghindari kontak mata saat benar-benar mewawancarai pasien di ruang periksa (tingkat shows how/does belum tercapai, dan dokumentasi KDRT sebagaimana diwajibkan Tabel 19 belum lengkap). Dengan memahami Miller's Pyramid, dr. Rani menyadari bahwa masalah bukan pada pengetahuan residen, melainkan pada transfer pengetahuan menjadi keterampilan komunikasi nyata, sehingga ia merancang sesi microteaching terfokus pada teknik wawancara sebelum residen kembali menemui pasien.</w:t>
      </w:r>
    </w:p>
    <w:p>
      <w:pPr>
        <w:shd w:fill="7A1F3D" w:val="clear"/>
        <w:spacing w:after="0" w:before="200"/>
      </w:pPr>
      <w:r>
        <w:rPr>
          <w:b/>
          <w:bCs/>
          <w:color w:val="FFFFFF"/>
          <w:sz w:val="22"/>
          <w:szCs w:val="22"/>
        </w:rPr>
        <w:t xml:space="preserve">POIN KUNCI</w:t>
      </w:r>
    </w:p>
    <w:p>
      <w:pPr>
        <w:pStyle w:val="ListParagraph"/>
        <w:numPr>
          <w:ilvl w:val="0"/>
          <w:numId w:val="1"/>
        </w:numPr>
        <w:shd w:fill="F7F3F1" w:val="clear"/>
        <w:spacing w:after="60"/>
        <w:ind w:left="200" w:right="200"/>
      </w:pPr>
      <w:r>
        <w:rPr>
          <w:color w:val="3A3A3A"/>
          <w:sz w:val="22"/>
          <w:szCs w:val="22"/>
        </w:rPr>
        <w:t xml:space="preserve">Andragogi Knowles menekankan bahwa peserta didik dewasa belajar optimal ketika relevansi klinis eksplisit, pengalaman mereka dihargai, dan pembelajaran berorientasi masalah nyata.</w:t>
      </w:r>
    </w:p>
    <w:p>
      <w:pPr>
        <w:pStyle w:val="ListParagraph"/>
        <w:numPr>
          <w:ilvl w:val="0"/>
          <w:numId w:val="1"/>
        </w:numPr>
        <w:shd w:fill="F7F3F1" w:val="clear"/>
        <w:spacing w:after="60"/>
        <w:ind w:left="200" w:right="200"/>
      </w:pPr>
      <w:r>
        <w:rPr>
          <w:color w:val="3A3A3A"/>
          <w:sz w:val="22"/>
          <w:szCs w:val="22"/>
        </w:rPr>
        <w:t xml:space="preserve">Miller's Pyramid terdiri atas empat tingkat: knows, knows how, shows how, dan does, tersusun dari domain kognitif menuju domain perilaku.</w:t>
      </w:r>
    </w:p>
    <w:p>
      <w:pPr>
        <w:pStyle w:val="ListParagraph"/>
        <w:numPr>
          <w:ilvl w:val="0"/>
          <w:numId w:val="1"/>
        </w:numPr>
        <w:shd w:fill="F7F3F1" w:val="clear"/>
        <w:spacing w:after="60"/>
        <w:ind w:left="200" w:right="200"/>
      </w:pPr>
      <w:r>
        <w:rPr>
          <w:color w:val="3A3A3A"/>
          <w:sz w:val="22"/>
          <w:szCs w:val="22"/>
        </w:rPr>
        <w:t xml:space="preserve">Setiap tingkat piramida memerlukan metode penilaian yang berbeda; menyamaratakan metode penilaian pada seluruh tingkat akan menghasilkan kesimpulan kompetensi yang keliru.</w:t>
      </w:r>
    </w:p>
    <w:p>
      <w:pPr>
        <w:pStyle w:val="ListParagraph"/>
        <w:numPr>
          <w:ilvl w:val="0"/>
          <w:numId w:val="1"/>
        </w:numPr>
        <w:shd w:fill="F7F3F1" w:val="clear"/>
        <w:spacing w:after="60"/>
        <w:ind w:left="200" w:right="200"/>
      </w:pPr>
      <w:r>
        <w:rPr>
          <w:color w:val="3A3A3A"/>
          <w:sz w:val="22"/>
          <w:szCs w:val="22"/>
        </w:rPr>
        <w:t xml:space="preserve">Tingkat shows how dinilai melalui simulasi terstruktur seperti OSCE, sedangkan tingkat does memerlukan observasi perilaku otentik di tempat kerja seperti mini-CEX dan portofolio.</w:t>
      </w:r>
    </w:p>
    <w:p>
      <w:pPr>
        <w:pStyle w:val="ListParagraph"/>
        <w:numPr>
          <w:ilvl w:val="0"/>
          <w:numId w:val="1"/>
        </w:numPr>
        <w:shd w:fill="F7F3F1" w:val="clear"/>
        <w:spacing w:after="60"/>
        <w:ind w:left="200" w:right="200"/>
      </w:pPr>
      <w:r>
        <w:rPr>
          <w:color w:val="3A3A3A"/>
          <w:sz w:val="22"/>
          <w:szCs w:val="22"/>
        </w:rPr>
        <w:t xml:space="preserve">Kegagalan pada tingkat does dapat disebabkan oleh faktor sistem, bukan semata kekurangan pengetahuan, sehingga pelatih perlu melakukan diagnosis kesenjangan kompetensi secara cermat.</w:t>
      </w:r>
    </w:p>
    <w:p>
      <w:pPr>
        <w:pStyle w:val="ListParagraph"/>
        <w:numPr>
          <w:ilvl w:val="0"/>
          <w:numId w:val="1"/>
        </w:numPr>
        <w:shd w:fill="F7F3F1" w:val="clear"/>
        <w:spacing w:after="60"/>
        <w:ind w:left="200" w:right="200"/>
      </w:pPr>
      <w:r>
        <w:rPr>
          <w:color w:val="3A3A3A"/>
          <w:sz w:val="22"/>
          <w:szCs w:val="22"/>
        </w:rPr>
        <w:t xml:space="preserve">Sembilan komponen kompetensi penatalaksanaan klinis pada Tabel 19 Kepkonsil Nomor HK.01.02/KKI/1318/2026 pada dasarnya adalah operasionalisasi tingkat does dalam konteks Obginsos, dengan kriteria kinerja minimal yang terukur secara kuantitatif.</w:t>
      </w:r>
    </w:p>
    <w:p>
      <w:pPr>
        <w:pStyle w:val="ListParagraph"/>
        <w:numPr>
          <w:ilvl w:val="0"/>
          <w:numId w:val="1"/>
        </w:numPr>
        <w:shd w:fill="F7F3F1" w:val="clear"/>
        <w:spacing w:after="60"/>
        <w:ind w:left="200" w:right="200"/>
      </w:pPr>
      <w:r>
        <w:rPr>
          <w:color w:val="3A3A3A"/>
          <w:sz w:val="22"/>
          <w:szCs w:val="22"/>
        </w:rPr>
        <w:t xml:space="preserve">Kerangka internasional seperti ACGME Milestones (2014) dan CanMEDS (edisi 2015, dengan pembaruan direncanakan rilis musim gugur 2026) dapat melengkapi—bukan menggantikan—rujukan hukum Tabel 19 Kepkonsil dalam merancang penilaian workplace-based di Indonesia.</w:t>
      </w:r>
    </w:p>
    <w:p>
      <w:pPr>
        <w:pStyle w:val="ListParagraph"/>
        <w:numPr>
          <w:ilvl w:val="0"/>
          <w:numId w:val="1"/>
        </w:numPr>
        <w:shd w:fill="F7F3F1" w:val="clear"/>
        <w:spacing w:after="200"/>
        <w:ind w:left="200" w:right="200"/>
      </w:pPr>
      <w:r>
        <w:rPr>
          <w:color w:val="3A3A3A"/>
          <w:sz w:val="22"/>
          <w:szCs w:val="22"/>
        </w:rPr>
        <w:t xml:space="preserve">Bagi peserta didik semester akhir PPDS Obginsos, penerapan Miller's Pyramid tidak hanya sebagai pembelajar tetapi juga sebagai pelatih bagi residen junior merupakan kompetensi inti yang harus dikuasai.</w:t>
      </w:r>
    </w:p>
    <w:p>
      <w:pPr>
        <w:pStyle w:val="Heading2"/>
        <w:spacing w:after="150" w:before="300"/>
      </w:pPr>
      <w:r>
        <w:rPr>
          <w:b/>
          <w:bCs/>
          <w:color w:val="7A1F3D"/>
          <w:sz w:val="28"/>
          <w:szCs w:val="28"/>
        </w:rPr>
        <w:t xml:space="preserve">Referensi Bab 1</w:t>
      </w:r>
    </w:p>
    <w:p>
      <w:pPr>
        <w:spacing w:after="100"/>
        <w:ind w:left="360" w:hanging="360"/>
      </w:pPr>
      <w:r>
        <w:rPr>
          <w:sz w:val="20"/>
          <w:szCs w:val="20"/>
        </w:rPr>
        <w:t xml:space="preserve">1. Knowles MS, Holton EF, Swanson RA. The Adult Learner: The Definitive Classic in Adult Education and Human Resource Development. 8th ed. New York: Routledge; 2015.</w:t>
      </w:r>
    </w:p>
    <w:p>
      <w:pPr>
        <w:spacing w:after="100"/>
        <w:ind w:left="360" w:hanging="360"/>
      </w:pPr>
      <w:r>
        <w:rPr>
          <w:sz w:val="20"/>
          <w:szCs w:val="20"/>
        </w:rPr>
        <w:t xml:space="preserve">2. Miller GE. The Assessment of Clinical Skills/Competence/Performance. Acad Med. 1990;65(9):S63–S67.</w:t>
      </w:r>
    </w:p>
    <w:p>
      <w:pPr>
        <w:spacing w:after="100"/>
        <w:ind w:left="360" w:hanging="360"/>
      </w:pPr>
      <w:r>
        <w:rPr>
          <w:sz w:val="20"/>
          <w:szCs w:val="20"/>
        </w:rPr>
        <w:t xml:space="preserve">3. Konsil Kesehatan Indonesia. Keputusan Ketua Konsil Kesehatan Indonesia Nomor HK.01.02/KKI/1318/2026 tentang Standar Kompetensi Dokter Spesialis dan Subspesialis Bidang Obstetri dan Ginekologi, Tabel 19.</w:t>
      </w:r>
    </w:p>
    <w:p>
      <w:pPr>
        <w:spacing w:after="100"/>
        <w:ind w:left="360" w:hanging="360"/>
      </w:pPr>
      <w:r>
        <w:rPr>
          <w:sz w:val="20"/>
          <w:szCs w:val="20"/>
        </w:rPr>
        <w:t xml:space="preserve">4. Cunningham FG, Leveno KJ, Dashe JS, et al., editors. Williams Obstetrics. 26th ed. New York: McGraw Hill; 2022.</w:t>
      </w:r>
    </w:p>
    <w:p>
      <w:pPr>
        <w:spacing w:after="100"/>
        <w:ind w:left="360" w:hanging="360"/>
      </w:pPr>
      <w:r>
        <w:rPr>
          <w:sz w:val="20"/>
          <w:szCs w:val="20"/>
        </w:rPr>
        <w:t xml:space="preserve">5. Perkumpulan Obstetri dan Ginekologi Indonesia (POGI)/Kolegium Obstetri dan Ginekologi Indonesia. Kurikulum dan ketentuan Program Pendidikan Dokter Subspesialis Obstetri Ginekologi Sosial.</w:t>
      </w:r>
    </w:p>
    <w:p>
      <w:pPr>
        <w:spacing w:after="100"/>
        <w:ind w:left="360" w:hanging="360"/>
      </w:pPr>
      <w:r>
        <w:rPr>
          <w:sz w:val="20"/>
          <w:szCs w:val="20"/>
        </w:rPr>
        <w:t xml:space="preserve">6. Nomination Committee/Milestones Working Group, ACGME, American Board of Obstetrics and Gynecology, American College of Obstetricians and Gynecologists. The Obstetrics and Gynecology Milestone Project. Chicago: ACGME; 2014.</w:t>
      </w:r>
    </w:p>
    <w:p>
      <w:pPr>
        <w:spacing w:after="100"/>
        <w:ind w:left="360" w:hanging="360"/>
      </w:pPr>
      <w:r>
        <w:rPr>
          <w:sz w:val="20"/>
          <w:szCs w:val="20"/>
        </w:rPr>
        <w:t xml:space="preserve">7. Frank JR, Snell L, Sherbino J, editors. CanMEDS 2015 Physician Competency Framework. Ottawa: Royal College of Physicians and Surgeons of Canada; 2015. Tersedia di: https://www.royalcollege.ca/content/dam/document/standards-and-accreditation/canmeds-full-framework-e.pdf</w:t>
      </w:r>
    </w:p>
    <w:p>
      <w:pPr>
        <w:spacing w:after="100"/>
        <w:ind w:left="360" w:hanging="360"/>
      </w:pPr>
      <w:r>
        <w:rPr>
          <w:sz w:val="20"/>
          <w:szCs w:val="20"/>
        </w:rPr>
        <w:t xml:space="preserve">8. Recker F, et al. Medical education in obstetrics and gynecology: A global update from 2025. Acta Obstet Gynecol Scand. 2026. doi:10.1111/aogs.70105.</w:t>
      </w:r>
    </w:p>
    <w:p>
      <w:r>
        <w:br w:type="page"/>
      </w:r>
    </w:p>
    <w:p>
      <w:pPr>
        <w:pStyle w:val="Heading1"/>
        <w:spacing w:after="200" w:before="400"/>
      </w:pPr>
      <w:r>
        <w:rPr>
          <w:b/>
          <w:bCs/>
          <w:color w:val="7A1F3D"/>
          <w:sz w:val="36"/>
          <w:szCs w:val="36"/>
        </w:rPr>
        <w:t xml:space="preserve">BAB 2. BEDSIDE TEACHING DAN MICROTEACHING</w:t>
      </w:r>
    </w:p>
    <w:p>
      <w:pPr>
        <w:shd w:fill="7A1F3D" w:val="clear"/>
        <w:spacing w:after="0" w:before="200"/>
      </w:pPr>
      <w:r>
        <w:rPr>
          <w:b/>
          <w:bCs/>
          <w:color w:val="FFFFFF"/>
          <w:sz w:val="22"/>
          <w:szCs w:val="22"/>
        </w:rPr>
        <w:t xml:space="preserve">TUJUAN PEMBELAJARAN BAB</w:t>
      </w:r>
    </w:p>
    <w:p>
      <w:pPr>
        <w:pStyle w:val="ListParagraph"/>
        <w:numPr>
          <w:ilvl w:val="0"/>
          <w:numId w:val="1"/>
        </w:numPr>
        <w:shd w:fill="F7F3F1" w:val="clear"/>
        <w:spacing w:after="60"/>
        <w:ind w:left="200" w:right="200"/>
      </w:pPr>
      <w:r>
        <w:rPr>
          <w:color w:val="3A3A3A"/>
          <w:sz w:val="22"/>
          <w:szCs w:val="22"/>
        </w:rPr>
        <w:t xml:space="preserve">Menjelaskan prinsip dan tantangan bedside teaching pada era pelayanan klinis padat serta isu privasi pasien biopsikososial.</w:t>
      </w:r>
    </w:p>
    <w:p>
      <w:pPr>
        <w:pStyle w:val="ListParagraph"/>
        <w:numPr>
          <w:ilvl w:val="0"/>
          <w:numId w:val="1"/>
        </w:numPr>
        <w:shd w:fill="F7F3F1" w:val="clear"/>
        <w:spacing w:after="60"/>
        <w:ind w:left="200" w:right="200"/>
      </w:pPr>
      <w:r>
        <w:rPr>
          <w:color w:val="3A3A3A"/>
          <w:sz w:val="22"/>
          <w:szCs w:val="22"/>
        </w:rPr>
        <w:t xml:space="preserve">Menguraikan teknik One-Minute Preceptor sebagai model efisien untuk supervisi klinis di sela pelayanan.</w:t>
      </w:r>
    </w:p>
    <w:p>
      <w:pPr>
        <w:pStyle w:val="ListParagraph"/>
        <w:numPr>
          <w:ilvl w:val="0"/>
          <w:numId w:val="1"/>
        </w:numPr>
        <w:shd w:fill="F7F3F1" w:val="clear"/>
        <w:spacing w:after="60"/>
        <w:ind w:left="200" w:right="200"/>
      </w:pPr>
      <w:r>
        <w:rPr>
          <w:color w:val="3A3A3A"/>
          <w:sz w:val="22"/>
          <w:szCs w:val="22"/>
        </w:rPr>
        <w:t xml:space="preserve">Menjelaskan konsep dan tahapan microteaching untuk melatih keterampilan mengajar peserta didik sebagai calon pelatih.</w:t>
      </w:r>
    </w:p>
    <w:p>
      <w:pPr>
        <w:pStyle w:val="ListParagraph"/>
        <w:numPr>
          <w:ilvl w:val="0"/>
          <w:numId w:val="1"/>
        </w:numPr>
        <w:shd w:fill="F7F3F1" w:val="clear"/>
        <w:spacing w:after="60"/>
        <w:ind w:left="200" w:right="200"/>
      </w:pPr>
      <w:r>
        <w:rPr>
          <w:color w:val="3A3A3A"/>
          <w:sz w:val="22"/>
          <w:szCs w:val="22"/>
        </w:rPr>
        <w:t xml:space="preserve">Mengintegrasikan One-Minute Preceptor dan microteaching dalam konteks kasus biopsikososial Obginsos.</w:t>
      </w:r>
    </w:p>
    <w:p>
      <w:pPr>
        <w:pStyle w:val="ListParagraph"/>
        <w:numPr>
          <w:ilvl w:val="0"/>
          <w:numId w:val="1"/>
        </w:numPr>
        <w:shd w:fill="F7F3F1" w:val="clear"/>
        <w:spacing w:after="200"/>
        <w:ind w:left="200" w:right="200"/>
      </w:pPr>
      <w:r>
        <w:rPr>
          <w:color w:val="3A3A3A"/>
          <w:sz w:val="22"/>
          <w:szCs w:val="22"/>
        </w:rPr>
        <w:t xml:space="preserve">Mengidentifikasi hambatan etik saat mengajar di samping tempat tidur pasien dengan kondisi sensitif.</w:t>
      </w:r>
    </w:p>
    <w:p>
      <w:pPr>
        <w:pStyle w:val="Heading2"/>
        <w:spacing w:after="150" w:before="300"/>
      </w:pPr>
      <w:r>
        <w:rPr>
          <w:b/>
          <w:bCs/>
          <w:color w:val="7A1F3D"/>
          <w:sz w:val="28"/>
          <w:szCs w:val="28"/>
        </w:rPr>
        <w:t xml:space="preserve">2.1 Bedside Teaching: Peluang dan Tantangan Kontemporer</w:t>
      </w:r>
    </w:p>
    <w:p>
      <w:pPr>
        <w:spacing w:after="160" w:line="300"/>
        <w:jc w:val="both"/>
      </w:pPr>
      <w:r>
        <w:rPr>
          <w:sz w:val="22"/>
          <w:szCs w:val="22"/>
        </w:rPr>
        <w:t xml:space="preserve">Bedside teaching—pengajaran yang dilakukan langsung di samping tempat tidur atau ruang periksa pasien—tetap menjadi metode pengajaran klinis yang tidak tergantikan karena memungkinkan integrasi simultan antara pengetahuan, keterampilan komunikasi, dan sikap profesional dalam konteks otentik. Namun, dalam praktik Obstetri Ginekologi Sosial, bedside teaching menghadapi tantangan yang lebih kompleks dibandingkan disiplin lain. Pasien dengan kondisi kehamilan tidak diinginkan, korban kekerasan berbasis gender, atau pasien dengan gangguan kesehatan mental perinatal memerlukan perlindungan privasi dan kenyamanan psikologis yang ekstra, sehingga kehadiran banyak peserta didik di samping tempat tidur dapat menimbulkan rasa terintimidasi atau stigma tambahan bagi pasien.</w:t>
      </w:r>
    </w:p>
    <w:p>
      <w:pPr>
        <w:spacing w:after="160" w:line="300"/>
        <w:jc w:val="both"/>
      </w:pPr>
      <w:r>
        <w:rPr>
          <w:sz w:val="22"/>
          <w:szCs w:val="22"/>
        </w:rPr>
        <w:t xml:space="preserve">Pelatih klinis Obginsos perlu menerapkan beberapa prinsip adaptif. Pertama, selalu meminta persetujuan eksplisit pasien sebelum sesi pengajaran, dengan penjelasan tujuan pendidikan secara jujur dan opsi menolak tanpa konsekuensi terhadap kualitas layanan. Kedua, membatasi jumlah peserta didik yang hadir langsung di ruang periksa untuk kasus sensitif, dan mempertimbangkan model pengajaran pasca-konsultasi (debriefing di luar ruang periksa) sebagai alternatif ketika kehadiran langsung dinilai berisiko terhadap kenyamanan pasien. Ketiga, memodelkan sikap empatik dan bahasa nondirektif secara eksplisit di hadapan peserta didik, karena bedside teaching tidak hanya menyampaikan tata laksana teknis tetapi juga menjadi wahana pemodelan perilaku profesional (role modeling) dalam menghadapi topik sensitif seperti aborsi atau kekerasan seksual.</w:t>
      </w:r>
    </w:p>
    <w:p>
      <w:pPr>
        <w:pStyle w:val="Heading2"/>
        <w:spacing w:after="150" w:before="300"/>
      </w:pPr>
      <w:r>
        <w:rPr>
          <w:b/>
          <w:bCs/>
          <w:color w:val="7A1F3D"/>
          <w:sz w:val="28"/>
          <w:szCs w:val="28"/>
        </w:rPr>
        <w:t xml:space="preserve">2.2 One-Minute Preceptor: Lima Langkah Mikro-Supervisi</w:t>
      </w:r>
    </w:p>
    <w:p>
      <w:pPr>
        <w:spacing w:after="160" w:line="300"/>
        <w:jc w:val="both"/>
      </w:pPr>
      <w:r>
        <w:rPr>
          <w:sz w:val="22"/>
          <w:szCs w:val="22"/>
        </w:rPr>
        <w:t xml:space="preserve">Model One-Minute Preceptor (OMP), dikembangkan oleh Neher dan kolega, dirancang untuk mengatasi keterbatasan waktu pelatih di tengah beban pelayanan klinis yang padat, sebuah kondisi yang sangat relevan dengan realitas rumah sakit pendidikan di Indonesia. Model ini terdiri atas lima langkah mikro yang dapat diselesaikan dalam waktu singkat namun tetap memberikan umpan balik bermakna.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tblGrid>
      <w:tr>
        <w:tc>
          <w:tcPr>
            <w:tcW w:type="dxa" w:w="1800"/>
            <w:shd w:fill="7A1F3D" w:val="clear"/>
            <w:tcMar>
              <w:top w:type="dxa" w:w="150"/>
              <w:left w:type="dxa" w:w="100"/>
              <w:bottom w:type="dxa" w:w="150"/>
              <w:right w:type="dxa" w:w="100"/>
            </w:tcMar>
            <w:vAlign w:val="center"/>
          </w:tcPr>
          <w:p>
            <w:pPr>
              <w:jc w:val="center"/>
            </w:pPr>
            <w:r>
              <w:rPr>
                <w:b/>
                <w:bCs/>
                <w:color w:val="FFFFFF"/>
                <w:sz w:val="20"/>
                <w:szCs w:val="20"/>
              </w:rPr>
              <w:t xml:space="preserve">1. Get a Commitment</w:t>
            </w:r>
          </w:p>
        </w:tc>
        <w:tc>
          <w:tcPr>
            <w:tcW w:type="dxa" w:w="1800"/>
            <w:shd w:fill="9C3A5C" w:val="clear"/>
            <w:tcMar>
              <w:top w:type="dxa" w:w="150"/>
              <w:left w:type="dxa" w:w="100"/>
              <w:bottom w:type="dxa" w:w="150"/>
              <w:right w:type="dxa" w:w="100"/>
            </w:tcMar>
            <w:vAlign w:val="center"/>
          </w:tcPr>
          <w:p>
            <w:pPr>
              <w:jc w:val="center"/>
            </w:pPr>
            <w:r>
              <w:rPr>
                <w:b/>
                <w:bCs/>
                <w:color w:val="FFFFFF"/>
                <w:sz w:val="20"/>
                <w:szCs w:val="20"/>
              </w:rPr>
              <w:t xml:space="preserve">2. Probe for Evidence</w:t>
            </w:r>
          </w:p>
        </w:tc>
        <w:tc>
          <w:tcPr>
            <w:tcW w:type="dxa" w:w="1800"/>
            <w:shd w:fill="7A1F3D" w:val="clear"/>
            <w:tcMar>
              <w:top w:type="dxa" w:w="150"/>
              <w:left w:type="dxa" w:w="100"/>
              <w:bottom w:type="dxa" w:w="150"/>
              <w:right w:type="dxa" w:w="100"/>
            </w:tcMar>
            <w:vAlign w:val="center"/>
          </w:tcPr>
          <w:p>
            <w:pPr>
              <w:jc w:val="center"/>
            </w:pPr>
            <w:r>
              <w:rPr>
                <w:b/>
                <w:bCs/>
                <w:color w:val="FFFFFF"/>
                <w:sz w:val="20"/>
                <w:szCs w:val="20"/>
              </w:rPr>
              <w:t xml:space="preserve">3. Teach General Rules</w:t>
            </w:r>
          </w:p>
        </w:tc>
        <w:tc>
          <w:tcPr>
            <w:tcW w:type="dxa" w:w="1800"/>
            <w:shd w:fill="9C3A5C" w:val="clear"/>
            <w:tcMar>
              <w:top w:type="dxa" w:w="150"/>
              <w:left w:type="dxa" w:w="100"/>
              <w:bottom w:type="dxa" w:w="150"/>
              <w:right w:type="dxa" w:w="100"/>
            </w:tcMar>
            <w:vAlign w:val="center"/>
          </w:tcPr>
          <w:p>
            <w:pPr>
              <w:jc w:val="center"/>
            </w:pPr>
            <w:r>
              <w:rPr>
                <w:b/>
                <w:bCs/>
                <w:color w:val="FFFFFF"/>
                <w:sz w:val="20"/>
                <w:szCs w:val="20"/>
              </w:rPr>
              <w:t xml:space="preserve">4. Reinforce What Was Right</w:t>
            </w:r>
          </w:p>
        </w:tc>
        <w:tc>
          <w:tcPr>
            <w:tcW w:type="dxa" w:w="1800"/>
            <w:shd w:fill="7A1F3D" w:val="clear"/>
            <w:tcMar>
              <w:top w:type="dxa" w:w="150"/>
              <w:left w:type="dxa" w:w="100"/>
              <w:bottom w:type="dxa" w:w="150"/>
              <w:right w:type="dxa" w:w="100"/>
            </w:tcMar>
            <w:vAlign w:val="center"/>
          </w:tcPr>
          <w:p>
            <w:pPr>
              <w:jc w:val="center"/>
            </w:pPr>
            <w:r>
              <w:rPr>
                <w:b/>
                <w:bCs/>
                <w:color w:val="FFFFFF"/>
                <w:sz w:val="20"/>
                <w:szCs w:val="20"/>
              </w:rPr>
              <w:t xml:space="preserve">5. Correct Mistakes</w:t>
            </w:r>
          </w:p>
        </w:tc>
      </w:tr>
    </w:tbl>
    <w:p>
      <w:pPr>
        <w:spacing w:after="160" w:line="300"/>
        <w:jc w:val="both"/>
      </w:pPr>
      <w:r>
        <w:rPr>
          <w:sz w:val="22"/>
          <w:szCs w:val="22"/>
        </w:rPr>
        <w:t xml:space="preserve">Pada langkah pertama, pelatih meminta peserta didik menyatakan komitmen diagnostik atau rencana tata laksana secara eksplisit, misalnya 'Menurut Anda, apa diagnosis kerja pada kasus ini?' alih-alih langsung memberi jawaban. Langkah kedua menggali dasar penalaran klinis peserta didik melalui pertanyaan seperti 'Data atau temuan apa yang mendasari kesimpulan Anda?' untuk memahami proses berpikir, bukan sekadar hasil akhir. Langkah ketiga, pelatih mengajarkan satu atau dua prinsip umum yang berlaku luas (bukan hanya untuk kasus tersebut), misalnya prinsip skrining rutin kekerasan pasangan intim pada seluruh pasien antenatal, bukan hanya pada kasus yang mencurigakan. Langkah keempat memberi penguatan spesifik terhadap aspek yang telah dilakukan dengan benar, dan langkah kelima mengoreksi kesalahan secara langsung namun konstruktif, idealnya dilakukan secara privat di luar hadapan pasien atau staf lain untuk menjaga martabat peserta didik.</w:t>
      </w:r>
    </w:p>
    <w:p>
      <w:pPr>
        <w:spacing w:after="160" w:line="300"/>
        <w:jc w:val="both"/>
      </w:pPr>
      <w:r>
        <w:rPr>
          <w:sz w:val="22"/>
          <w:szCs w:val="22"/>
        </w:rPr>
        <w:t xml:space="preserve">Penerapan OMP pada kasus Obginsos memiliki nuansa khusus: pada langkah probe for evidence, pelatih perlu secara spesifik menanyakan pertimbangan biopsikososial peserta didik, tidak hanya aspek biomedis, misalnya 'Selain kondisi obstetri, faktor psikososial apa yang Anda pertimbangkan dalam menyusun rencana rujukan pasien ini?' Pertanyaan semacam ini secara eksplisit melatih peserta didik untuk mempertahankan pendekatan holistik bahkan di tengah tekanan waktu klinis.</w:t>
      </w:r>
    </w:p>
    <w:p>
      <w:pPr>
        <w:pStyle w:val="Heading2"/>
        <w:spacing w:after="150" w:before="300"/>
      </w:pPr>
      <w:r>
        <w:rPr>
          <w:b/>
          <w:bCs/>
          <w:color w:val="7A1F3D"/>
          <w:sz w:val="28"/>
          <w:szCs w:val="28"/>
        </w:rPr>
        <w:t xml:space="preserve">2.3 Microteaching: Melatih Peserta Didik sebagai Calon Pelatih</w:t>
      </w:r>
    </w:p>
    <w:p>
      <w:pPr>
        <w:spacing w:after="160" w:line="300"/>
        <w:jc w:val="both"/>
      </w:pPr>
      <w:r>
        <w:rPr>
          <w:sz w:val="22"/>
          <w:szCs w:val="22"/>
        </w:rPr>
        <w:t xml:space="preserve">Berbeda dari OMP yang berfokus pada supervisi klinis peserta didik, microteaching adalah teknik pelatihan pengajaran berskala kecil dan terkontrol yang bertujuan mengembangkan keterampilan mengajar peserta didik itu sendiri, sejalan dengan peran mereka sebagai calon pelatih klinis (training of trainers) bagi residen Obstetri dan Ginekologi junior. Dikembangkan pertama kali di Stanford University pada dekade 1960-an, microteaching melibatkan siklus singkat: peserta didik menyampaikan sesi pengajaran singkat (biasanya 5–10 menit) kepada kelompok kecil sejawat atau residen junior, sesi tersebut direkam video, kemudian dilakukan telaah bersama fasilitator dan sejawat untuk mengidentifikasi kekuatan dan area perbaikan, diikuti pengulangan sesi dengan penerapan umpan balik (re-teach).</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4200"/>
        <w:gridCol w:w="3000"/>
      </w:tblGrid>
      <w:tr>
        <w:trPr>
          <w:tblHeader/>
        </w:trPr>
        <w:tc>
          <w:tcPr>
            <w:tcW w:type="dxa" w:w="1800"/>
            <w:shd w:fill="7A1F3D" w:val="clear"/>
            <w:tcMar>
              <w:top w:type="dxa" w:w="100"/>
              <w:left w:type="dxa" w:w="100"/>
              <w:bottom w:type="dxa" w:w="100"/>
              <w:right w:type="dxa" w:w="100"/>
            </w:tcMar>
          </w:tcPr>
          <w:p>
            <w:r>
              <w:rPr>
                <w:b/>
                <w:bCs/>
                <w:color w:val="FFFFFF"/>
                <w:sz w:val="20"/>
                <w:szCs w:val="20"/>
              </w:rPr>
              <w:t xml:space="preserve">Tahap</w:t>
            </w:r>
          </w:p>
        </w:tc>
        <w:tc>
          <w:tcPr>
            <w:tcW w:type="dxa" w:w="4200"/>
            <w:shd w:fill="7A1F3D" w:val="clear"/>
            <w:tcMar>
              <w:top w:type="dxa" w:w="100"/>
              <w:left w:type="dxa" w:w="100"/>
              <w:bottom w:type="dxa" w:w="100"/>
              <w:right w:type="dxa" w:w="100"/>
            </w:tcMar>
          </w:tcPr>
          <w:p>
            <w:r>
              <w:rPr>
                <w:b/>
                <w:bCs/>
                <w:color w:val="FFFFFF"/>
                <w:sz w:val="20"/>
                <w:szCs w:val="20"/>
              </w:rPr>
              <w:t xml:space="preserve">Aktivitas</w:t>
            </w:r>
          </w:p>
        </w:tc>
        <w:tc>
          <w:tcPr>
            <w:tcW w:type="dxa" w:w="3000"/>
            <w:shd w:fill="7A1F3D" w:val="clear"/>
            <w:tcMar>
              <w:top w:type="dxa" w:w="100"/>
              <w:left w:type="dxa" w:w="100"/>
              <w:bottom w:type="dxa" w:w="100"/>
              <w:right w:type="dxa" w:w="100"/>
            </w:tcMar>
          </w:tcPr>
          <w:p>
            <w:r>
              <w:rPr>
                <w:b/>
                <w:bCs/>
                <w:color w:val="FFFFFF"/>
                <w:sz w:val="20"/>
                <w:szCs w:val="20"/>
              </w:rPr>
              <w:t xml:space="preserve">Fokus Umpan Balik</w:t>
            </w:r>
          </w:p>
        </w:tc>
      </w:tr>
      <w:tr>
        <w:tc>
          <w:tcPr>
            <w:tcW w:type="dxa" w:w="1800"/>
            <w:shd w:fill="FFFFFF" w:val="clear"/>
            <w:tcMar>
              <w:top w:type="dxa" w:w="100"/>
              <w:left w:type="dxa" w:w="100"/>
              <w:bottom w:type="dxa" w:w="100"/>
              <w:right w:type="dxa" w:w="100"/>
            </w:tcMar>
          </w:tcPr>
          <w:p>
            <w:r>
              <w:rPr>
                <w:sz w:val="20"/>
                <w:szCs w:val="20"/>
              </w:rPr>
              <w:t xml:space="preserve">1. Perencanaan</w:t>
            </w:r>
          </w:p>
        </w:tc>
        <w:tc>
          <w:tcPr>
            <w:tcW w:type="dxa" w:w="4200"/>
            <w:shd w:fill="FFFFFF" w:val="clear"/>
            <w:tcMar>
              <w:top w:type="dxa" w:w="100"/>
              <w:left w:type="dxa" w:w="100"/>
              <w:bottom w:type="dxa" w:w="100"/>
              <w:right w:type="dxa" w:w="100"/>
            </w:tcMar>
          </w:tcPr>
          <w:p>
            <w:r>
              <w:rPr>
                <w:sz w:val="20"/>
                <w:szCs w:val="20"/>
              </w:rPr>
              <w:t xml:space="preserve">Peserta didik menyusun sesi mikro (5–10 menit) tentang satu topik spesifik, mis. teknik SBAR untuk komunikasi kasus KDRT antarprofesi</w:t>
            </w:r>
          </w:p>
        </w:tc>
        <w:tc>
          <w:tcPr>
            <w:tcW w:type="dxa" w:w="3000"/>
            <w:shd w:fill="FFFFFF" w:val="clear"/>
            <w:tcMar>
              <w:top w:type="dxa" w:w="100"/>
              <w:left w:type="dxa" w:w="100"/>
              <w:bottom w:type="dxa" w:w="100"/>
              <w:right w:type="dxa" w:w="100"/>
            </w:tcMar>
          </w:tcPr>
          <w:p>
            <w:r>
              <w:rPr>
                <w:sz w:val="20"/>
                <w:szCs w:val="20"/>
              </w:rPr>
              <w:t xml:space="preserve">Kejelasan tujuan pembelajaran, ketepatan pemilihan materi</w:t>
            </w:r>
          </w:p>
        </w:tc>
      </w:tr>
      <w:tr>
        <w:tc>
          <w:tcPr>
            <w:tcW w:type="dxa" w:w="1800"/>
            <w:shd w:fill="F3E4E9" w:val="clear"/>
            <w:tcMar>
              <w:top w:type="dxa" w:w="100"/>
              <w:left w:type="dxa" w:w="100"/>
              <w:bottom w:type="dxa" w:w="100"/>
              <w:right w:type="dxa" w:w="100"/>
            </w:tcMar>
          </w:tcPr>
          <w:p>
            <w:r>
              <w:rPr>
                <w:sz w:val="20"/>
                <w:szCs w:val="20"/>
              </w:rPr>
              <w:t xml:space="preserve">2. Pengajaran</w:t>
            </w:r>
          </w:p>
        </w:tc>
        <w:tc>
          <w:tcPr>
            <w:tcW w:type="dxa" w:w="4200"/>
            <w:shd w:fill="F3E4E9" w:val="clear"/>
            <w:tcMar>
              <w:top w:type="dxa" w:w="100"/>
              <w:left w:type="dxa" w:w="100"/>
              <w:bottom w:type="dxa" w:w="100"/>
              <w:right w:type="dxa" w:w="100"/>
            </w:tcMar>
          </w:tcPr>
          <w:p>
            <w:r>
              <w:rPr>
                <w:sz w:val="20"/>
                <w:szCs w:val="20"/>
              </w:rPr>
              <w:t xml:space="preserve">Peserta didik menyampaikan sesi kepada kelompok kecil (3–5 residen junior) yang direkam video</w:t>
            </w:r>
          </w:p>
        </w:tc>
        <w:tc>
          <w:tcPr>
            <w:tcW w:type="dxa" w:w="3000"/>
            <w:shd w:fill="F3E4E9" w:val="clear"/>
            <w:tcMar>
              <w:top w:type="dxa" w:w="100"/>
              <w:left w:type="dxa" w:w="100"/>
              <w:bottom w:type="dxa" w:w="100"/>
              <w:right w:type="dxa" w:w="100"/>
            </w:tcMar>
          </w:tcPr>
          <w:p>
            <w:r>
              <w:rPr>
                <w:sz w:val="20"/>
                <w:szCs w:val="20"/>
              </w:rPr>
              <w:t xml:space="preserve">Kejelasan penyampaian, manajemen waktu, interaksi dengan peserta</w:t>
            </w:r>
          </w:p>
        </w:tc>
      </w:tr>
      <w:tr>
        <w:tc>
          <w:tcPr>
            <w:tcW w:type="dxa" w:w="1800"/>
            <w:shd w:fill="FFFFFF" w:val="clear"/>
            <w:tcMar>
              <w:top w:type="dxa" w:w="100"/>
              <w:left w:type="dxa" w:w="100"/>
              <w:bottom w:type="dxa" w:w="100"/>
              <w:right w:type="dxa" w:w="100"/>
            </w:tcMar>
          </w:tcPr>
          <w:p>
            <w:r>
              <w:rPr>
                <w:sz w:val="20"/>
                <w:szCs w:val="20"/>
              </w:rPr>
              <w:t xml:space="preserve">3. Telaah/Kritik</w:t>
            </w:r>
          </w:p>
        </w:tc>
        <w:tc>
          <w:tcPr>
            <w:tcW w:type="dxa" w:w="4200"/>
            <w:shd w:fill="FFFFFF" w:val="clear"/>
            <w:tcMar>
              <w:top w:type="dxa" w:w="100"/>
              <w:left w:type="dxa" w:w="100"/>
              <w:bottom w:type="dxa" w:w="100"/>
              <w:right w:type="dxa" w:w="100"/>
            </w:tcMar>
          </w:tcPr>
          <w:p>
            <w:r>
              <w:rPr>
                <w:sz w:val="20"/>
                <w:szCs w:val="20"/>
              </w:rPr>
              <w:t xml:space="preserve">Diskusi terstruktur bersama fasilitator dan sejawat, disertai pemutaran ulang rekaman</w:t>
            </w:r>
          </w:p>
        </w:tc>
        <w:tc>
          <w:tcPr>
            <w:tcW w:type="dxa" w:w="3000"/>
            <w:shd w:fill="FFFFFF" w:val="clear"/>
            <w:tcMar>
              <w:top w:type="dxa" w:w="100"/>
              <w:left w:type="dxa" w:w="100"/>
              <w:bottom w:type="dxa" w:w="100"/>
              <w:right w:type="dxa" w:w="100"/>
            </w:tcMar>
          </w:tcPr>
          <w:p>
            <w:r>
              <w:rPr>
                <w:sz w:val="20"/>
                <w:szCs w:val="20"/>
              </w:rPr>
              <w:t xml:space="preserve">Bahasa tubuh, teknik bertanya, respons terhadap pertanyaan sulit</w:t>
            </w:r>
          </w:p>
        </w:tc>
      </w:tr>
      <w:tr>
        <w:tc>
          <w:tcPr>
            <w:tcW w:type="dxa" w:w="1800"/>
            <w:shd w:fill="F3E4E9" w:val="clear"/>
            <w:tcMar>
              <w:top w:type="dxa" w:w="100"/>
              <w:left w:type="dxa" w:w="100"/>
              <w:bottom w:type="dxa" w:w="100"/>
              <w:right w:type="dxa" w:w="100"/>
            </w:tcMar>
          </w:tcPr>
          <w:p>
            <w:r>
              <w:rPr>
                <w:sz w:val="20"/>
                <w:szCs w:val="20"/>
              </w:rPr>
              <w:t xml:space="preserve">4. Pengulangan (Re-teach)</w:t>
            </w:r>
          </w:p>
        </w:tc>
        <w:tc>
          <w:tcPr>
            <w:tcW w:type="dxa" w:w="4200"/>
            <w:shd w:fill="F3E4E9" w:val="clear"/>
            <w:tcMar>
              <w:top w:type="dxa" w:w="100"/>
              <w:left w:type="dxa" w:w="100"/>
              <w:bottom w:type="dxa" w:w="100"/>
              <w:right w:type="dxa" w:w="100"/>
            </w:tcMar>
          </w:tcPr>
          <w:p>
            <w:r>
              <w:rPr>
                <w:sz w:val="20"/>
                <w:szCs w:val="20"/>
              </w:rPr>
              <w:t xml:space="preserve">Peserta didik mengulang sesi dengan menerapkan umpan balik yang diterima</w:t>
            </w:r>
          </w:p>
        </w:tc>
        <w:tc>
          <w:tcPr>
            <w:tcW w:type="dxa" w:w="3000"/>
            <w:shd w:fill="F3E4E9" w:val="clear"/>
            <w:tcMar>
              <w:top w:type="dxa" w:w="100"/>
              <w:left w:type="dxa" w:w="100"/>
              <w:bottom w:type="dxa" w:w="100"/>
              <w:right w:type="dxa" w:w="100"/>
            </w:tcMar>
          </w:tcPr>
          <w:p>
            <w:r>
              <w:rPr>
                <w:sz w:val="20"/>
                <w:szCs w:val="20"/>
              </w:rPr>
              <w:t xml:space="preserve">Perbaikan terukur dibanding sesi pertama</w:t>
            </w:r>
          </w:p>
        </w:tc>
      </w:tr>
    </w:tbl>
    <w:p>
      <w:pPr>
        <w:spacing w:after="160" w:line="300"/>
        <w:jc w:val="both"/>
      </w:pPr>
      <w:r>
        <w:rPr>
          <w:sz w:val="22"/>
          <w:szCs w:val="22"/>
        </w:rPr>
        <w:t xml:space="preserve">Microteaching sangat relevan bagi peserta didik semester 4–5 PPDS Obginsos karena pada tahap ini mereka mulai diberi tanggung jawab formal sebagai pendamping pengajaran (near-peer teaching) bagi residen Obstetri dan Ginekologi. Topik microteaching yang direkomendasikan mencakup keterampilan komunikasi krisis (mis. menyampaikan diagnosis kehamilan dengan kelainan janin berat), teknik skrining biopsikososial terstruktur, serta demonstrasi prosedur klinis dasar yang akan dibahas lebih rinci menggunakan kerangka Peyton's 4-Step pada Bab 4.</w:t>
      </w:r>
    </w:p>
    <w:p>
      <w:pPr>
        <w:shd w:fill="7A1F3D" w:val="clear"/>
        <w:spacing w:after="0" w:before="200"/>
      </w:pPr>
      <w:r>
        <w:rPr>
          <w:b/>
          <w:bCs/>
          <w:color w:val="FFFFFF"/>
          <w:sz w:val="22"/>
          <w:szCs w:val="22"/>
        </w:rPr>
        <w:t xml:space="preserve">PERAN LINTAS PROFESI</w:t>
      </w:r>
    </w:p>
    <w:p>
      <w:pPr>
        <w:pStyle w:val="ListParagraph"/>
        <w:numPr>
          <w:ilvl w:val="0"/>
          <w:numId w:val="1"/>
        </w:numPr>
        <w:shd w:fill="F7F3F1" w:val="clear"/>
        <w:spacing w:after="60"/>
        <w:ind w:left="200" w:right="200"/>
      </w:pPr>
      <w:r>
        <w:rPr>
          <w:color w:val="3A3A3A"/>
          <w:sz w:val="22"/>
          <w:szCs w:val="22"/>
        </w:rPr>
        <w:t xml:space="preserve">Psikolog klinis dapat dilibatkan sebagai co-fasilitator dalam sesi telaah microteaching yang membahas topik kesehatan mental perinatal, memberi perspektif tambahan mengenai akurasi konten psikologis yang diajarkan.</w:t>
      </w:r>
    </w:p>
    <w:p>
      <w:pPr>
        <w:pStyle w:val="ListParagraph"/>
        <w:numPr>
          <w:ilvl w:val="0"/>
          <w:numId w:val="1"/>
        </w:numPr>
        <w:shd w:fill="F7F3F1" w:val="clear"/>
        <w:spacing w:after="200"/>
        <w:ind w:left="200" w:right="200"/>
      </w:pPr>
      <w:r>
        <w:rPr>
          <w:color w:val="3A3A3A"/>
          <w:sz w:val="22"/>
          <w:szCs w:val="22"/>
        </w:rPr>
        <w:t xml:space="preserve">Pekerja sosial medis dapat memberi masukan pada sesi microteaching bertema rujukan lintas sektor untuk kasus kekerasan berbasis gender, memastikan alur rujukan yang diajarkan sesuai realitas layanan setempat.</w:t>
      </w:r>
    </w:p>
    <w:p>
      <w:pPr>
        <w:shd w:fill="7A1F3D" w:val="clear"/>
        <w:spacing w:after="0" w:before="200"/>
      </w:pPr>
      <w:r>
        <w:rPr>
          <w:b/>
          <w:bCs/>
          <w:color w:val="FFFFFF"/>
          <w:sz w:val="22"/>
          <w:szCs w:val="22"/>
        </w:rPr>
        <w:t xml:space="preserve">VIGNETTE KASUS (ILUSTRATIF, FIKTIF)</w:t>
      </w:r>
    </w:p>
    <w:p>
      <w:pPr>
        <w:shd w:fill="F7F3F1" w:val="clear"/>
        <w:spacing w:after="200"/>
        <w:ind w:left="200" w:right="200"/>
      </w:pPr>
      <w:r>
        <w:rPr>
          <w:color w:val="3A3A3A"/>
          <w:sz w:val="22"/>
          <w:szCs w:val="22"/>
        </w:rPr>
        <w:t xml:space="preserve">dr. Andika, peserta didik semester 4, ditugaskan mengajarkan teknik OMP kepada tiga residen Obstetri dan Ginekologi tingkat II melalui sesi microteaching 8 menit. Rekaman video menunjukkan dr. Andika terlalu banyak menjelaskan teori tanpa memberi kesempatan residen mempraktikkan langkah 'get a commitment'. Pada sesi telaah, fasilitator dan sejawat menyarankan penyederhanaan slide serta penambahan sesi bermain peran singkat. Pada sesi pengulangan, dr. Andika berhasil melibatkan seluruh residen dalam simulasi singkat, menunjukkan peningkatan signifikan pada aspek interaktivitas pengajaran.</w:t>
      </w:r>
    </w:p>
    <w:p>
      <w:pPr>
        <w:shd w:fill="7A1F3D" w:val="clear"/>
        <w:spacing w:after="0" w:before="200"/>
      </w:pPr>
      <w:r>
        <w:rPr>
          <w:b/>
          <w:bCs/>
          <w:color w:val="FFFFFF"/>
          <w:sz w:val="22"/>
          <w:szCs w:val="22"/>
        </w:rPr>
        <w:t xml:space="preserve">POIN KUNCI</w:t>
      </w:r>
    </w:p>
    <w:p>
      <w:pPr>
        <w:pStyle w:val="ListParagraph"/>
        <w:numPr>
          <w:ilvl w:val="0"/>
          <w:numId w:val="1"/>
        </w:numPr>
        <w:shd w:fill="F7F3F1" w:val="clear"/>
        <w:spacing w:after="60"/>
        <w:ind w:left="200" w:right="200"/>
      </w:pPr>
      <w:r>
        <w:rPr>
          <w:color w:val="3A3A3A"/>
          <w:sz w:val="22"/>
          <w:szCs w:val="22"/>
        </w:rPr>
        <w:t xml:space="preserve">Bedside teaching untuk kasus biopsikososial memerlukan adaptasi etik: persetujuan eksplisit pasien, pembatasan jumlah peserta didik, dan opsi debriefing di luar ruang periksa untuk kasus sensitif.</w:t>
      </w:r>
    </w:p>
    <w:p>
      <w:pPr>
        <w:pStyle w:val="ListParagraph"/>
        <w:numPr>
          <w:ilvl w:val="0"/>
          <w:numId w:val="1"/>
        </w:numPr>
        <w:shd w:fill="F7F3F1" w:val="clear"/>
        <w:spacing w:after="60"/>
        <w:ind w:left="200" w:right="200"/>
      </w:pPr>
      <w:r>
        <w:rPr>
          <w:color w:val="3A3A3A"/>
          <w:sz w:val="22"/>
          <w:szCs w:val="22"/>
        </w:rPr>
        <w:t xml:space="preserve">One-Minute Preceptor terdiri atas lima langkah: get a commitment, probe for evidence, teach general rules, reinforce what was right, dan correct mistakes.</w:t>
      </w:r>
    </w:p>
    <w:p>
      <w:pPr>
        <w:pStyle w:val="ListParagraph"/>
        <w:numPr>
          <w:ilvl w:val="0"/>
          <w:numId w:val="1"/>
        </w:numPr>
        <w:shd w:fill="F7F3F1" w:val="clear"/>
        <w:spacing w:after="60"/>
        <w:ind w:left="200" w:right="200"/>
      </w:pPr>
      <w:r>
        <w:rPr>
          <w:color w:val="3A3A3A"/>
          <w:sz w:val="22"/>
          <w:szCs w:val="22"/>
        </w:rPr>
        <w:t xml:space="preserve">OMP dirancang untuk supervisi klinis singkat di tengah beban pelayanan padat, dan dapat dimodifikasi untuk secara eksplisit menggali pertimbangan biopsikososial peserta didik.</w:t>
      </w:r>
    </w:p>
    <w:p>
      <w:pPr>
        <w:pStyle w:val="ListParagraph"/>
        <w:numPr>
          <w:ilvl w:val="0"/>
          <w:numId w:val="1"/>
        </w:numPr>
        <w:shd w:fill="F7F3F1" w:val="clear"/>
        <w:spacing w:after="60"/>
        <w:ind w:left="200" w:right="200"/>
      </w:pPr>
      <w:r>
        <w:rPr>
          <w:color w:val="3A3A3A"/>
          <w:sz w:val="22"/>
          <w:szCs w:val="22"/>
        </w:rPr>
        <w:t xml:space="preserve">Microteaching adalah siklus perencanaan-pengajaran-telaah-pengulangan berskala kecil yang melatih keterampilan mengajar peserta didik sebagai calon pelatih klinis.</w:t>
      </w:r>
    </w:p>
    <w:p>
      <w:pPr>
        <w:pStyle w:val="ListParagraph"/>
        <w:numPr>
          <w:ilvl w:val="0"/>
          <w:numId w:val="1"/>
        </w:numPr>
        <w:shd w:fill="F7F3F1" w:val="clear"/>
        <w:spacing w:after="60"/>
        <w:ind w:left="200" w:right="200"/>
      </w:pPr>
      <w:r>
        <w:rPr>
          <w:color w:val="3A3A3A"/>
          <w:sz w:val="22"/>
          <w:szCs w:val="22"/>
        </w:rPr>
        <w:t xml:space="preserve">Peran near-peer teaching pada semester akhir PPDS Obginsos menjadikan microteaching sebagai kompetensi wajib, bukan sekadar pelengkap.</w:t>
      </w:r>
    </w:p>
    <w:p>
      <w:pPr>
        <w:pStyle w:val="ListParagraph"/>
        <w:numPr>
          <w:ilvl w:val="0"/>
          <w:numId w:val="1"/>
        </w:numPr>
        <w:shd w:fill="F7F3F1" w:val="clear"/>
        <w:spacing w:after="200"/>
        <w:ind w:left="200" w:right="200"/>
      </w:pPr>
      <w:r>
        <w:rPr>
          <w:color w:val="3A3A3A"/>
          <w:sz w:val="22"/>
          <w:szCs w:val="22"/>
        </w:rPr>
        <w:t xml:space="preserve">Keterlibatan profesi lain (psikolog, pekerja sosial) dalam sesi telaah microteaching memperkaya akurasi konten biopsikososial yang diajarkan.</w:t>
      </w:r>
    </w:p>
    <w:p>
      <w:pPr>
        <w:pStyle w:val="Heading2"/>
        <w:spacing w:after="150" w:before="300"/>
      </w:pPr>
      <w:r>
        <w:rPr>
          <w:b/>
          <w:bCs/>
          <w:color w:val="7A1F3D"/>
          <w:sz w:val="28"/>
          <w:szCs w:val="28"/>
        </w:rPr>
        <w:t xml:space="preserve">Referensi Bab 2</w:t>
      </w:r>
    </w:p>
    <w:p>
      <w:pPr>
        <w:spacing w:after="100"/>
        <w:ind w:left="360" w:hanging="360"/>
      </w:pPr>
      <w:r>
        <w:rPr>
          <w:sz w:val="20"/>
          <w:szCs w:val="20"/>
        </w:rPr>
        <w:t xml:space="preserve">1. Neher JO, Gordon KC, Meyer B, Stevens N. A five-step "microskills" model of clinical teaching. J Am Board Fam Pract. 1992;5(4):419–424.</w:t>
      </w:r>
    </w:p>
    <w:p>
      <w:pPr>
        <w:spacing w:after="100"/>
        <w:ind w:left="360" w:hanging="360"/>
      </w:pPr>
      <w:r>
        <w:rPr>
          <w:sz w:val="20"/>
          <w:szCs w:val="20"/>
        </w:rPr>
        <w:t xml:space="preserve">2. Allen DW, Ryan K. Microteaching. Reading (MA): Addison-Wesley; 1969.</w:t>
      </w:r>
    </w:p>
    <w:p>
      <w:pPr>
        <w:spacing w:after="100"/>
        <w:ind w:left="360" w:hanging="360"/>
      </w:pPr>
      <w:r>
        <w:rPr>
          <w:sz w:val="20"/>
          <w:szCs w:val="20"/>
        </w:rPr>
        <w:t xml:space="preserve">3. Berek JS, editor. Berek &amp; Novak's Gynecology. 17th ed. Philadelphia: Wolters Kluwer; 2023.</w:t>
      </w:r>
    </w:p>
    <w:p>
      <w:pPr>
        <w:spacing w:after="100"/>
        <w:ind w:left="360" w:hanging="360"/>
      </w:pPr>
      <w:r>
        <w:rPr>
          <w:sz w:val="20"/>
          <w:szCs w:val="20"/>
        </w:rPr>
        <w:t xml:space="preserve">4. World Health Organization (WHO). Health Care for Women Subjected to Intimate Partner Violence or Sexual Violence: A Clinical Handbook. Geneva: WHO; 2014.</w:t>
      </w:r>
    </w:p>
    <w:p>
      <w:pPr>
        <w:spacing w:after="100"/>
        <w:ind w:left="360" w:hanging="360"/>
      </w:pPr>
      <w:r>
        <w:rPr>
          <w:sz w:val="20"/>
          <w:szCs w:val="20"/>
        </w:rPr>
        <w:t xml:space="preserve">5. Republik Indonesia. Undang-Undang Nomor 12 Tahun 2022 tentang Tindak Pidana Kekerasan Seksual (UU TPKS).</w:t>
      </w:r>
    </w:p>
    <w:p>
      <w:r>
        <w:br w:type="page"/>
      </w:r>
    </w:p>
    <w:p>
      <w:pPr>
        <w:pStyle w:val="Heading1"/>
        <w:spacing w:after="200" w:before="400"/>
      </w:pPr>
      <w:r>
        <w:rPr>
          <w:b/>
          <w:bCs/>
          <w:color w:val="7A1F3D"/>
          <w:sz w:val="36"/>
          <w:szCs w:val="36"/>
        </w:rPr>
        <w:t xml:space="preserve">BAB 3. PERANCANGAN BLUEPRINT OSCE DAN SKILL STATION</w:t>
      </w:r>
    </w:p>
    <w:p>
      <w:pPr>
        <w:shd w:fill="7A1F3D" w:val="clear"/>
        <w:spacing w:after="0" w:before="200"/>
      </w:pPr>
      <w:r>
        <w:rPr>
          <w:b/>
          <w:bCs/>
          <w:color w:val="FFFFFF"/>
          <w:sz w:val="22"/>
          <w:szCs w:val="22"/>
        </w:rPr>
        <w:t xml:space="preserve">TUJUAN PEMBELAJARAN BAB</w:t>
      </w:r>
    </w:p>
    <w:p>
      <w:pPr>
        <w:pStyle w:val="ListParagraph"/>
        <w:numPr>
          <w:ilvl w:val="0"/>
          <w:numId w:val="1"/>
        </w:numPr>
        <w:shd w:fill="F7F3F1" w:val="clear"/>
        <w:spacing w:after="60"/>
        <w:ind w:left="200" w:right="200"/>
      </w:pPr>
      <w:r>
        <w:rPr>
          <w:color w:val="3A3A3A"/>
          <w:sz w:val="22"/>
          <w:szCs w:val="22"/>
        </w:rPr>
        <w:t xml:space="preserve">Menjelaskan prinsip dasar penyusunan blueprint OSCE berbasis kompetensi.</w:t>
      </w:r>
    </w:p>
    <w:p>
      <w:pPr>
        <w:pStyle w:val="ListParagraph"/>
        <w:numPr>
          <w:ilvl w:val="0"/>
          <w:numId w:val="1"/>
        </w:numPr>
        <w:shd w:fill="F7F3F1" w:val="clear"/>
        <w:spacing w:after="60"/>
        <w:ind w:left="200" w:right="200"/>
      </w:pPr>
      <w:r>
        <w:rPr>
          <w:color w:val="3A3A3A"/>
          <w:sz w:val="22"/>
          <w:szCs w:val="22"/>
        </w:rPr>
        <w:t xml:space="preserve">Memetakan Tabel 19 (Kompetensi Penatalaksanaan Klinis) dan Tabel 25 (Kompetensi Prosedur Klinis) Kepkonsil Nomor HK.01.02/KKI/1318/2026 ke dalam stasiun OSCE.</w:t>
      </w:r>
    </w:p>
    <w:p>
      <w:pPr>
        <w:pStyle w:val="ListParagraph"/>
        <w:numPr>
          <w:ilvl w:val="0"/>
          <w:numId w:val="1"/>
        </w:numPr>
        <w:shd w:fill="F7F3F1" w:val="clear"/>
        <w:spacing w:after="60"/>
        <w:ind w:left="200" w:right="200"/>
      </w:pPr>
      <w:r>
        <w:rPr>
          <w:color w:val="3A3A3A"/>
          <w:sz w:val="22"/>
          <w:szCs w:val="22"/>
        </w:rPr>
        <w:t xml:space="preserve">Merancang skill station beserta rubrik penilaian (checklist dan global rating scale) yang valid dan reliabel.</w:t>
      </w:r>
    </w:p>
    <w:p>
      <w:pPr>
        <w:pStyle w:val="ListParagraph"/>
        <w:numPr>
          <w:ilvl w:val="0"/>
          <w:numId w:val="1"/>
        </w:numPr>
        <w:shd w:fill="F7F3F1" w:val="clear"/>
        <w:spacing w:after="60"/>
        <w:ind w:left="200" w:right="200"/>
      </w:pPr>
      <w:r>
        <w:rPr>
          <w:color w:val="3A3A3A"/>
          <w:sz w:val="22"/>
          <w:szCs w:val="22"/>
        </w:rPr>
        <w:t xml:space="preserve">Menjelaskan standar internasional penyusunan blueprint ujian kompetensi dan penyesuaiannya pada konteks regulasi Indonesia.</w:t>
      </w:r>
    </w:p>
    <w:p>
      <w:pPr>
        <w:pStyle w:val="ListParagraph"/>
        <w:numPr>
          <w:ilvl w:val="0"/>
          <w:numId w:val="1"/>
        </w:numPr>
        <w:shd w:fill="F7F3F1" w:val="clear"/>
        <w:spacing w:after="60"/>
        <w:ind w:left="200" w:right="200"/>
      </w:pPr>
      <w:r>
        <w:rPr>
          <w:color w:val="3A3A3A"/>
          <w:sz w:val="22"/>
          <w:szCs w:val="22"/>
        </w:rPr>
        <w:t xml:space="preserve">Mengidentifikasi jebakan umum (common pitfalls) dalam perancangan OSCE subspesialistik.</w:t>
      </w:r>
    </w:p>
    <w:p>
      <w:pPr>
        <w:pStyle w:val="ListParagraph"/>
        <w:numPr>
          <w:ilvl w:val="0"/>
          <w:numId w:val="1"/>
        </w:numPr>
        <w:shd w:fill="F7F3F1" w:val="clear"/>
        <w:spacing w:after="200"/>
        <w:ind w:left="200" w:right="200"/>
      </w:pPr>
      <w:r>
        <w:rPr>
          <w:color w:val="3A3A3A"/>
          <w:sz w:val="22"/>
          <w:szCs w:val="22"/>
        </w:rPr>
        <w:t xml:space="preserve">Menempatkan blueprint OSCE Obginsos dalam konteks tren global terkini standardisasi pendidikan kedokteran Obstetri dan Ginekologi.</w:t>
      </w:r>
    </w:p>
    <w:p>
      <w:pPr>
        <w:pStyle w:val="Heading2"/>
        <w:spacing w:after="150" w:before="300"/>
      </w:pPr>
      <w:r>
        <w:rPr>
          <w:b/>
          <w:bCs/>
          <w:color w:val="7A1F3D"/>
          <w:sz w:val="28"/>
          <w:szCs w:val="28"/>
        </w:rPr>
        <w:t xml:space="preserve">3.1 Konsep Blueprint dalam Ujian Kompetensi Berbasis OSCE</w:t>
      </w:r>
    </w:p>
    <w:p>
      <w:pPr>
        <w:spacing w:after="160" w:line="300"/>
        <w:jc w:val="both"/>
      </w:pPr>
      <w:r>
        <w:rPr>
          <w:sz w:val="22"/>
          <w:szCs w:val="22"/>
        </w:rPr>
        <w:t xml:space="preserve">Objective Structured Clinical Examination (OSCE) merupakan metode penilaian standar untuk mengukur kompetensi pada tingkat shows how dalam Miller's Pyramid, sebagaimana dibahas pada Bab 1. Validitas dan kredibilitas suatu OSCE sangat bergantung pada proses blueprinting, yaitu pemetaan sistematis antara domain kompetensi yang harus diukur dengan stasiun ujian yang dirancang, sehingga cakupan ujian (test content) benar-benar representatif terhadap keseluruhan kurikulum kompetensi, bukan sekadar kumpulan kasus yang kebetulan tersedia atau menarik secara pedagogis.</w:t>
      </w:r>
    </w:p>
    <w:p>
      <w:pPr>
        <w:spacing w:after="160" w:line="300"/>
        <w:jc w:val="both"/>
      </w:pPr>
      <w:r>
        <w:rPr>
          <w:sz w:val="22"/>
          <w:szCs w:val="22"/>
        </w:rPr>
        <w:t xml:space="preserve">Prinsip blueprinting internasional yang lazim digunakan mencakup beberapa langkah berurutan: identifikasi seluruh domain kompetensi yang menjadi capaian pembelajaran program, penentuan bobot relatif setiap domain berdasarkan frekuensi klinis dan tingkat risiko (kompetensi yang sering dijumpai dan berisiko tinggi memperoleh bobot lebih besar), penentuan jumlah dan jenis stasiun yang mencerminkan bobot tersebut, serta verifikasi akhir bahwa keseluruhan blueprint mencakup rentang kompetensi yang memadai tanpa duplikasi berlebihan pada satu domain saja. Tanpa proses ini, OSCE berisiko menjadi 'sampling kebetulan' yang tidak dapat dipertanggungjawabkan secara psikometrik maupun secara hukum ketika hasilnya digunakan untuk keputusan kelulusan.</w:t>
      </w:r>
    </w:p>
    <w:p>
      <w:pPr>
        <w:pStyle w:val="Heading2"/>
        <w:spacing w:after="150" w:before="300"/>
      </w:pPr>
      <w:r>
        <w:rPr>
          <w:b/>
          <w:bCs/>
          <w:color w:val="7A1F3D"/>
          <w:sz w:val="28"/>
          <w:szCs w:val="28"/>
        </w:rPr>
        <w:t xml:space="preserve">3.2 Memetakan Tabel 19 dan Tabel 25 Kepkonsil ke Stasiun OSCE</w:t>
      </w:r>
    </w:p>
    <w:p>
      <w:pPr>
        <w:spacing w:after="160" w:line="300"/>
        <w:jc w:val="both"/>
      </w:pPr>
      <w:r>
        <w:rPr>
          <w:sz w:val="22"/>
          <w:szCs w:val="22"/>
        </w:rPr>
        <w:t xml:space="preserve">Bagi program pendidikan subspesialis Obginsos di Indonesia, Keputusan Ketua Konsil Kesehatan Indonesia Nomor HK.01.02/KKI/1318/2026 tentang Standar Kompetensi Dokter Spesialis dan Subspesialis Bidang Obstetri dan Ginekologi menjadi kerangka acuan wajib dalam penyusunan blueprint, khususnya Tabel 19 yang memuat kompetensi penatalaksanaan klinis dan Tabel 25 yang memuat kompetensi prosedur klinis untuk peminatan Obstetri Ginekologi Sosial. Prinsip penyusunan blueprint berbasis kedua tabel tersebut mengikuti alur sebagai berikut: setiap butir kompetensi pada Tabel 19 dan Tabel 25 dikelompokkan menjadi domain tematik (mis. kesehatan mental perinatal, kekerasan berbasis gender, kehamilan remaja, kontrasepsi komorbid), setiap domain kemudian dialokasikan minimal satu stasiun OSCE sesuai bobot risiko dan frekuensi klinisnya, dan tingkat kewenangan klinis yang tercantum pada kedua tabel (mis. mandiri, supervisi, atau rujukan) menentukan kompleksitas skenario yang disusun pada stasiun tersebut.</w:t>
      </w:r>
    </w:p>
    <w:p>
      <w:pPr>
        <w:spacing w:after="160" w:line="300"/>
        <w:jc w:val="both"/>
      </w:pPr>
      <w:r>
        <w:rPr>
          <w:sz w:val="22"/>
          <w:szCs w:val="22"/>
        </w:rPr>
        <w:t xml:space="preserve">Sebagai ilustrasi konkret, Tabel 25 (Kompetensi Prosedur Klinis) Kepkonsil memuat sembilan komponen kompetensi prosedural inti bagi subspesialis/konsultan Obginsos, di antaranya: (1) tata laksana kehamilan berisiko sosial dan psikososial, (2) identifikasi dini dan tata laksana masa nifas dengan masalah biopsikososial, (3) konseling dan pemilihan kontrasepsi pada komorbid tinggi, (4) pemasangan AKDR/implan pada kasus kompleks (mis. dengan antikoagulan atau kelainan anatomi), (5) konseling dan pemilihan kontrasepsi darurat pada kasus perkosaan atau kegagalan kontrasepsi, (6) penatalaksanaan komplikasi pasca-abortus kompleks, (7) penatalaksanaan kehamilan remaja, (8) penatalaksanaan kehamilan tidak diinginkan, dan (9) tata laksana gangguan mental pada kehamilan. Setiap komponen disertai kriteria kinerja minimal yang sangat spesifik dan terukur—misalnya dokumentasi konseling dan informed consent 100%, volume minimal kasus yang harus ditangani (mis. ≥10 kasus kehamilan risiko sosial/psikososial, ≥5 kasus kehamilan remaja, ≥2 kasus kehamilan tidak diinginkan), serta ambang batas komplikasi (mis. perforasi AKDR ≤1/1000, infeksi pascapemasangan ≤1%). Tabel berikut memetakan sebagian komponen tersebut ke rancangan stasiun OSCE beserta fokus penilaiannya.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200"/>
        <w:gridCol w:w="3000"/>
      </w:tblGrid>
      <w:tr>
        <w:trPr>
          <w:tblHeader/>
        </w:trPr>
        <w:tc>
          <w:tcPr>
            <w:tcW w:type="dxa" w:w="3000"/>
            <w:shd w:fill="7A1F3D" w:val="clear"/>
            <w:tcMar>
              <w:top w:type="dxa" w:w="100"/>
              <w:left w:type="dxa" w:w="100"/>
              <w:bottom w:type="dxa" w:w="100"/>
              <w:right w:type="dxa" w:w="100"/>
            </w:tcMar>
          </w:tcPr>
          <w:p>
            <w:r>
              <w:rPr>
                <w:b/>
                <w:bCs/>
                <w:color w:val="FFFFFF"/>
                <w:sz w:val="20"/>
                <w:szCs w:val="20"/>
              </w:rPr>
              <w:t xml:space="preserve">Komponen Kompetensi (Tabel 25 Kepkonsil)</w:t>
            </w:r>
          </w:p>
        </w:tc>
        <w:tc>
          <w:tcPr>
            <w:tcW w:type="dxa" w:w="3200"/>
            <w:shd w:fill="7A1F3D" w:val="clear"/>
            <w:tcMar>
              <w:top w:type="dxa" w:w="100"/>
              <w:left w:type="dxa" w:w="100"/>
              <w:bottom w:type="dxa" w:w="100"/>
              <w:right w:type="dxa" w:w="100"/>
            </w:tcMar>
          </w:tcPr>
          <w:p>
            <w:r>
              <w:rPr>
                <w:b/>
                <w:bCs/>
                <w:color w:val="FFFFFF"/>
                <w:sz w:val="20"/>
                <w:szCs w:val="20"/>
              </w:rPr>
              <w:t xml:space="preserve">Contoh Rancangan Stasiun OSCE</w:t>
            </w:r>
          </w:p>
        </w:tc>
        <w:tc>
          <w:tcPr>
            <w:tcW w:type="dxa" w:w="3000"/>
            <w:shd w:fill="7A1F3D" w:val="clear"/>
            <w:tcMar>
              <w:top w:type="dxa" w:w="100"/>
              <w:left w:type="dxa" w:w="100"/>
              <w:bottom w:type="dxa" w:w="100"/>
              <w:right w:type="dxa" w:w="100"/>
            </w:tcMar>
          </w:tcPr>
          <w:p>
            <w:r>
              <w:rPr>
                <w:b/>
                <w:bCs/>
                <w:color w:val="FFFFFF"/>
                <w:sz w:val="20"/>
                <w:szCs w:val="20"/>
              </w:rPr>
              <w:t xml:space="preserve">Fokus Penilaian &amp; Kriteria Kinerja Minimal Acuan</w:t>
            </w:r>
          </w:p>
        </w:tc>
      </w:tr>
      <w:tr>
        <w:tc>
          <w:tcPr>
            <w:tcW w:type="dxa" w:w="3000"/>
            <w:shd w:fill="FFFFFF" w:val="clear"/>
            <w:tcMar>
              <w:top w:type="dxa" w:w="100"/>
              <w:left w:type="dxa" w:w="100"/>
              <w:bottom w:type="dxa" w:w="100"/>
              <w:right w:type="dxa" w:w="100"/>
            </w:tcMar>
          </w:tcPr>
          <w:p>
            <w:r>
              <w:rPr>
                <w:sz w:val="20"/>
                <w:szCs w:val="20"/>
              </w:rPr>
              <w:t xml:space="preserve">1. Tata laksana kehamilan berisiko sosial dan psikososial</w:t>
            </w:r>
          </w:p>
        </w:tc>
        <w:tc>
          <w:tcPr>
            <w:tcW w:type="dxa" w:w="3200"/>
            <w:shd w:fill="FFFFFF" w:val="clear"/>
            <w:tcMar>
              <w:top w:type="dxa" w:w="100"/>
              <w:left w:type="dxa" w:w="100"/>
              <w:bottom w:type="dxa" w:w="100"/>
              <w:right w:type="dxa" w:w="100"/>
            </w:tcMar>
          </w:tcPr>
          <w:p>
            <w:r>
              <w:rPr>
                <w:sz w:val="20"/>
                <w:szCs w:val="20"/>
              </w:rPr>
              <w:t xml:space="preserve">Konseling biopsikososial nondirektif pada pasien standar dengan faktor risiko kemiskinan, KDRT, dan gejala depresi</w:t>
            </w:r>
          </w:p>
        </w:tc>
        <w:tc>
          <w:tcPr>
            <w:tcW w:type="dxa" w:w="3000"/>
            <w:shd w:fill="FFFFFF" w:val="clear"/>
            <w:tcMar>
              <w:top w:type="dxa" w:w="100"/>
              <w:left w:type="dxa" w:w="100"/>
              <w:bottom w:type="dxa" w:w="100"/>
              <w:right w:type="dxa" w:w="100"/>
            </w:tcMar>
          </w:tcPr>
          <w:p>
            <w:r>
              <w:rPr>
                <w:sz w:val="20"/>
                <w:szCs w:val="20"/>
              </w:rPr>
              <w:t xml:space="preserve">Kelengkapan skrining sosial-psikologis; dokumentasi asesmen dan rencana tindak lanjut; ketepatan rujukan multidisiplin</w:t>
            </w:r>
          </w:p>
        </w:tc>
      </w:tr>
      <w:tr>
        <w:tc>
          <w:tcPr>
            <w:tcW w:type="dxa" w:w="3000"/>
            <w:shd w:fill="F3E4E9" w:val="clear"/>
            <w:tcMar>
              <w:top w:type="dxa" w:w="100"/>
              <w:left w:type="dxa" w:w="100"/>
              <w:bottom w:type="dxa" w:w="100"/>
              <w:right w:type="dxa" w:w="100"/>
            </w:tcMar>
          </w:tcPr>
          <w:p>
            <w:r>
              <w:rPr>
                <w:sz w:val="20"/>
                <w:szCs w:val="20"/>
              </w:rPr>
              <w:t xml:space="preserve">3. Konseling &amp; pemilihan kontrasepsi pada komorbid tinggi</w:t>
            </w:r>
          </w:p>
        </w:tc>
        <w:tc>
          <w:tcPr>
            <w:tcW w:type="dxa" w:w="3200"/>
            <w:shd w:fill="F3E4E9" w:val="clear"/>
            <w:tcMar>
              <w:top w:type="dxa" w:w="100"/>
              <w:left w:type="dxa" w:w="100"/>
              <w:bottom w:type="dxa" w:w="100"/>
              <w:right w:type="dxa" w:w="100"/>
            </w:tcMar>
          </w:tcPr>
          <w:p>
            <w:r>
              <w:rPr>
                <w:sz w:val="20"/>
                <w:szCs w:val="20"/>
              </w:rPr>
              <w:t xml:space="preserve">Konseling kontrasepsi pada pasien standar dengan komorbid kardiovaskular, disertai informed consent</w:t>
            </w:r>
          </w:p>
        </w:tc>
        <w:tc>
          <w:tcPr>
            <w:tcW w:type="dxa" w:w="3000"/>
            <w:shd w:fill="F3E4E9" w:val="clear"/>
            <w:tcMar>
              <w:top w:type="dxa" w:w="100"/>
              <w:left w:type="dxa" w:w="100"/>
              <w:bottom w:type="dxa" w:w="100"/>
              <w:right w:type="dxa" w:w="100"/>
            </w:tcMar>
          </w:tcPr>
          <w:p>
            <w:r>
              <w:rPr>
                <w:sz w:val="20"/>
                <w:szCs w:val="20"/>
              </w:rPr>
              <w:t xml:space="preserve">Kesesuaian indikasi/kontraindikasi; kelengkapan informed consent 100%; konseling nondirektif</w:t>
            </w:r>
          </w:p>
        </w:tc>
      </w:tr>
      <w:tr>
        <w:tc>
          <w:tcPr>
            <w:tcW w:type="dxa" w:w="3000"/>
            <w:shd w:fill="FFFFFF" w:val="clear"/>
            <w:tcMar>
              <w:top w:type="dxa" w:w="100"/>
              <w:left w:type="dxa" w:w="100"/>
              <w:bottom w:type="dxa" w:w="100"/>
              <w:right w:type="dxa" w:w="100"/>
            </w:tcMar>
          </w:tcPr>
          <w:p>
            <w:r>
              <w:rPr>
                <w:sz w:val="20"/>
                <w:szCs w:val="20"/>
              </w:rPr>
              <w:t xml:space="preserve">4. Pemasangan IUD/implan pada kasus kompleks</w:t>
            </w:r>
          </w:p>
        </w:tc>
        <w:tc>
          <w:tcPr>
            <w:tcW w:type="dxa" w:w="3200"/>
            <w:shd w:fill="FFFFFF" w:val="clear"/>
            <w:tcMar>
              <w:top w:type="dxa" w:w="100"/>
              <w:left w:type="dxa" w:w="100"/>
              <w:bottom w:type="dxa" w:w="100"/>
              <w:right w:type="dxa" w:w="100"/>
            </w:tcMar>
          </w:tcPr>
          <w:p>
            <w:r>
              <w:rPr>
                <w:sz w:val="20"/>
                <w:szCs w:val="20"/>
              </w:rPr>
              <w:t xml:space="preserve">Pemasangan AKDR pada model anatomi dengan skenario kelainan anatomi uterus</w:t>
            </w:r>
          </w:p>
        </w:tc>
        <w:tc>
          <w:tcPr>
            <w:tcW w:type="dxa" w:w="3000"/>
            <w:shd w:fill="FFFFFF" w:val="clear"/>
            <w:tcMar>
              <w:top w:type="dxa" w:w="100"/>
              <w:left w:type="dxa" w:w="100"/>
              <w:bottom w:type="dxa" w:w="100"/>
              <w:right w:type="dxa" w:w="100"/>
            </w:tcMar>
          </w:tcPr>
          <w:p>
            <w:r>
              <w:rPr>
                <w:sz w:val="20"/>
                <w:szCs w:val="20"/>
              </w:rPr>
              <w:t xml:space="preserve">Teknik langkah-demi-langkah sesuai pedoman; asepsis; ambang komplikasi acuan (perforasi ≤1/1000)</w:t>
            </w:r>
          </w:p>
        </w:tc>
      </w:tr>
      <w:tr>
        <w:tc>
          <w:tcPr>
            <w:tcW w:type="dxa" w:w="3000"/>
            <w:shd w:fill="F3E4E9" w:val="clear"/>
            <w:tcMar>
              <w:top w:type="dxa" w:w="100"/>
              <w:left w:type="dxa" w:w="100"/>
              <w:bottom w:type="dxa" w:w="100"/>
              <w:right w:type="dxa" w:w="100"/>
            </w:tcMar>
          </w:tcPr>
          <w:p>
            <w:r>
              <w:rPr>
                <w:sz w:val="20"/>
                <w:szCs w:val="20"/>
              </w:rPr>
              <w:t xml:space="preserve">7. Penatalaksanaan kehamilan remaja</w:t>
            </w:r>
          </w:p>
        </w:tc>
        <w:tc>
          <w:tcPr>
            <w:tcW w:type="dxa" w:w="3200"/>
            <w:shd w:fill="F3E4E9" w:val="clear"/>
            <w:tcMar>
              <w:top w:type="dxa" w:w="100"/>
              <w:left w:type="dxa" w:w="100"/>
              <w:bottom w:type="dxa" w:w="100"/>
              <w:right w:type="dxa" w:w="100"/>
            </w:tcMar>
          </w:tcPr>
          <w:p>
            <w:r>
              <w:rPr>
                <w:sz w:val="20"/>
                <w:szCs w:val="20"/>
              </w:rPr>
              <w:t xml:space="preserve">Konseling multidisiplin dengan aktor berperan sebagai remaja hamil disertai dimensi hukum</w:t>
            </w:r>
          </w:p>
        </w:tc>
        <w:tc>
          <w:tcPr>
            <w:tcW w:type="dxa" w:w="3000"/>
            <w:shd w:fill="F3E4E9" w:val="clear"/>
            <w:tcMar>
              <w:top w:type="dxa" w:w="100"/>
              <w:left w:type="dxa" w:w="100"/>
              <w:bottom w:type="dxa" w:w="100"/>
              <w:right w:type="dxa" w:w="100"/>
            </w:tcMar>
          </w:tcPr>
          <w:p>
            <w:r>
              <w:rPr>
                <w:sz w:val="20"/>
                <w:szCs w:val="20"/>
              </w:rPr>
              <w:t xml:space="preserve">Skrining medis &amp; psikososial lengkap; pertimbangan etikolegal; rujukan multidisiplin sesuai kebutuhan</w:t>
            </w:r>
          </w:p>
        </w:tc>
      </w:tr>
      <w:tr>
        <w:tc>
          <w:tcPr>
            <w:tcW w:type="dxa" w:w="3000"/>
            <w:shd w:fill="FFFFFF" w:val="clear"/>
            <w:tcMar>
              <w:top w:type="dxa" w:w="100"/>
              <w:left w:type="dxa" w:w="100"/>
              <w:bottom w:type="dxa" w:w="100"/>
              <w:right w:type="dxa" w:w="100"/>
            </w:tcMar>
          </w:tcPr>
          <w:p>
            <w:r>
              <w:rPr>
                <w:sz w:val="20"/>
                <w:szCs w:val="20"/>
              </w:rPr>
              <w:t xml:space="preserve">8. Penatalaksanaan kehamilan tidak diinginkan</w:t>
            </w:r>
          </w:p>
        </w:tc>
        <w:tc>
          <w:tcPr>
            <w:tcW w:type="dxa" w:w="3200"/>
            <w:shd w:fill="FFFFFF" w:val="clear"/>
            <w:tcMar>
              <w:top w:type="dxa" w:w="100"/>
              <w:left w:type="dxa" w:w="100"/>
              <w:bottom w:type="dxa" w:w="100"/>
              <w:right w:type="dxa" w:w="100"/>
            </w:tcMar>
          </w:tcPr>
          <w:p>
            <w:r>
              <w:rPr>
                <w:sz w:val="20"/>
                <w:szCs w:val="20"/>
              </w:rPr>
              <w:t xml:space="preserve">Konseling nondirektif mengenai pilihan melanjutkan kehamilan, adopsi, atau terminasi sesuai hukum yang berlaku</w:t>
            </w:r>
          </w:p>
        </w:tc>
        <w:tc>
          <w:tcPr>
            <w:tcW w:type="dxa" w:w="3000"/>
            <w:shd w:fill="FFFFFF" w:val="clear"/>
            <w:tcMar>
              <w:top w:type="dxa" w:w="100"/>
              <w:left w:type="dxa" w:w="100"/>
              <w:bottom w:type="dxa" w:w="100"/>
              <w:right w:type="dxa" w:w="100"/>
            </w:tcMar>
          </w:tcPr>
          <w:p>
            <w:r>
              <w:rPr>
                <w:sz w:val="20"/>
                <w:szCs w:val="20"/>
              </w:rPr>
              <w:t xml:space="preserve">Bahasa nondirektif; kepatuhan etikolegal; dokumentasi konseling dan informed consent 100%</w:t>
            </w:r>
          </w:p>
        </w:tc>
      </w:tr>
    </w:tbl>
    <w:p>
      <w:pPr>
        <w:shd w:fill="7A1F3D" w:val="clear"/>
        <w:spacing w:after="0" w:before="200"/>
      </w:pPr>
      <w:r>
        <w:rPr>
          <w:b/>
          <w:bCs/>
          <w:color w:val="FFFFFF"/>
          <w:sz w:val="22"/>
          <w:szCs w:val="22"/>
        </w:rPr>
        <w:t xml:space="preserve">PERBEDAAN STANDAR INTERNASIONAL vs KONTEKS INDONESIA</w:t>
      </w:r>
    </w:p>
    <w:p>
      <w:pPr>
        <w:pStyle w:val="ListParagraph"/>
        <w:numPr>
          <w:ilvl w:val="0"/>
          <w:numId w:val="1"/>
        </w:numPr>
        <w:shd w:fill="F7F3F1" w:val="clear"/>
        <w:spacing w:after="60"/>
        <w:ind w:left="200" w:right="200"/>
      </w:pPr>
      <w:r>
        <w:rPr>
          <w:color w:val="3A3A3A"/>
          <w:sz w:val="22"/>
          <w:szCs w:val="22"/>
        </w:rPr>
        <w:t xml:space="preserve">Standar internasional (mis. panduan blueprinting ACOG dan FIGO untuk ujian kompetensi subspesialistik) umumnya menekankan sampling luas lintas topik dengan bobot berbasis prevalensi global, tanpa mengharuskan rujukan pada satu dokumen regulasi tunggal.</w:t>
      </w:r>
    </w:p>
    <w:p>
      <w:pPr>
        <w:pStyle w:val="ListParagraph"/>
        <w:numPr>
          <w:ilvl w:val="0"/>
          <w:numId w:val="1"/>
        </w:numPr>
        <w:shd w:fill="F7F3F1" w:val="clear"/>
        <w:spacing w:after="60"/>
        <w:ind w:left="200" w:right="200"/>
      </w:pPr>
      <w:r>
        <w:rPr>
          <w:color w:val="3A3A3A"/>
          <w:sz w:val="22"/>
          <w:szCs w:val="22"/>
        </w:rPr>
        <w:t xml:space="preserve">Konteks Indonesia mewajibkan penyelarasan eksplisit dengan Tabel 19 dan Tabel 25 Kepkonsil Nomor HK.01.02/KKI/1318/2026 sebagai dasar hukum kompetensi minimal, sehingga blueprint OSCE program pendidikan Indonesia harus dapat ditelusuri (traceable) butir per butir ke kedua tabel tersebut untuk keperluan akreditasi dan uji kompetensi nasional.</w:t>
      </w:r>
    </w:p>
    <w:p>
      <w:pPr>
        <w:pStyle w:val="ListParagraph"/>
        <w:numPr>
          <w:ilvl w:val="0"/>
          <w:numId w:val="1"/>
        </w:numPr>
        <w:shd w:fill="F7F3F1" w:val="clear"/>
        <w:spacing w:after="200"/>
        <w:ind w:left="200" w:right="200"/>
      </w:pPr>
      <w:r>
        <w:rPr>
          <w:color w:val="3A3A3A"/>
          <w:sz w:val="22"/>
          <w:szCs w:val="22"/>
        </w:rPr>
        <w:t xml:space="preserve">Catatan penerapan praktis: institusi pendidikan disarankan menyusun matriks traceability yang secara eksplisit menautkan setiap stasiun OSCE dengan nomor butir kompetensi pada Tabel 19/25, guna memudahkan proses audit oleh kolegium maupun Konsil Kesehatan Indonesia.</w:t>
      </w:r>
    </w:p>
    <w:p>
      <w:pPr>
        <w:pStyle w:val="Heading2"/>
        <w:spacing w:after="150" w:before="300"/>
      </w:pPr>
      <w:r>
        <w:rPr>
          <w:b/>
          <w:bCs/>
          <w:color w:val="7A1F3D"/>
          <w:sz w:val="28"/>
          <w:szCs w:val="28"/>
        </w:rPr>
        <w:t xml:space="preserve">3.3 Merancang Skill Station dan Rubrik Penilaian</w:t>
      </w:r>
    </w:p>
    <w:p>
      <w:pPr>
        <w:spacing w:after="160" w:line="300"/>
        <w:jc w:val="both"/>
      </w:pPr>
      <w:r>
        <w:rPr>
          <w:sz w:val="22"/>
          <w:szCs w:val="22"/>
        </w:rPr>
        <w:t xml:space="preserve">Setiap skill station OSCE idealnya terdiri atas beberapa komponen standar: skenario klinis singkat yang realistis, instruksi tugas yang jelas bagi peserta didik, instruksi peran bagi pasien standar atau aktor (termasuk detail emosional untuk kasus biopsikososial), serta instrumen penilaian yang digunakan penguji. Instrumen penilaian umumnya berbentuk kombinasi checklist (daftar langkah spesifik yang harus dilakukan, bersifat objektif namun berisiko mereduksi keterampilan holistik menjadi daftar mekanis) dan global rating scale (penilaian holistik terhadap keseluruhan performa menggunakan skala, mis. 1–5, yang lebih sensitif terhadap keterampilan komunikasi dan penalaran klinis kompleks namun lebih rentan bias antar-penguji).</w:t>
      </w:r>
    </w:p>
    <w:p>
      <w:pPr>
        <w:spacing w:after="160" w:line="300"/>
        <w:jc w:val="both"/>
      </w:pPr>
      <w:r>
        <w:rPr>
          <w:sz w:val="22"/>
          <w:szCs w:val="22"/>
        </w:rPr>
        <w:t xml:space="preserve">Untuk stasiun bertema biopsikososial seperti wawancara kekerasan berbasis gender atau konseling kehamilan tidak diinginkan, kombinasi kedua instrumen sangat dianjurkan: checklist digunakan untuk memastikan langkah keselamatan dan etik esensial tidak terlewat (mis. memastikan privasi, menanyakan keselamatan pasien saat ini, memberikan informasi rujukan), sementara global rating scale menangkap kualitas keseluruhan seperti nada nondirektif, kepekaan budaya, dan penghormatan terhadap otonomi pasien yang sulit direduksi menjadi daftar periksa sederhana. Penetapan skor kelulusan (borderline regression method atau modified Angoff) serta pelatihan penguji (dibahas lebih rinci pada Bab 6 mengenai kalibrasi penilai) merupakan langkah tidak terpisahkan dari keseluruhan proses ini.</w:t>
      </w:r>
    </w:p>
    <w:p>
      <w:pPr>
        <w:pStyle w:val="Heading3"/>
        <w:spacing w:after="100" w:before="200"/>
      </w:pPr>
      <w:r>
        <w:rPr>
          <w:b/>
          <w:bCs/>
          <w:i/>
          <w:iCs/>
          <w:color w:val="555555"/>
          <w:sz w:val="24"/>
          <w:szCs w:val="24"/>
        </w:rPr>
        <w:t xml:space="preserve">3.3.1 Jebakan Umum dalam Perancangan OSCE Subspesialistik</w:t>
      </w:r>
    </w:p>
    <w:p>
      <w:pPr>
        <w:pStyle w:val="ListParagraph"/>
        <w:numPr>
          <w:ilvl w:val="0"/>
          <w:numId w:val="1"/>
        </w:numPr>
        <w:spacing w:after="80"/>
      </w:pPr>
      <w:r>
        <w:rPr>
          <w:sz w:val="22"/>
          <w:szCs w:val="22"/>
        </w:rPr>
        <w:t xml:space="preserve">Stasiun terlalu berfokus pada keterampilan teknis-prosedural dan mengabaikan dimensi komunikasi biopsikososial yang menjadi ciri khas Obginsos.</w:t>
      </w:r>
    </w:p>
    <w:p>
      <w:pPr>
        <w:pStyle w:val="ListParagraph"/>
        <w:numPr>
          <w:ilvl w:val="0"/>
          <w:numId w:val="1"/>
        </w:numPr>
        <w:spacing w:after="80"/>
      </w:pPr>
      <w:r>
        <w:rPr>
          <w:sz w:val="22"/>
          <w:szCs w:val="22"/>
        </w:rPr>
        <w:t xml:space="preserve">Waktu stasiun terlalu singkat untuk mengeksplorasi kasus kompleks yang memerlukan pembangunan kepercayaan (rapport), khususnya pada kasus kekerasan seksual.</w:t>
      </w:r>
    </w:p>
    <w:p>
      <w:pPr>
        <w:pStyle w:val="ListParagraph"/>
        <w:numPr>
          <w:ilvl w:val="0"/>
          <w:numId w:val="1"/>
        </w:numPr>
        <w:spacing w:after="80"/>
      </w:pPr>
      <w:r>
        <w:rPr>
          <w:sz w:val="22"/>
          <w:szCs w:val="22"/>
        </w:rPr>
        <w:t xml:space="preserve">Instruksi bagi aktor/pasien standar tidak cukup rinci sehingga penampilan peran tidak konsisten antar-sesi ujian, mengancam keadilan penilaian.</w:t>
      </w:r>
    </w:p>
    <w:p>
      <w:pPr>
        <w:pStyle w:val="ListParagraph"/>
        <w:numPr>
          <w:ilvl w:val="0"/>
          <w:numId w:val="1"/>
        </w:numPr>
        <w:spacing w:after="80"/>
      </w:pPr>
      <w:r>
        <w:rPr>
          <w:sz w:val="22"/>
          <w:szCs w:val="22"/>
        </w:rPr>
        <w:t xml:space="preserve">Tidak dilakukan uji coba (piloting) stasiun sebelum digunakan pada ujian resmi, sehingga kesalahan desain baru diketahui setelah peserta didik dirugikan.</w:t>
      </w:r>
    </w:p>
    <w:p>
      <w:pPr>
        <w:pStyle w:val="ListParagraph"/>
        <w:numPr>
          <w:ilvl w:val="0"/>
          <w:numId w:val="1"/>
        </w:numPr>
        <w:spacing w:after="80"/>
      </w:pPr>
      <w:r>
        <w:rPr>
          <w:sz w:val="22"/>
          <w:szCs w:val="22"/>
        </w:rPr>
        <w:t xml:space="preserve">Blueprint tidak diperbarui secara berkala mengikuti revisi Tabel 19/25 Kepkonsil, sehingga terjadi kesenjangan antara ujian dan standar kompetensi terkini.</w:t>
      </w:r>
    </w:p>
    <w:p>
      <w:pPr>
        <w:shd w:fill="7A1F3D" w:val="clear"/>
        <w:spacing w:after="0" w:before="200"/>
      </w:pPr>
      <w:r>
        <w:rPr>
          <w:b/>
          <w:bCs/>
          <w:color w:val="FFFFFF"/>
          <w:sz w:val="22"/>
          <w:szCs w:val="22"/>
        </w:rPr>
        <w:t xml:space="preserve">POIN KUNCI</w:t>
      </w:r>
    </w:p>
    <w:p>
      <w:pPr>
        <w:pStyle w:val="ListParagraph"/>
        <w:numPr>
          <w:ilvl w:val="0"/>
          <w:numId w:val="1"/>
        </w:numPr>
        <w:shd w:fill="F7F3F1" w:val="clear"/>
        <w:spacing w:after="60"/>
        <w:ind w:left="200" w:right="200"/>
      </w:pPr>
      <w:r>
        <w:rPr>
          <w:color w:val="3A3A3A"/>
          <w:sz w:val="22"/>
          <w:szCs w:val="22"/>
        </w:rPr>
        <w:t xml:space="preserve">Blueprint OSCE adalah pemetaan sistematis antara domain kompetensi dan stasiun ujian yang menjamin validitas konten ujian.</w:t>
      </w:r>
    </w:p>
    <w:p>
      <w:pPr>
        <w:pStyle w:val="ListParagraph"/>
        <w:numPr>
          <w:ilvl w:val="0"/>
          <w:numId w:val="1"/>
        </w:numPr>
        <w:shd w:fill="F7F3F1" w:val="clear"/>
        <w:spacing w:after="60"/>
        <w:ind w:left="200" w:right="200"/>
      </w:pPr>
      <w:r>
        <w:rPr>
          <w:color w:val="3A3A3A"/>
          <w:sz w:val="22"/>
          <w:szCs w:val="22"/>
        </w:rPr>
        <w:t xml:space="preserve">Di Indonesia, blueprint OSCE Obginsos wajib ditautkan secara eksplisit dan dapat ditelusuri ke Tabel 19 dan Tabel 25 Kepkonsil Nomor HK.01.02/KKI/1318/2026.</w:t>
      </w:r>
    </w:p>
    <w:p>
      <w:pPr>
        <w:pStyle w:val="ListParagraph"/>
        <w:numPr>
          <w:ilvl w:val="0"/>
          <w:numId w:val="1"/>
        </w:numPr>
        <w:shd w:fill="F7F3F1" w:val="clear"/>
        <w:spacing w:after="60"/>
        <w:ind w:left="200" w:right="200"/>
      </w:pPr>
      <w:r>
        <w:rPr>
          <w:color w:val="3A3A3A"/>
          <w:sz w:val="22"/>
          <w:szCs w:val="22"/>
        </w:rPr>
        <w:t xml:space="preserve">Bobot alokasi stasiun ditentukan oleh frekuensi klinis dan tingkat risiko/kewenangan setiap domain kompetensi.</w:t>
      </w:r>
    </w:p>
    <w:p>
      <w:pPr>
        <w:pStyle w:val="ListParagraph"/>
        <w:numPr>
          <w:ilvl w:val="0"/>
          <w:numId w:val="1"/>
        </w:numPr>
        <w:shd w:fill="F7F3F1" w:val="clear"/>
        <w:spacing w:after="60"/>
        <w:ind w:left="200" w:right="200"/>
      </w:pPr>
      <w:r>
        <w:rPr>
          <w:color w:val="3A3A3A"/>
          <w:sz w:val="22"/>
          <w:szCs w:val="22"/>
        </w:rPr>
        <w:t xml:space="preserve">Kombinasi checklist dan global rating scale direkomendasikan untuk stasiun biopsikososial guna menangkap aspek keselamatan sekaligus kualitas komunikasi holistik.</w:t>
      </w:r>
    </w:p>
    <w:p>
      <w:pPr>
        <w:pStyle w:val="ListParagraph"/>
        <w:numPr>
          <w:ilvl w:val="0"/>
          <w:numId w:val="1"/>
        </w:numPr>
        <w:shd w:fill="F7F3F1" w:val="clear"/>
        <w:spacing w:after="200"/>
        <w:ind w:left="200" w:right="200"/>
      </w:pPr>
      <w:r>
        <w:rPr>
          <w:color w:val="3A3A3A"/>
          <w:sz w:val="22"/>
          <w:szCs w:val="22"/>
        </w:rPr>
        <w:t xml:space="preserve">Piloting stasiun dan pembaruan berkala blueprint mengikuti revisi regulasi merupakan praktik wajib untuk menjaga kredibilitas ujian.</w:t>
      </w:r>
    </w:p>
    <w:p>
      <w:pPr>
        <w:pStyle w:val="Heading2"/>
        <w:spacing w:after="150" w:before="300"/>
      </w:pPr>
      <w:r>
        <w:rPr>
          <w:b/>
          <w:bCs/>
          <w:color w:val="7A1F3D"/>
          <w:sz w:val="28"/>
          <w:szCs w:val="28"/>
        </w:rPr>
        <w:t xml:space="preserve">3.4 Konteks Global Terkini: Standardisasi dan Simulasi dalam Pendidikan Obstetri Ginekologi</w:t>
      </w:r>
    </w:p>
    <w:p>
      <w:pPr>
        <w:spacing w:after="160" w:line="300"/>
        <w:jc w:val="both"/>
      </w:pPr>
      <w:r>
        <w:rPr>
          <w:sz w:val="22"/>
          <w:szCs w:val="22"/>
        </w:rPr>
        <w:t xml:space="preserve">Tinjauan global terbaru mengenai pendidikan kedokteran Obstetri dan Ginekologi menegaskan bahwa tren internasional bergerak menuju harmonisasi kurikulum berbasis kompetensi (competency-based medical education), dengan organisasi seperti FIGO, Royal College of Obstetricians and Gynaecologists (RCOG), dan ACOG mendorong standardisasi dan pemerataan akses pendidikan, ditopang oleh inovasi simulasi, realitas virtual, dan pembelajaran jarak jauh berbasis teknologi. Tren ini memperkuat argumen bahwa blueprint OSCE program Obginsos Indonesia—yang telah memiliki dasar hukum kuat melalui Tabel 19/25 Kepkonsil—perlu terus diperkaya dengan inovasi metode simulasi terkini agar kompetensi biopsikososial khas subspesialisasi ini dapat diukur secara valid, sekaligus tetap mengantisipasi kesenjangan sumber daya antara institusi pendidikan di berbagai wilayah Indonesia sebagaimana juga menjadi perhatian utama pada tinjauan tersebut untuk konteks negara berpenghasilan rendah dan menengah.</w:t>
      </w:r>
    </w:p>
    <w:p>
      <w:pPr>
        <w:pStyle w:val="Heading2"/>
        <w:spacing w:after="150" w:before="300"/>
      </w:pPr>
      <w:r>
        <w:rPr>
          <w:b/>
          <w:bCs/>
          <w:color w:val="7A1F3D"/>
          <w:sz w:val="28"/>
          <w:szCs w:val="28"/>
        </w:rPr>
        <w:t xml:space="preserve">Referensi Bab 3</w:t>
      </w:r>
    </w:p>
    <w:p>
      <w:pPr>
        <w:spacing w:after="100"/>
        <w:ind w:left="360" w:hanging="360"/>
      </w:pPr>
      <w:r>
        <w:rPr>
          <w:sz w:val="20"/>
          <w:szCs w:val="20"/>
        </w:rPr>
        <w:t xml:space="preserve">1. Harden RM, Gleeson FA. Assessment of clinical competence using an objective structured clinical examination (OSCE). Med Educ. 1979;13(1):41–54.</w:t>
      </w:r>
    </w:p>
    <w:p>
      <w:pPr>
        <w:spacing w:after="100"/>
        <w:ind w:left="360" w:hanging="360"/>
      </w:pPr>
      <w:r>
        <w:rPr>
          <w:sz w:val="20"/>
          <w:szCs w:val="20"/>
        </w:rPr>
        <w:t xml:space="preserve">2. Konsil Kesehatan Indonesia. Keputusan Ketua Konsil Kesehatan Indonesia Nomor HK.01.02/KKI/1318/2026 tentang Standar Kompetensi Dokter Spesialis dan Subspesialis Bidang Obstetri dan Ginekologi, Tabel 19 dan Tabel 25.</w:t>
      </w:r>
    </w:p>
    <w:p>
      <w:pPr>
        <w:spacing w:after="100"/>
        <w:ind w:left="360" w:hanging="360"/>
      </w:pPr>
      <w:r>
        <w:rPr>
          <w:sz w:val="20"/>
          <w:szCs w:val="20"/>
        </w:rPr>
        <w:t xml:space="preserve">3. American College of Obstetricians and Gynecologists (ACOG). ACOG Committee Opinions and Practice Bulletins relevan (kesehatan mental perinatal, kekerasan berbasis gender, kesehatan reproduksi remaja).</w:t>
      </w:r>
    </w:p>
    <w:p>
      <w:pPr>
        <w:spacing w:after="100"/>
        <w:ind w:left="360" w:hanging="360"/>
      </w:pPr>
      <w:r>
        <w:rPr>
          <w:sz w:val="20"/>
          <w:szCs w:val="20"/>
        </w:rPr>
        <w:t xml:space="preserve">4. International Federation of Gynecology and Obstetrics (FIGO). FIGO Statements and Guidelines on Family Planning, Contraception, and Safe Motherhood.</w:t>
      </w:r>
    </w:p>
    <w:p>
      <w:pPr>
        <w:spacing w:after="100"/>
        <w:ind w:left="360" w:hanging="360"/>
      </w:pPr>
      <w:r>
        <w:rPr>
          <w:sz w:val="20"/>
          <w:szCs w:val="20"/>
        </w:rPr>
        <w:t xml:space="preserve">5. Norcini JJ, Blank LL, Duffy FD, Fortna GS. The mini-CEX: a method for assessing clinical skills. Ann Intern Med. 2003;138(6):476–481.</w:t>
      </w:r>
    </w:p>
    <w:p>
      <w:pPr>
        <w:spacing w:after="100"/>
        <w:ind w:left="360" w:hanging="360"/>
      </w:pPr>
      <w:r>
        <w:rPr>
          <w:sz w:val="20"/>
          <w:szCs w:val="20"/>
        </w:rPr>
        <w:t xml:space="preserve">6. Nomination Committee/Milestones Working Group, ACGME, American Board of Obstetrics and Gynecology, American College of Obstetricians and Gynecologists. The Obstetrics and Gynecology Milestone Project. Chicago: ACGME; 2014.</w:t>
      </w:r>
    </w:p>
    <w:p>
      <w:pPr>
        <w:spacing w:after="100"/>
        <w:ind w:left="360" w:hanging="360"/>
      </w:pPr>
      <w:r>
        <w:rPr>
          <w:sz w:val="20"/>
          <w:szCs w:val="20"/>
        </w:rPr>
        <w:t xml:space="preserve">7. Recker F, et al. Medical education in obstetrics and gynecology: A global update from 2025. Acta Obstet Gynecol Scand. 2026. doi:10.1111/aogs.70105.</w:t>
      </w:r>
    </w:p>
    <w:p>
      <w:r>
        <w:br w:type="page"/>
      </w:r>
    </w:p>
    <w:p>
      <w:pPr>
        <w:pStyle w:val="Heading1"/>
        <w:spacing w:after="200" w:before="400"/>
      </w:pPr>
      <w:r>
        <w:rPr>
          <w:b/>
          <w:bCs/>
          <w:color w:val="7A1F3D"/>
          <w:sz w:val="36"/>
          <w:szCs w:val="36"/>
        </w:rPr>
        <w:t xml:space="preserve">BAB 4. FASILITASI KETERAMPILAN DENGAN PEYTON'S 4-STEP</w:t>
      </w:r>
    </w:p>
    <w:p>
      <w:pPr>
        <w:shd w:fill="7A1F3D" w:val="clear"/>
        <w:spacing w:after="0" w:before="200"/>
      </w:pPr>
      <w:r>
        <w:rPr>
          <w:b/>
          <w:bCs/>
          <w:color w:val="FFFFFF"/>
          <w:sz w:val="22"/>
          <w:szCs w:val="22"/>
        </w:rPr>
        <w:t xml:space="preserve">TUJUAN PEMBELAJARAN BAB</w:t>
      </w:r>
    </w:p>
    <w:p>
      <w:pPr>
        <w:pStyle w:val="ListParagraph"/>
        <w:numPr>
          <w:ilvl w:val="0"/>
          <w:numId w:val="1"/>
        </w:numPr>
        <w:shd w:fill="F7F3F1" w:val="clear"/>
        <w:spacing w:after="60"/>
        <w:ind w:left="200" w:right="200"/>
      </w:pPr>
      <w:r>
        <w:rPr>
          <w:color w:val="3A3A3A"/>
          <w:sz w:val="22"/>
          <w:szCs w:val="22"/>
        </w:rPr>
        <w:t xml:space="preserve">Menjelaskan latar belakang dan filosofi pendekatan Peyton's 4-Step dalam pengajaran keterampilan prosedural.</w:t>
      </w:r>
    </w:p>
    <w:p>
      <w:pPr>
        <w:pStyle w:val="ListParagraph"/>
        <w:numPr>
          <w:ilvl w:val="0"/>
          <w:numId w:val="1"/>
        </w:numPr>
        <w:shd w:fill="F7F3F1" w:val="clear"/>
        <w:spacing w:after="60"/>
        <w:ind w:left="200" w:right="200"/>
      </w:pPr>
      <w:r>
        <w:rPr>
          <w:color w:val="3A3A3A"/>
          <w:sz w:val="22"/>
          <w:szCs w:val="22"/>
        </w:rPr>
        <w:t xml:space="preserve">Menguraikan empat langkah Peyton (demonstration, deconstruction, comprehension, performance) secara berurutan.</w:t>
      </w:r>
    </w:p>
    <w:p>
      <w:pPr>
        <w:pStyle w:val="ListParagraph"/>
        <w:numPr>
          <w:ilvl w:val="0"/>
          <w:numId w:val="1"/>
        </w:numPr>
        <w:shd w:fill="F7F3F1" w:val="clear"/>
        <w:spacing w:after="60"/>
        <w:ind w:left="200" w:right="200"/>
      </w:pPr>
      <w:r>
        <w:rPr>
          <w:color w:val="3A3A3A"/>
          <w:sz w:val="22"/>
          <w:szCs w:val="22"/>
        </w:rPr>
        <w:t xml:space="preserve">Menerapkan Peyton's 4-Step pada pengajaran prosedur klinis Obginsos yang memerlukan presisi psikomotor tinggi.</w:t>
      </w:r>
    </w:p>
    <w:p>
      <w:pPr>
        <w:pStyle w:val="ListParagraph"/>
        <w:numPr>
          <w:ilvl w:val="0"/>
          <w:numId w:val="1"/>
        </w:numPr>
        <w:shd w:fill="F7F3F1" w:val="clear"/>
        <w:spacing w:after="60"/>
        <w:ind w:left="200" w:right="200"/>
      </w:pPr>
      <w:r>
        <w:rPr>
          <w:color w:val="3A3A3A"/>
          <w:sz w:val="22"/>
          <w:szCs w:val="22"/>
        </w:rPr>
        <w:t xml:space="preserve">Mengidentifikasi kapan Peyton's 4-Step lebih unggul dibandingkan metode demonstrasi konvensional 'see one, do one, teach one'.</w:t>
      </w:r>
    </w:p>
    <w:p>
      <w:pPr>
        <w:pStyle w:val="ListParagraph"/>
        <w:numPr>
          <w:ilvl w:val="0"/>
          <w:numId w:val="1"/>
        </w:numPr>
        <w:shd w:fill="F7F3F1" w:val="clear"/>
        <w:spacing w:after="200"/>
        <w:ind w:left="200" w:right="200"/>
      </w:pPr>
      <w:r>
        <w:rPr>
          <w:color w:val="3A3A3A"/>
          <w:sz w:val="22"/>
          <w:szCs w:val="22"/>
        </w:rPr>
        <w:t xml:space="preserve">Menyusun sesi pengajaran keterampilan prosedural berbasis kerangka Peyton bagi residen junior.</w:t>
      </w:r>
    </w:p>
    <w:p>
      <w:pPr>
        <w:pStyle w:val="Heading2"/>
        <w:spacing w:after="150" w:before="300"/>
      </w:pPr>
      <w:r>
        <w:rPr>
          <w:b/>
          <w:bCs/>
          <w:color w:val="7A1F3D"/>
          <w:sz w:val="28"/>
          <w:szCs w:val="28"/>
        </w:rPr>
        <w:t xml:space="preserve">4.1 Latar Belakang dan Filosofi Peyton's 4-Step</w:t>
      </w:r>
    </w:p>
    <w:p>
      <w:pPr>
        <w:spacing w:after="160" w:line="300"/>
        <w:jc w:val="both"/>
      </w:pPr>
      <w:r>
        <w:rPr>
          <w:sz w:val="22"/>
          <w:szCs w:val="22"/>
        </w:rPr>
        <w:t xml:space="preserve">Model empat langkah yang dikembangkan oleh Rodney Peyton merupakan respons terhadap kelemahan metode tradisional 'see one, do one, teach one' yang telah lama dikritik karena tidak memberikan struktur kognitif yang memadai bagi peserta didik untuk benar-benar memahami rasionalisasi setiap langkah prosedural sebelum mempraktikkannya. Peyton's 4-Step secara khusus dirancang untuk keterampilan psikomotor yang memerlukan presisi tinggi dan berisiko terhadap keselamatan pasien apabila dilakukan secara keliru—karakteristik yang sangat relevan dengan banyak prosedur dalam praktik Obstetri Ginekologi Sosial, seperti pemasangan alat kontrasepsi dalam rahim (AKDR), manuver pertolongan distosia bahu, atau prosedur skrining serviks.</w:t>
      </w:r>
    </w:p>
    <w:p>
      <w:pPr>
        <w:spacing w:after="160" w:line="300"/>
        <w:jc w:val="both"/>
      </w:pPr>
      <w:r>
        <w:rPr>
          <w:sz w:val="22"/>
          <w:szCs w:val="22"/>
        </w:rPr>
        <w:t xml:space="preserve">Filosofi inti model ini adalah pemisahan eksplisit antara ranah kognitif (memahami rasional dan urutan langkah) dan ranah psikomotor (melakukan gerakan fisik), yang keduanya dilatih secara bertahap dan terstruktur sebelum peserta didik diminta melakukan prosedur secara utuh dan mandiri. Pendekatan ini konsisten dengan teori beban kognitif (cognitive load theory), yang menyatakan bahwa pemberian terlalu banyak informasi baru secara simultan—penjelasan sekaligus praktik langsung—dapat membebani kapasitas memori kerja peserta didik pemula sehingga menghambat pembelajaran, bukan mempercepatnya.</w:t>
      </w:r>
    </w:p>
    <w:p>
      <w:pPr>
        <w:pStyle w:val="Heading2"/>
        <w:spacing w:after="150" w:before="300"/>
      </w:pPr>
      <w:r>
        <w:rPr>
          <w:b/>
          <w:bCs/>
          <w:color w:val="7A1F3D"/>
          <w:sz w:val="28"/>
          <w:szCs w:val="28"/>
        </w:rPr>
        <w:t xml:space="preserve">4.2 Empat Langkah Peyton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7A1F3D" w:val="clear"/>
            <w:tcMar>
              <w:top w:type="dxa" w:w="150"/>
              <w:left w:type="dxa" w:w="100"/>
              <w:bottom w:type="dxa" w:w="150"/>
              <w:right w:type="dxa" w:w="100"/>
            </w:tcMar>
            <w:vAlign w:val="center"/>
          </w:tcPr>
          <w:p>
            <w:pPr>
              <w:jc w:val="center"/>
            </w:pPr>
            <w:r>
              <w:rPr>
                <w:b/>
                <w:bCs/>
                <w:color w:val="FFFFFF"/>
                <w:sz w:val="20"/>
                <w:szCs w:val="20"/>
              </w:rPr>
              <w:t xml:space="preserve">1. Demonstration</w:t>
            </w:r>
          </w:p>
        </w:tc>
        <w:tc>
          <w:tcPr>
            <w:tcW w:type="dxa" w:w="2250"/>
            <w:shd w:fill="9C3A5C" w:val="clear"/>
            <w:tcMar>
              <w:top w:type="dxa" w:w="150"/>
              <w:left w:type="dxa" w:w="100"/>
              <w:bottom w:type="dxa" w:w="150"/>
              <w:right w:type="dxa" w:w="100"/>
            </w:tcMar>
            <w:vAlign w:val="center"/>
          </w:tcPr>
          <w:p>
            <w:pPr>
              <w:jc w:val="center"/>
            </w:pPr>
            <w:r>
              <w:rPr>
                <w:b/>
                <w:bCs/>
                <w:color w:val="FFFFFF"/>
                <w:sz w:val="20"/>
                <w:szCs w:val="20"/>
              </w:rPr>
              <w:t xml:space="preserve">2. Deconstruction</w:t>
            </w:r>
          </w:p>
        </w:tc>
        <w:tc>
          <w:tcPr>
            <w:tcW w:type="dxa" w:w="2250"/>
            <w:shd w:fill="7A1F3D" w:val="clear"/>
            <w:tcMar>
              <w:top w:type="dxa" w:w="150"/>
              <w:left w:type="dxa" w:w="100"/>
              <w:bottom w:type="dxa" w:w="150"/>
              <w:right w:type="dxa" w:w="100"/>
            </w:tcMar>
            <w:vAlign w:val="center"/>
          </w:tcPr>
          <w:p>
            <w:pPr>
              <w:jc w:val="center"/>
            </w:pPr>
            <w:r>
              <w:rPr>
                <w:b/>
                <w:bCs/>
                <w:color w:val="FFFFFF"/>
                <w:sz w:val="20"/>
                <w:szCs w:val="20"/>
              </w:rPr>
              <w:t xml:space="preserve">3. Comprehension</w:t>
            </w:r>
          </w:p>
        </w:tc>
        <w:tc>
          <w:tcPr>
            <w:tcW w:type="dxa" w:w="2250"/>
            <w:shd w:fill="9C3A5C" w:val="clear"/>
            <w:tcMar>
              <w:top w:type="dxa" w:w="150"/>
              <w:left w:type="dxa" w:w="100"/>
              <w:bottom w:type="dxa" w:w="150"/>
              <w:right w:type="dxa" w:w="100"/>
            </w:tcMar>
            <w:vAlign w:val="center"/>
          </w:tcPr>
          <w:p>
            <w:pPr>
              <w:jc w:val="center"/>
            </w:pPr>
            <w:r>
              <w:rPr>
                <w:b/>
                <w:bCs/>
                <w:color w:val="FFFFFF"/>
                <w:sz w:val="20"/>
                <w:szCs w:val="20"/>
              </w:rPr>
              <w:t xml:space="preserve">4. Performance</w:t>
            </w:r>
          </w:p>
        </w:tc>
      </w:tr>
    </w:tbl>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500"/>
        <w:gridCol w:w="2500"/>
      </w:tblGrid>
      <w:tr>
        <w:trPr>
          <w:tblHeader/>
        </w:trPr>
        <w:tc>
          <w:tcPr>
            <w:tcW w:type="dxa" w:w="1500"/>
            <w:shd w:fill="7A1F3D" w:val="clear"/>
            <w:tcMar>
              <w:top w:type="dxa" w:w="100"/>
              <w:left w:type="dxa" w:w="100"/>
              <w:bottom w:type="dxa" w:w="100"/>
              <w:right w:type="dxa" w:w="100"/>
            </w:tcMar>
          </w:tcPr>
          <w:p>
            <w:r>
              <w:rPr>
                <w:b/>
                <w:bCs/>
                <w:color w:val="FFFFFF"/>
                <w:sz w:val="20"/>
                <w:szCs w:val="20"/>
              </w:rPr>
              <w:t xml:space="preserve">Langkah</w:t>
            </w:r>
          </w:p>
        </w:tc>
        <w:tc>
          <w:tcPr>
            <w:tcW w:type="dxa" w:w="2500"/>
            <w:shd w:fill="7A1F3D" w:val="clear"/>
            <w:tcMar>
              <w:top w:type="dxa" w:w="100"/>
              <w:left w:type="dxa" w:w="100"/>
              <w:bottom w:type="dxa" w:w="100"/>
              <w:right w:type="dxa" w:w="100"/>
            </w:tcMar>
          </w:tcPr>
          <w:p>
            <w:r>
              <w:rPr>
                <w:b/>
                <w:bCs/>
                <w:color w:val="FFFFFF"/>
                <w:sz w:val="20"/>
                <w:szCs w:val="20"/>
              </w:rPr>
              <w:t xml:space="preserve">Aktivitas Pelatih</w:t>
            </w:r>
          </w:p>
        </w:tc>
        <w:tc>
          <w:tcPr>
            <w:tcW w:type="dxa" w:w="2500"/>
            <w:shd w:fill="7A1F3D" w:val="clear"/>
            <w:tcMar>
              <w:top w:type="dxa" w:w="100"/>
              <w:left w:type="dxa" w:w="100"/>
              <w:bottom w:type="dxa" w:w="100"/>
              <w:right w:type="dxa" w:w="100"/>
            </w:tcMar>
          </w:tcPr>
          <w:p>
            <w:r>
              <w:rPr>
                <w:b/>
                <w:bCs/>
                <w:color w:val="FFFFFF"/>
                <w:sz w:val="20"/>
                <w:szCs w:val="20"/>
              </w:rPr>
              <w:t xml:space="preserve">Aktivitas Peserta Didik</w:t>
            </w:r>
          </w:p>
        </w:tc>
        <w:tc>
          <w:tcPr>
            <w:tcW w:type="dxa" w:w="2500"/>
            <w:shd w:fill="7A1F3D" w:val="clear"/>
            <w:tcMar>
              <w:top w:type="dxa" w:w="100"/>
              <w:left w:type="dxa" w:w="100"/>
              <w:bottom w:type="dxa" w:w="100"/>
              <w:right w:type="dxa" w:w="100"/>
            </w:tcMar>
          </w:tcPr>
          <w:p>
            <w:r>
              <w:rPr>
                <w:b/>
                <w:bCs/>
                <w:color w:val="FFFFFF"/>
                <w:sz w:val="20"/>
                <w:szCs w:val="20"/>
              </w:rPr>
              <w:t xml:space="preserve">Contoh pada Prosedur AKDR</w:t>
            </w:r>
          </w:p>
        </w:tc>
      </w:tr>
      <w:tr>
        <w:tc>
          <w:tcPr>
            <w:tcW w:type="dxa" w:w="1500"/>
            <w:shd w:fill="FFFFFF" w:val="clear"/>
            <w:tcMar>
              <w:top w:type="dxa" w:w="100"/>
              <w:left w:type="dxa" w:w="100"/>
              <w:bottom w:type="dxa" w:w="100"/>
              <w:right w:type="dxa" w:w="100"/>
            </w:tcMar>
          </w:tcPr>
          <w:p>
            <w:r>
              <w:rPr>
                <w:sz w:val="20"/>
                <w:szCs w:val="20"/>
              </w:rPr>
              <w:t xml:space="preserve">1. Demonstration</w:t>
            </w:r>
          </w:p>
        </w:tc>
        <w:tc>
          <w:tcPr>
            <w:tcW w:type="dxa" w:w="2500"/>
            <w:shd w:fill="FFFFFF" w:val="clear"/>
            <w:tcMar>
              <w:top w:type="dxa" w:w="100"/>
              <w:left w:type="dxa" w:w="100"/>
              <w:bottom w:type="dxa" w:w="100"/>
              <w:right w:type="dxa" w:w="100"/>
            </w:tcMar>
          </w:tcPr>
          <w:p>
            <w:r>
              <w:rPr>
                <w:sz w:val="20"/>
                <w:szCs w:val="20"/>
              </w:rPr>
              <w:t xml:space="preserve">Melakukan seluruh prosedur pada kecepatan normal tanpa narasi berlebihan</w:t>
            </w:r>
          </w:p>
        </w:tc>
        <w:tc>
          <w:tcPr>
            <w:tcW w:type="dxa" w:w="2500"/>
            <w:shd w:fill="FFFFFF" w:val="clear"/>
            <w:tcMar>
              <w:top w:type="dxa" w:w="100"/>
              <w:left w:type="dxa" w:w="100"/>
              <w:bottom w:type="dxa" w:w="100"/>
              <w:right w:type="dxa" w:w="100"/>
            </w:tcMar>
          </w:tcPr>
          <w:p>
            <w:r>
              <w:rPr>
                <w:sz w:val="20"/>
                <w:szCs w:val="20"/>
              </w:rPr>
              <w:t xml:space="preserve">Mengamati keseluruhan alur prosedur secara utuh</w:t>
            </w:r>
          </w:p>
        </w:tc>
        <w:tc>
          <w:tcPr>
            <w:tcW w:type="dxa" w:w="2500"/>
            <w:shd w:fill="FFFFFF" w:val="clear"/>
            <w:tcMar>
              <w:top w:type="dxa" w:w="100"/>
              <w:left w:type="dxa" w:w="100"/>
              <w:bottom w:type="dxa" w:w="100"/>
              <w:right w:type="dxa" w:w="100"/>
            </w:tcMar>
          </w:tcPr>
          <w:p>
            <w:r>
              <w:rPr>
                <w:sz w:val="20"/>
                <w:szCs w:val="20"/>
              </w:rPr>
              <w:t xml:space="preserve">Pelatih memasang AKDR pada model anatomi dengan kecepatan normal, peserta didik mengamati alur keseluruhan</w:t>
            </w:r>
          </w:p>
        </w:tc>
      </w:tr>
      <w:tr>
        <w:tc>
          <w:tcPr>
            <w:tcW w:type="dxa" w:w="1500"/>
            <w:shd w:fill="F3E4E9" w:val="clear"/>
            <w:tcMar>
              <w:top w:type="dxa" w:w="100"/>
              <w:left w:type="dxa" w:w="100"/>
              <w:bottom w:type="dxa" w:w="100"/>
              <w:right w:type="dxa" w:w="100"/>
            </w:tcMar>
          </w:tcPr>
          <w:p>
            <w:r>
              <w:rPr>
                <w:sz w:val="20"/>
                <w:szCs w:val="20"/>
              </w:rPr>
              <w:t xml:space="preserve">2. Deconstruction</w:t>
            </w:r>
          </w:p>
        </w:tc>
        <w:tc>
          <w:tcPr>
            <w:tcW w:type="dxa" w:w="2500"/>
            <w:shd w:fill="F3E4E9" w:val="clear"/>
            <w:tcMar>
              <w:top w:type="dxa" w:w="100"/>
              <w:left w:type="dxa" w:w="100"/>
              <w:bottom w:type="dxa" w:w="100"/>
              <w:right w:type="dxa" w:w="100"/>
            </w:tcMar>
          </w:tcPr>
          <w:p>
            <w:r>
              <w:rPr>
                <w:sz w:val="20"/>
                <w:szCs w:val="20"/>
              </w:rPr>
              <w:t xml:space="preserve">Mengulang prosedur sambil menguraikan setiap langkah dan rasionalnya secara rinci</w:t>
            </w:r>
          </w:p>
        </w:tc>
        <w:tc>
          <w:tcPr>
            <w:tcW w:type="dxa" w:w="2500"/>
            <w:shd w:fill="F3E4E9" w:val="clear"/>
            <w:tcMar>
              <w:top w:type="dxa" w:w="100"/>
              <w:left w:type="dxa" w:w="100"/>
              <w:bottom w:type="dxa" w:w="100"/>
              <w:right w:type="dxa" w:w="100"/>
            </w:tcMar>
          </w:tcPr>
          <w:p>
            <w:r>
              <w:rPr>
                <w:sz w:val="20"/>
                <w:szCs w:val="20"/>
              </w:rPr>
              <w:t xml:space="preserve">Mencatat setiap sub-langkah dan alasan klinis di baliknya</w:t>
            </w:r>
          </w:p>
        </w:tc>
        <w:tc>
          <w:tcPr>
            <w:tcW w:type="dxa" w:w="2500"/>
            <w:shd w:fill="F3E4E9" w:val="clear"/>
            <w:tcMar>
              <w:top w:type="dxa" w:w="100"/>
              <w:left w:type="dxa" w:w="100"/>
              <w:bottom w:type="dxa" w:w="100"/>
              <w:right w:type="dxa" w:w="100"/>
            </w:tcMar>
          </w:tcPr>
          <w:p>
            <w:r>
              <w:rPr>
                <w:sz w:val="20"/>
                <w:szCs w:val="20"/>
              </w:rPr>
              <w:t xml:space="preserve">Pelatih mengulang, menjelaskan setiap sub-langkah: sondage uterus, teknik insersi, verifikasi posisi fundus</w:t>
            </w:r>
          </w:p>
        </w:tc>
      </w:tr>
      <w:tr>
        <w:tc>
          <w:tcPr>
            <w:tcW w:type="dxa" w:w="1500"/>
            <w:shd w:fill="FFFFFF" w:val="clear"/>
            <w:tcMar>
              <w:top w:type="dxa" w:w="100"/>
              <w:left w:type="dxa" w:w="100"/>
              <w:bottom w:type="dxa" w:w="100"/>
              <w:right w:type="dxa" w:w="100"/>
            </w:tcMar>
          </w:tcPr>
          <w:p>
            <w:r>
              <w:rPr>
                <w:sz w:val="20"/>
                <w:szCs w:val="20"/>
              </w:rPr>
              <w:t xml:space="preserve">3. Comprehension</w:t>
            </w:r>
          </w:p>
        </w:tc>
        <w:tc>
          <w:tcPr>
            <w:tcW w:type="dxa" w:w="2500"/>
            <w:shd w:fill="FFFFFF" w:val="clear"/>
            <w:tcMar>
              <w:top w:type="dxa" w:w="100"/>
              <w:left w:type="dxa" w:w="100"/>
              <w:bottom w:type="dxa" w:w="100"/>
              <w:right w:type="dxa" w:w="100"/>
            </w:tcMar>
          </w:tcPr>
          <w:p>
            <w:r>
              <w:rPr>
                <w:sz w:val="20"/>
                <w:szCs w:val="20"/>
              </w:rPr>
              <w:t xml:space="preserve">Meminta peserta didik menarasikan setiap langkah sambil pelatih melakukan prosedur</w:t>
            </w:r>
          </w:p>
        </w:tc>
        <w:tc>
          <w:tcPr>
            <w:tcW w:type="dxa" w:w="2500"/>
            <w:shd w:fill="FFFFFF" w:val="clear"/>
            <w:tcMar>
              <w:top w:type="dxa" w:w="100"/>
              <w:left w:type="dxa" w:w="100"/>
              <w:bottom w:type="dxa" w:w="100"/>
              <w:right w:type="dxa" w:w="100"/>
            </w:tcMar>
          </w:tcPr>
          <w:p>
            <w:r>
              <w:rPr>
                <w:sz w:val="20"/>
                <w:szCs w:val="20"/>
              </w:rPr>
              <w:t xml:space="preserve">Menyebutkan/menginstruksikan setiap langkah secara verbal kepada pelatih</w:t>
            </w:r>
          </w:p>
        </w:tc>
        <w:tc>
          <w:tcPr>
            <w:tcW w:type="dxa" w:w="2500"/>
            <w:shd w:fill="FFFFFF" w:val="clear"/>
            <w:tcMar>
              <w:top w:type="dxa" w:w="100"/>
              <w:left w:type="dxa" w:w="100"/>
              <w:bottom w:type="dxa" w:w="100"/>
              <w:right w:type="dxa" w:w="100"/>
            </w:tcMar>
          </w:tcPr>
          <w:p>
            <w:r>
              <w:rPr>
                <w:sz w:val="20"/>
                <w:szCs w:val="20"/>
              </w:rPr>
              <w:t xml:space="preserve">Peserta didik mengarahkan pelatih secara verbal: 'Selanjutnya lakukan sondage untuk menentukan kedalaman uterus'</w:t>
            </w:r>
          </w:p>
        </w:tc>
      </w:tr>
      <w:tr>
        <w:tc>
          <w:tcPr>
            <w:tcW w:type="dxa" w:w="1500"/>
            <w:shd w:fill="F3E4E9" w:val="clear"/>
            <w:tcMar>
              <w:top w:type="dxa" w:w="100"/>
              <w:left w:type="dxa" w:w="100"/>
              <w:bottom w:type="dxa" w:w="100"/>
              <w:right w:type="dxa" w:w="100"/>
            </w:tcMar>
          </w:tcPr>
          <w:p>
            <w:r>
              <w:rPr>
                <w:sz w:val="20"/>
                <w:szCs w:val="20"/>
              </w:rPr>
              <w:t xml:space="preserve">4. Performance</w:t>
            </w:r>
          </w:p>
        </w:tc>
        <w:tc>
          <w:tcPr>
            <w:tcW w:type="dxa" w:w="2500"/>
            <w:shd w:fill="F3E4E9" w:val="clear"/>
            <w:tcMar>
              <w:top w:type="dxa" w:w="100"/>
              <w:left w:type="dxa" w:w="100"/>
              <w:bottom w:type="dxa" w:w="100"/>
              <w:right w:type="dxa" w:w="100"/>
            </w:tcMar>
          </w:tcPr>
          <w:p>
            <w:r>
              <w:rPr>
                <w:sz w:val="20"/>
                <w:szCs w:val="20"/>
              </w:rPr>
              <w:t xml:space="preserve">Mengawasi dan memberi dukungan minimal sambil peserta didik melakukan prosedur secara mandiri</w:t>
            </w:r>
          </w:p>
        </w:tc>
        <w:tc>
          <w:tcPr>
            <w:tcW w:type="dxa" w:w="2500"/>
            <w:shd w:fill="F3E4E9" w:val="clear"/>
            <w:tcMar>
              <w:top w:type="dxa" w:w="100"/>
              <w:left w:type="dxa" w:w="100"/>
              <w:bottom w:type="dxa" w:w="100"/>
              <w:right w:type="dxa" w:w="100"/>
            </w:tcMar>
          </w:tcPr>
          <w:p>
            <w:r>
              <w:rPr>
                <w:sz w:val="20"/>
                <w:szCs w:val="20"/>
              </w:rPr>
              <w:t xml:space="preserve">Melakukan seluruh prosedur secara mandiri sambil menyebutkan setiap langkah</w:t>
            </w:r>
          </w:p>
        </w:tc>
        <w:tc>
          <w:tcPr>
            <w:tcW w:type="dxa" w:w="2500"/>
            <w:shd w:fill="F3E4E9" w:val="clear"/>
            <w:tcMar>
              <w:top w:type="dxa" w:w="100"/>
              <w:left w:type="dxa" w:w="100"/>
              <w:bottom w:type="dxa" w:w="100"/>
              <w:right w:type="dxa" w:w="100"/>
            </w:tcMar>
          </w:tcPr>
          <w:p>
            <w:r>
              <w:rPr>
                <w:sz w:val="20"/>
                <w:szCs w:val="20"/>
              </w:rPr>
              <w:t xml:space="preserve">Peserta didik memasang AKDR pada model secara mandiri, menyebutkan setiap langkah sambil melakukannya</w:t>
            </w:r>
          </w:p>
        </w:tc>
      </w:tr>
    </w:tbl>
    <w:p>
      <w:pPr>
        <w:spacing w:after="160" w:line="300"/>
        <w:jc w:val="both"/>
      </w:pPr>
      <w:r>
        <w:rPr>
          <w:sz w:val="22"/>
          <w:szCs w:val="22"/>
        </w:rPr>
        <w:t xml:space="preserve">Pada langkah keempat (performance), peserta didik yang telah berhasil melewati tiga langkah sebelumnya melakukan keseluruhan prosedur secara mandiri sambil tetap menyuarakan setiap langkah yang dilakukan, sebuah teknik yang dikenal sebagai 'talk-through' yang memungkinkan pelatih memverifikasi bahwa pemahaman kognitif peserta didik telah selaras dengan eksekusi motoriknya. Apabila peserta didik melakukan kesalahan pada langkah ini, pelatih sebaiknya menghentikan sejenak dan mengarahkan kembali pada tahap deconstruction untuk langkah spesifik yang bermasalah, alih-alih membiarkan kesalahan berlanjut hingga akhir prosedur.</w:t>
      </w:r>
    </w:p>
    <w:p>
      <w:pPr>
        <w:pStyle w:val="Heading2"/>
        <w:spacing w:after="150" w:before="300"/>
      </w:pPr>
      <w:r>
        <w:rPr>
          <w:b/>
          <w:bCs/>
          <w:color w:val="7A1F3D"/>
          <w:sz w:val="28"/>
          <w:szCs w:val="28"/>
        </w:rPr>
        <w:t xml:space="preserve">4.3 Kapan Peyton's 4-Step Lebih Unggul dan Keterbatasannya</w:t>
      </w:r>
    </w:p>
    <w:p>
      <w:pPr>
        <w:spacing w:after="160" w:line="300"/>
        <w:jc w:val="both"/>
      </w:pPr>
      <w:r>
        <w:rPr>
          <w:sz w:val="22"/>
          <w:szCs w:val="22"/>
        </w:rPr>
        <w:t xml:space="preserve">Peyton's 4-Step paling bermanfaat untuk keterampilan yang bersifat prosedural, memiliki urutan langkah yang jelas dan dapat didekonstruksi, serta berisiko tinggi terhadap keselamatan bila dilakukan keliru—misalnya prosedur invasif seperti amniosentesis, pemasangan pesarium, atau manuver kegawatdaruratan obstetri. Sebaliknya, untuk keterampilan yang lebih bersifat komunikatif dan kontekstual seperti konseling krisis atau wawancara motivasi pada kasus kekerasan berbasis gender, model ini perlu dikombinasikan dengan teknik lain seperti bermain peran (role-play) dan umpan balik terstruktur (dibahas pada Bab 5), karena keterampilan komunikasi tidak selalu memiliki urutan langkah yang kaku dan linear seperti prosedur teknis. Keterbatasan lain model ini adalah kebutuhan waktu yang lebih panjang dibandingkan demonstrasi konvensional, sehingga penerapannya perlu direncanakan dalam jadwal pelatihan yang memadai, bukan dipaksakan di sela jam pelayanan yang sangat padat.</w:t>
      </w:r>
    </w:p>
    <w:p>
      <w:pPr>
        <w:shd w:fill="7A1F3D" w:val="clear"/>
        <w:spacing w:after="0" w:before="200"/>
      </w:pPr>
      <w:r>
        <w:rPr>
          <w:b/>
          <w:bCs/>
          <w:color w:val="FFFFFF"/>
          <w:sz w:val="22"/>
          <w:szCs w:val="22"/>
        </w:rPr>
        <w:t xml:space="preserve">VIGNETTE KASUS (ILUSTRATIF, FIKTIF)</w:t>
      </w:r>
    </w:p>
    <w:p>
      <w:pPr>
        <w:shd w:fill="F7F3F1" w:val="clear"/>
        <w:spacing w:after="200"/>
        <w:ind w:left="200" w:right="200"/>
      </w:pPr>
      <w:r>
        <w:rPr>
          <w:color w:val="3A3A3A"/>
          <w:sz w:val="22"/>
          <w:szCs w:val="22"/>
        </w:rPr>
        <w:t xml:space="preserve">dr. Bimo, peserta didik semester 4, ditugaskan mengajarkan teknik pemasangan implan kontrasepsi kepada residen Obstetri dan Ginekologi tingkat II yang belum pernah melakukannya. Menggunakan Peyton's 4-Step, dr. Bimo pertama-tama mendemonstrasikan pemasangan pada model lengan tanpa narasi berlebihan, kemudian mengulang sambil menjelaskan setiap sub-langkah insersi dan penentuan lokasi anatomis yang aman. Pada tahap comprehension, residen menginstruksikan dr. Bimo secara verbal untuk setiap langkah, dan kesalahan kecil dalam urutan disinfeksi berhasil dikoreksi sebelum residen benar-benar memegang alat insersi. Pada tahap performance, residen berhasil melakukan pemasangan secara mandiri dengan tingkat kepercayaan diri yang jauh lebih tinggi dibandingkan sesi pelatihan sebelumnya yang hanya menggunakan demonstrasi tunggal.</w:t>
      </w:r>
    </w:p>
    <w:p>
      <w:pPr>
        <w:shd w:fill="7A1F3D" w:val="clear"/>
        <w:spacing w:after="0" w:before="200"/>
      </w:pPr>
      <w:r>
        <w:rPr>
          <w:b/>
          <w:bCs/>
          <w:color w:val="FFFFFF"/>
          <w:sz w:val="22"/>
          <w:szCs w:val="22"/>
        </w:rPr>
        <w:t xml:space="preserve">POIN KUNCI</w:t>
      </w:r>
    </w:p>
    <w:p>
      <w:pPr>
        <w:pStyle w:val="ListParagraph"/>
        <w:numPr>
          <w:ilvl w:val="0"/>
          <w:numId w:val="1"/>
        </w:numPr>
        <w:shd w:fill="F7F3F1" w:val="clear"/>
        <w:spacing w:after="60"/>
        <w:ind w:left="200" w:right="200"/>
      </w:pPr>
      <w:r>
        <w:rPr>
          <w:color w:val="3A3A3A"/>
          <w:sz w:val="22"/>
          <w:szCs w:val="22"/>
        </w:rPr>
        <w:t xml:space="preserve">Peyton's 4-Step terdiri atas empat langkah berurutan: demonstration, deconstruction, comprehension, dan performance.</w:t>
      </w:r>
    </w:p>
    <w:p>
      <w:pPr>
        <w:pStyle w:val="ListParagraph"/>
        <w:numPr>
          <w:ilvl w:val="0"/>
          <w:numId w:val="1"/>
        </w:numPr>
        <w:shd w:fill="F7F3F1" w:val="clear"/>
        <w:spacing w:after="60"/>
        <w:ind w:left="200" w:right="200"/>
      </w:pPr>
      <w:r>
        <w:rPr>
          <w:color w:val="3A3A3A"/>
          <w:sz w:val="22"/>
          <w:szCs w:val="22"/>
        </w:rPr>
        <w:t xml:space="preserve">Model ini memisahkan pembelajaran kognitif (rasional dan urutan langkah) dari eksekusi psikomotor, sejalan dengan teori beban kognitif.</w:t>
      </w:r>
    </w:p>
    <w:p>
      <w:pPr>
        <w:pStyle w:val="ListParagraph"/>
        <w:numPr>
          <w:ilvl w:val="0"/>
          <w:numId w:val="1"/>
        </w:numPr>
        <w:shd w:fill="F7F3F1" w:val="clear"/>
        <w:spacing w:after="60"/>
        <w:ind w:left="200" w:right="200"/>
      </w:pPr>
      <w:r>
        <w:rPr>
          <w:color w:val="3A3A3A"/>
          <w:sz w:val="22"/>
          <w:szCs w:val="22"/>
        </w:rPr>
        <w:t xml:space="preserve">Model ini paling sesuai untuk keterampilan prosedural berisiko tinggi dengan urutan langkah yang jelas, seperti pemasangan AKDR/implan dan manuver kegawatdaruratan obstetri.</w:t>
      </w:r>
    </w:p>
    <w:p>
      <w:pPr>
        <w:pStyle w:val="ListParagraph"/>
        <w:numPr>
          <w:ilvl w:val="0"/>
          <w:numId w:val="1"/>
        </w:numPr>
        <w:shd w:fill="F7F3F1" w:val="clear"/>
        <w:spacing w:after="60"/>
        <w:ind w:left="200" w:right="200"/>
      </w:pPr>
      <w:r>
        <w:rPr>
          <w:color w:val="3A3A3A"/>
          <w:sz w:val="22"/>
          <w:szCs w:val="22"/>
        </w:rPr>
        <w:t xml:space="preserve">Pada langkah comprehension, peserta didik menginstruksikan pelatih secara verbal, memungkinkan koreksi kesalahan pemahaman sebelum eksekusi motorik mandiri.</w:t>
      </w:r>
    </w:p>
    <w:p>
      <w:pPr>
        <w:pStyle w:val="ListParagraph"/>
        <w:numPr>
          <w:ilvl w:val="0"/>
          <w:numId w:val="1"/>
        </w:numPr>
        <w:shd w:fill="F7F3F1" w:val="clear"/>
        <w:spacing w:after="60"/>
        <w:ind w:left="200" w:right="200"/>
      </w:pPr>
      <w:r>
        <w:rPr>
          <w:color w:val="3A3A3A"/>
          <w:sz w:val="22"/>
          <w:szCs w:val="22"/>
        </w:rPr>
        <w:t xml:space="preserve">Untuk keterampilan komunikatif seperti konseling krisis, Peyton's 4-Step perlu dikombinasikan dengan role-play dan umpan balik terstruktur.</w:t>
      </w:r>
    </w:p>
    <w:p>
      <w:pPr>
        <w:pStyle w:val="ListParagraph"/>
        <w:numPr>
          <w:ilvl w:val="0"/>
          <w:numId w:val="1"/>
        </w:numPr>
        <w:shd w:fill="F7F3F1" w:val="clear"/>
        <w:spacing w:after="200"/>
        <w:ind w:left="200" w:right="200"/>
      </w:pPr>
      <w:r>
        <w:rPr>
          <w:color w:val="3A3A3A"/>
          <w:sz w:val="22"/>
          <w:szCs w:val="22"/>
        </w:rPr>
        <w:t xml:space="preserve">Penerapan model ini memerlukan alokasi waktu memadai dan tidak ideal dipaksakan di sela pelayanan klinis yang sangat padat.</w:t>
      </w:r>
    </w:p>
    <w:p>
      <w:pPr>
        <w:pStyle w:val="Heading2"/>
        <w:spacing w:after="150" w:before="300"/>
      </w:pPr>
      <w:r>
        <w:rPr>
          <w:b/>
          <w:bCs/>
          <w:color w:val="7A1F3D"/>
          <w:sz w:val="28"/>
          <w:szCs w:val="28"/>
        </w:rPr>
        <w:t xml:space="preserve">Referensi Bab 4</w:t>
      </w:r>
    </w:p>
    <w:p>
      <w:pPr>
        <w:spacing w:after="100"/>
        <w:ind w:left="360" w:hanging="360"/>
      </w:pPr>
      <w:r>
        <w:rPr>
          <w:sz w:val="20"/>
          <w:szCs w:val="20"/>
        </w:rPr>
        <w:t xml:space="preserve">1. Peyton JWR, editor. Teaching and Learning in Medical Practice. Rickmansworth: Manticore Europe; 1998.</w:t>
      </w:r>
    </w:p>
    <w:p>
      <w:pPr>
        <w:spacing w:after="100"/>
        <w:ind w:left="360" w:hanging="360"/>
      </w:pPr>
      <w:r>
        <w:rPr>
          <w:sz w:val="20"/>
          <w:szCs w:val="20"/>
        </w:rPr>
        <w:t xml:space="preserve">2. Walker M, Peyton JWR. Teaching in theatre. In: Peyton JWR, editor. Teaching and Learning in Medical Practice. Rickmansworth: Manticore Europe; 1998.</w:t>
      </w:r>
    </w:p>
    <w:p>
      <w:pPr>
        <w:spacing w:after="100"/>
        <w:ind w:left="360" w:hanging="360"/>
      </w:pPr>
      <w:r>
        <w:rPr>
          <w:sz w:val="20"/>
          <w:szCs w:val="20"/>
        </w:rPr>
        <w:t xml:space="preserve">3. Sweller J. Cognitive load during problem solving: Effects on learning. Cogn Sci. 1988;12(2):257–285.</w:t>
      </w:r>
    </w:p>
    <w:p>
      <w:pPr>
        <w:spacing w:after="100"/>
        <w:ind w:left="360" w:hanging="360"/>
      </w:pPr>
      <w:r>
        <w:rPr>
          <w:sz w:val="20"/>
          <w:szCs w:val="20"/>
        </w:rPr>
        <w:t xml:space="preserve">4. Cunningham FG, Leveno KJ, Dashe JS, et al., editors. Williams Obstetrics. 26th ed. New York: McGraw Hill; 2022.</w:t>
      </w:r>
    </w:p>
    <w:p>
      <w:pPr>
        <w:spacing w:after="100"/>
        <w:ind w:left="360" w:hanging="360"/>
      </w:pPr>
      <w:r>
        <w:rPr>
          <w:sz w:val="20"/>
          <w:szCs w:val="20"/>
        </w:rPr>
        <w:t xml:space="preserve">5. World Health Organization (WHO). Abortion Care Guideline. Geneva: WHO; 2022.</w:t>
      </w:r>
    </w:p>
    <w:p>
      <w:r>
        <w:br w:type="page"/>
      </w:r>
    </w:p>
    <w:p>
      <w:pPr>
        <w:pStyle w:val="Heading1"/>
        <w:spacing w:after="200" w:before="400"/>
      </w:pPr>
      <w:r>
        <w:rPr>
          <w:b/>
          <w:bCs/>
          <w:color w:val="7A1F3D"/>
          <w:sz w:val="36"/>
          <w:szCs w:val="36"/>
        </w:rPr>
        <w:t xml:space="preserve">BAB 5. UMPAN BALIK TERSTRUKTUR (MODEL PENDLETON/SBI) DAN RENCANA BELAJAR INDIVIDUAL</w:t>
      </w:r>
    </w:p>
    <w:p>
      <w:pPr>
        <w:shd w:fill="7A1F3D" w:val="clear"/>
        <w:spacing w:after="0" w:before="200"/>
      </w:pPr>
      <w:r>
        <w:rPr>
          <w:b/>
          <w:bCs/>
          <w:color w:val="FFFFFF"/>
          <w:sz w:val="22"/>
          <w:szCs w:val="22"/>
        </w:rPr>
        <w:t xml:space="preserve">TUJUAN PEMBELAJARAN BAB</w:t>
      </w:r>
    </w:p>
    <w:p>
      <w:pPr>
        <w:pStyle w:val="ListParagraph"/>
        <w:numPr>
          <w:ilvl w:val="0"/>
          <w:numId w:val="1"/>
        </w:numPr>
        <w:shd w:fill="F7F3F1" w:val="clear"/>
        <w:spacing w:after="60"/>
        <w:ind w:left="200" w:right="200"/>
      </w:pPr>
      <w:r>
        <w:rPr>
          <w:color w:val="3A3A3A"/>
          <w:sz w:val="22"/>
          <w:szCs w:val="22"/>
        </w:rPr>
        <w:t xml:space="preserve">Menjelaskan model umpan balik Pendleton beserta urutan langkahnya.</w:t>
      </w:r>
    </w:p>
    <w:p>
      <w:pPr>
        <w:pStyle w:val="ListParagraph"/>
        <w:numPr>
          <w:ilvl w:val="0"/>
          <w:numId w:val="1"/>
        </w:numPr>
        <w:shd w:fill="F7F3F1" w:val="clear"/>
        <w:spacing w:after="60"/>
        <w:ind w:left="200" w:right="200"/>
      </w:pPr>
      <w:r>
        <w:rPr>
          <w:color w:val="3A3A3A"/>
          <w:sz w:val="22"/>
          <w:szCs w:val="22"/>
        </w:rPr>
        <w:t xml:space="preserve">Menjelaskan model SBI (Situation-Behaviour-Impact) sebagai alternatif umpan balik yang lebih ringkas.</w:t>
      </w:r>
    </w:p>
    <w:p>
      <w:pPr>
        <w:pStyle w:val="ListParagraph"/>
        <w:numPr>
          <w:ilvl w:val="0"/>
          <w:numId w:val="1"/>
        </w:numPr>
        <w:shd w:fill="F7F3F1" w:val="clear"/>
        <w:spacing w:after="60"/>
        <w:ind w:left="200" w:right="200"/>
      </w:pPr>
      <w:r>
        <w:rPr>
          <w:color w:val="3A3A3A"/>
          <w:sz w:val="22"/>
          <w:szCs w:val="22"/>
        </w:rPr>
        <w:t xml:space="preserve">Menyusun contoh dialog umpan balik menggunakan kedua model pada kasus biopsikososial Obginsos.</w:t>
      </w:r>
    </w:p>
    <w:p>
      <w:pPr>
        <w:pStyle w:val="ListParagraph"/>
        <w:numPr>
          <w:ilvl w:val="0"/>
          <w:numId w:val="1"/>
        </w:numPr>
        <w:shd w:fill="F7F3F1" w:val="clear"/>
        <w:spacing w:after="60"/>
        <w:ind w:left="200" w:right="200"/>
      </w:pPr>
      <w:r>
        <w:rPr>
          <w:color w:val="3A3A3A"/>
          <w:sz w:val="22"/>
          <w:szCs w:val="22"/>
        </w:rPr>
        <w:t xml:space="preserve">Menyusun Rencana Belajar Individual (Individual Learning Plan) berbasis hasil umpan balik terstruktur.</w:t>
      </w:r>
    </w:p>
    <w:p>
      <w:pPr>
        <w:pStyle w:val="ListParagraph"/>
        <w:numPr>
          <w:ilvl w:val="0"/>
          <w:numId w:val="1"/>
        </w:numPr>
        <w:shd w:fill="F7F3F1" w:val="clear"/>
        <w:spacing w:after="200"/>
        <w:ind w:left="200" w:right="200"/>
      </w:pPr>
      <w:r>
        <w:rPr>
          <w:color w:val="3A3A3A"/>
          <w:sz w:val="22"/>
          <w:szCs w:val="22"/>
        </w:rPr>
        <w:t xml:space="preserve">Membandingkan kelebihan dan kekurangan kedua model umpan balik dalam konteks pendidikan klinis subspesialistik.</w:t>
      </w:r>
    </w:p>
    <w:p>
      <w:pPr>
        <w:pStyle w:val="Heading2"/>
        <w:spacing w:after="150" w:before="300"/>
      </w:pPr>
      <w:r>
        <w:rPr>
          <w:b/>
          <w:bCs/>
          <w:color w:val="7A1F3D"/>
          <w:sz w:val="28"/>
          <w:szCs w:val="28"/>
        </w:rPr>
        <w:t xml:space="preserve">5.1 Mengapa Umpan Balik Terstruktur Penting</w:t>
      </w:r>
    </w:p>
    <w:p>
      <w:pPr>
        <w:spacing w:after="160" w:line="300"/>
        <w:jc w:val="both"/>
      </w:pPr>
      <w:r>
        <w:rPr>
          <w:sz w:val="22"/>
          <w:szCs w:val="22"/>
        </w:rPr>
        <w:t xml:space="preserve">Umpan balik yang tidak terstruktur cenderung bersifat evaluatif dan sepihak, berisiko menimbulkan sikap defensif peserta didik serta kehilangan kesempatan untuk menggali perspektif reflektif mereka sendiri. Dalam konteks pendidikan klinis subspesialistik yang sarat muatan emosional—seperti supervisi kasus kekerasan seksual atau kematian perinatal—kualitas penyampaian umpan balik menjadi krusial, bukan hanya untuk perbaikan performa teknis, tetapi juga untuk menjaga kesejahteraan psikologis peserta didik yang turut terpapar beban emosional kasus tersebut. Dua model umpan balik yang telah teruji luas dalam pendidikan kedokteran—model Pendleton dan model SBI—menawarkan struktur yang memastikan umpan balik bersifat spesifik, seimbang, dan berorientasi pada perbaikan, bukan sekadar penilaian global.</w:t>
      </w:r>
    </w:p>
    <w:p>
      <w:pPr>
        <w:pStyle w:val="Heading2"/>
        <w:spacing w:after="150" w:before="300"/>
      </w:pPr>
      <w:r>
        <w:rPr>
          <w:b/>
          <w:bCs/>
          <w:color w:val="7A1F3D"/>
          <w:sz w:val="28"/>
          <w:szCs w:val="28"/>
        </w:rPr>
        <w:t xml:space="preserve">5.2 Model Pendleton: Urutan Rules</w:t>
      </w:r>
    </w:p>
    <w:p>
      <w:pPr>
        <w:spacing w:after="160" w:line="300"/>
        <w:jc w:val="both"/>
      </w:pPr>
      <w:r>
        <w:rPr>
          <w:sz w:val="22"/>
          <w:szCs w:val="22"/>
        </w:rPr>
        <w:t xml:space="preserve">Model yang dikembangkan oleh David Pendleton dan kolega pada tahun 1984 ini dikenal dengan sebutan 'Pendleton's Rules', dirancang khusus untuk membalik dinamika kekuasaan dalam sesi umpan balik dengan memberi peserta didik kesempatan pertama untuk melakukan refleksi diri sebelum pelatih memberi penilaian eksternal.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1500"/>
        <w:gridCol w:w="1500"/>
        <w:gridCol w:w="1500"/>
        <w:gridCol w:w="1500"/>
        <w:gridCol w:w="1500"/>
      </w:tblGrid>
      <w:tr>
        <w:tc>
          <w:tcPr>
            <w:tcW w:type="dxa" w:w="1500"/>
            <w:shd w:fill="7A1F3D" w:val="clear"/>
            <w:tcMar>
              <w:top w:type="dxa" w:w="150"/>
              <w:left w:type="dxa" w:w="100"/>
              <w:bottom w:type="dxa" w:w="150"/>
              <w:right w:type="dxa" w:w="100"/>
            </w:tcMar>
            <w:vAlign w:val="center"/>
          </w:tcPr>
          <w:p>
            <w:pPr>
              <w:jc w:val="center"/>
            </w:pPr>
            <w:r>
              <w:rPr>
                <w:b/>
                <w:bCs/>
                <w:color w:val="FFFFFF"/>
                <w:sz w:val="20"/>
                <w:szCs w:val="20"/>
              </w:rPr>
              <w:t xml:space="preserve">1. Klarifikasi Fakta</w:t>
            </w:r>
          </w:p>
        </w:tc>
        <w:tc>
          <w:tcPr>
            <w:tcW w:type="dxa" w:w="1500"/>
            <w:shd w:fill="9C3A5C" w:val="clear"/>
            <w:tcMar>
              <w:top w:type="dxa" w:w="150"/>
              <w:left w:type="dxa" w:w="100"/>
              <w:bottom w:type="dxa" w:w="150"/>
              <w:right w:type="dxa" w:w="100"/>
            </w:tcMar>
            <w:vAlign w:val="center"/>
          </w:tcPr>
          <w:p>
            <w:pPr>
              <w:jc w:val="center"/>
            </w:pPr>
            <w:r>
              <w:rPr>
                <w:b/>
                <w:bCs/>
                <w:color w:val="FFFFFF"/>
                <w:sz w:val="20"/>
                <w:szCs w:val="20"/>
              </w:rPr>
              <w:t xml:space="preserve">2. Peserta: Hal Baik</w:t>
            </w:r>
          </w:p>
        </w:tc>
        <w:tc>
          <w:tcPr>
            <w:tcW w:type="dxa" w:w="1500"/>
            <w:shd w:fill="7A1F3D" w:val="clear"/>
            <w:tcMar>
              <w:top w:type="dxa" w:w="150"/>
              <w:left w:type="dxa" w:w="100"/>
              <w:bottom w:type="dxa" w:w="150"/>
              <w:right w:type="dxa" w:w="100"/>
            </w:tcMar>
            <w:vAlign w:val="center"/>
          </w:tcPr>
          <w:p>
            <w:pPr>
              <w:jc w:val="center"/>
            </w:pPr>
            <w:r>
              <w:rPr>
                <w:b/>
                <w:bCs/>
                <w:color w:val="FFFFFF"/>
                <w:sz w:val="20"/>
                <w:szCs w:val="20"/>
              </w:rPr>
              <w:t xml:space="preserve">3. Pelatih: Hal Baik</w:t>
            </w:r>
          </w:p>
        </w:tc>
        <w:tc>
          <w:tcPr>
            <w:tcW w:type="dxa" w:w="1500"/>
            <w:shd w:fill="9C3A5C" w:val="clear"/>
            <w:tcMar>
              <w:top w:type="dxa" w:w="150"/>
              <w:left w:type="dxa" w:w="100"/>
              <w:bottom w:type="dxa" w:w="150"/>
              <w:right w:type="dxa" w:w="100"/>
            </w:tcMar>
            <w:vAlign w:val="center"/>
          </w:tcPr>
          <w:p>
            <w:pPr>
              <w:jc w:val="center"/>
            </w:pPr>
            <w:r>
              <w:rPr>
                <w:b/>
                <w:bCs/>
                <w:color w:val="FFFFFF"/>
                <w:sz w:val="20"/>
                <w:szCs w:val="20"/>
              </w:rPr>
              <w:t xml:space="preserve">4. Peserta: Perbaikan</w:t>
            </w:r>
          </w:p>
        </w:tc>
        <w:tc>
          <w:tcPr>
            <w:tcW w:type="dxa" w:w="1500"/>
            <w:shd w:fill="7A1F3D" w:val="clear"/>
            <w:tcMar>
              <w:top w:type="dxa" w:w="150"/>
              <w:left w:type="dxa" w:w="100"/>
              <w:bottom w:type="dxa" w:w="150"/>
              <w:right w:type="dxa" w:w="100"/>
            </w:tcMar>
            <w:vAlign w:val="center"/>
          </w:tcPr>
          <w:p>
            <w:pPr>
              <w:jc w:val="center"/>
            </w:pPr>
            <w:r>
              <w:rPr>
                <w:b/>
                <w:bCs/>
                <w:color w:val="FFFFFF"/>
                <w:sz w:val="20"/>
                <w:szCs w:val="20"/>
              </w:rPr>
              <w:t xml:space="preserve">5. Pelatih: Perbaikan</w:t>
            </w:r>
          </w:p>
        </w:tc>
        <w:tc>
          <w:tcPr>
            <w:tcW w:type="dxa" w:w="1500"/>
            <w:shd w:fill="9C3A5C" w:val="clear"/>
            <w:tcMar>
              <w:top w:type="dxa" w:w="150"/>
              <w:left w:type="dxa" w:w="100"/>
              <w:bottom w:type="dxa" w:w="150"/>
              <w:right w:type="dxa" w:w="100"/>
            </w:tcMar>
            <w:vAlign w:val="center"/>
          </w:tcPr>
          <w:p>
            <w:pPr>
              <w:jc w:val="center"/>
            </w:pPr>
            <w:r>
              <w:rPr>
                <w:b/>
                <w:bCs/>
                <w:color w:val="FFFFFF"/>
                <w:sz w:val="20"/>
                <w:szCs w:val="20"/>
              </w:rPr>
              <w:t xml:space="preserve">6. Rencana Tindak Lanjut</w:t>
            </w:r>
          </w:p>
        </w:tc>
      </w:tr>
    </w:tbl>
    <w:p>
      <w:pPr>
        <w:spacing w:after="160" w:line="300"/>
        <w:jc w:val="both"/>
      </w:pPr>
      <w:r>
        <w:rPr>
          <w:sz w:val="22"/>
          <w:szCs w:val="22"/>
        </w:rPr>
        <w:t xml:space="preserve">Urutan ini dimulai dengan klarifikasi fakta situasi yang akan didiskusikan, dilanjutkan dengan peserta didik terlebih dahulu mengidentifikasi apa yang menurutnya telah dilakukan dengan baik, baru kemudian pelatih menambahkan observasi positif dari sudut pandangnya. Urutan yang sama diterapkan untuk area perbaikan: peserta didik terlebih dahulu mengidentifikasi apa yang dapat ditingkatkan, sebelum pelatih menambahkan masukan tambahan, dan diakhiri dengan penyusunan rencana tindak lanjut bersama. Prinsip 'peserta didik bicara lebih dahulu' ini secara konsisten terbukti meningkatkan penerimaan peserta didik terhadap umpan balik karena mereka merasa dilibatkan sebagai mitra reflektif, bukan sekadar objek penilaian.</w:t>
      </w:r>
    </w:p>
    <w:p>
      <w:pPr>
        <w:spacing w:after="160" w:line="300"/>
        <w:jc w:val="both"/>
      </w:pPr>
      <w:r>
        <w:rPr>
          <w:sz w:val="22"/>
          <w:szCs w:val="22"/>
        </w:rPr>
        <w:t xml:space="preserve">Kritik utama terhadap model Pendleton adalah kekakuan urutannya yang terkadang terasa artifisial atau memakan waktu pada situasi klinis yang serba cepat, serta risiko peserta didik yang kurang reflektif memberikan jawaban dangkal pada tahap self-assessment awal. Oleh karena itu, model ini paling sesuai digunakan pada sesi umpan balik terjadwal yang memiliki alokasi waktu memadai, seperti debriefing pasca-OSCE atau evaluasi tengah rotasi klinis.</w:t>
      </w:r>
    </w:p>
    <w:p>
      <w:pPr>
        <w:pStyle w:val="Heading2"/>
        <w:spacing w:after="150" w:before="300"/>
      </w:pPr>
      <w:r>
        <w:rPr>
          <w:b/>
          <w:bCs/>
          <w:color w:val="7A1F3D"/>
          <w:sz w:val="28"/>
          <w:szCs w:val="28"/>
        </w:rPr>
        <w:t xml:space="preserve">5.3 Model SBI (Situation-Behaviour-Impact)</w:t>
      </w:r>
    </w:p>
    <w:p>
      <w:pPr>
        <w:spacing w:after="160" w:line="300"/>
        <w:jc w:val="both"/>
      </w:pPr>
      <w:r>
        <w:rPr>
          <w:sz w:val="22"/>
          <w:szCs w:val="22"/>
        </w:rPr>
        <w:t xml:space="preserve">Model SBI menawarkan alternatif yang lebih ringkas dan lebih mudah diterapkan secara spontan di tengah aktivitas klinis, dengan struktur yang berfokus pada deskripsi objektif alih-alih penilaian subjektif. Model ini terdiri atas tiga komponen: Situation (menjelaskan konteks spesifik kapan dan di mana perilaku terjadi), Behaviour (mendeskripsikan perilaku yang teramati secara objektif dan spesifik, tanpa label atau interpretasi), dan Impact (menjelaskan dampak perilaku tersebut terhadap pasien, tim, atau proses layanan).</w:t>
      </w:r>
    </w:p>
    <w:p>
      <w:pPr>
        <w:spacing w:after="160" w:line="300"/>
        <w:jc w:val="both"/>
      </w:pPr>
      <w:r>
        <w:rPr>
          <w:sz w:val="22"/>
          <w:szCs w:val="22"/>
        </w:rPr>
        <w:t xml:space="preserve">Keunggulan utama model SBI adalah kemampuannya menghindari bahasa yang bersifat menghakimi karakter peserta didik (mis. 'Anda tidak peka') dan menggantinya dengan deskripsi perilaku spesifik beserta dampaknya (mis. 'Saat pasien menangis menceritakan pengalaman kekerasannya tadi, Anda melanjutkan bertanya tentang riwayat menstruasi tanpa memberi jeda—dampaknya, pasien tampak semakin menutup diri dan jawaban selanjutnya menjadi singkat'). Struktur ini membuat umpan balik lebih mudah diterima karena berfokus pada perilaku yang dapat diubah, bukan pada penilaian kepribadian yang cenderung memicu sikap defensif.</w:t>
      </w:r>
    </w:p>
    <w:p>
      <w:pPr>
        <w:pStyle w:val="Heading3"/>
        <w:spacing w:after="100" w:before="200"/>
      </w:pPr>
      <w:r>
        <w:rPr>
          <w:b/>
          <w:bCs/>
          <w:i/>
          <w:iCs/>
          <w:color w:val="555555"/>
          <w:sz w:val="24"/>
          <w:szCs w:val="24"/>
        </w:rPr>
        <w:t xml:space="preserve">5.3.1 Contoh Dialog Umpan Balik Model SBI</w:t>
      </w:r>
    </w:p>
    <w:p>
      <w:pPr>
        <w:spacing w:after="160" w:line="300"/>
        <w:jc w:val="both"/>
      </w:pPr>
      <w:r>
        <w:rPr>
          <w:sz w:val="22"/>
          <w:szCs w:val="22"/>
        </w:rPr>
        <w:t xml:space="preserve">Konteks: Pelatih baru saja mengamati peserta didik melakukan konseling pasca-keguguran pada pasien dengan riwayat dua kali kehilangan kehamilan sebelumnya.</w:t>
      </w:r>
    </w:p>
    <w:p>
      <w:pPr>
        <w:pStyle w:val="ListParagraph"/>
        <w:numPr>
          <w:ilvl w:val="0"/>
          <w:numId w:val="1"/>
        </w:numPr>
        <w:spacing w:after="80"/>
      </w:pPr>
      <w:r>
        <w:rPr>
          <w:sz w:val="22"/>
          <w:szCs w:val="22"/>
        </w:rPr>
        <w:t xml:space="preserve">Situation: "Tadi saat Anda menyampaikan hasil USG yang menunjukkan kehamilan tidak berkembang kepada Ibu Sari..."</w:t>
      </w:r>
    </w:p>
    <w:p>
      <w:pPr>
        <w:pStyle w:val="ListParagraph"/>
        <w:numPr>
          <w:ilvl w:val="0"/>
          <w:numId w:val="1"/>
        </w:numPr>
        <w:spacing w:after="80"/>
      </w:pPr>
      <w:r>
        <w:rPr>
          <w:sz w:val="22"/>
          <w:szCs w:val="22"/>
        </w:rPr>
        <w:t xml:space="preserve">Behaviour: "...Anda menyampaikan informasi tersebut sambil tetap melihat layar komputer, dan langsung melanjutkan ke penjelasan rencana kuretase tanpa memberi jeda setelah menyampaikan berita tersebut."</w:t>
      </w:r>
    </w:p>
    <w:p>
      <w:pPr>
        <w:pStyle w:val="ListParagraph"/>
        <w:numPr>
          <w:ilvl w:val="0"/>
          <w:numId w:val="1"/>
        </w:numPr>
        <w:spacing w:after="80"/>
      </w:pPr>
      <w:r>
        <w:rPr>
          <w:sz w:val="22"/>
          <w:szCs w:val="22"/>
        </w:rPr>
        <w:t xml:space="preserve">Impact: "Saya perhatikan Ibu Sari tampak terkejut dan air matanya mulai menetes, namun tampaknya tidak sempat memproses informasi sebelum Anda melanjutkan ke penjelasan prosedural, sehingga saat ditanya beliau menjawab 'ya' secara datar tanpa benar-benar memahami pilihan yang tersedia."</w:t>
      </w:r>
    </w:p>
    <w:p>
      <w:pPr>
        <w:spacing w:after="160" w:line="300"/>
        <w:jc w:val="both"/>
      </w:pPr>
      <w:r>
        <w:rPr>
          <w:sz w:val="22"/>
          <w:szCs w:val="22"/>
        </w:rPr>
        <w:t xml:space="preserve">Dialog kemudian dilanjutkan dengan pertanyaan terbuka kepada peserta didik, misalnya 'Bagaimana menurut Anda, apa yang bisa dilakukan berbeda pada momen tersebut?', membuka ruang refleksi tanpa harus mengikuti urutan kaku model Pendleton, sekaligus tetap menjaga sifat spesifik dan non-menghakimi dari umpan balik yang diberikan.</w:t>
      </w:r>
    </w:p>
    <w:p>
      <w:pPr>
        <w:pStyle w:val="Heading2"/>
        <w:spacing w:after="150" w:before="300"/>
      </w:pPr>
      <w:r>
        <w:rPr>
          <w:b/>
          <w:bCs/>
          <w:color w:val="7A1F3D"/>
          <w:sz w:val="28"/>
          <w:szCs w:val="28"/>
        </w:rPr>
        <w:t xml:space="preserve">5.4 Menyusun Rencana Belajar Individual (Individual Learning Plan)</w:t>
      </w:r>
    </w:p>
    <w:p>
      <w:pPr>
        <w:spacing w:after="160" w:line="300"/>
        <w:jc w:val="both"/>
      </w:pPr>
      <w:r>
        <w:rPr>
          <w:sz w:val="22"/>
          <w:szCs w:val="22"/>
        </w:rPr>
        <w:t xml:space="preserve">Umpan balik terstruktur idealnya tidak berhenti pada sesi diskusi lisan, melainkan didokumentasikan dalam Rencana Belajar Individual (Individual Learning Plan/ILP) yang menjadi jembatan antara hasil observasi dengan tindak lanjut pembelajaran yang terukur. ILP yang baik memuat komponen: area kompetensi spesifik yang perlu ditingkatkan (dirumuskan berdasarkan hasil umpan balik, bukan pernyataan umum), target yang terukur dan realistis dengan batas waktu tertentu, strategi pembelajaran konkret yang akan ditempuh (mis. sesi microteaching tambahan, observasi kasus serupa dengan pelatih lain, telaah literatur spesifik), serta indikator keberhasilan yang akan digunakan untuk evaluasi ulang.</w:t>
      </w:r>
    </w:p>
    <w:p>
      <w:pPr>
        <w:spacing w:after="160" w:line="300"/>
        <w:jc w:val="both"/>
      </w:pPr>
      <w:r>
        <w:rPr>
          <w:sz w:val="22"/>
          <w:szCs w:val="22"/>
        </w:rPr>
        <w:t xml:space="preserve">Sebagai contoh penerapan pada kasus di atas, ILP peserta didik dapat memuat target berupa 'Meningkatkan pemberian jeda emosional (empathic pause) setelah menyampaikan berita buruk pada tiga kasus konseling berikutnya, dievaluasi melalui observasi langsung oleh pelatih dan umpan balik pasien terstruktur'. Dokumentasi ILP ini kemudian menjadi bagian integral dari portofolio pembelajaran peserta didik yang akan dibahas lebih lanjut pada Bab 6, sekaligus menjadi bukti tertulis proses pembinaan berkelanjutan yang dapat ditelaah pada evaluasi program maupun akreditasi.</w:t>
      </w:r>
    </w:p>
    <w:p>
      <w:pPr>
        <w:shd w:fill="7A1F3D" w:val="clear"/>
        <w:spacing w:after="0" w:before="200"/>
      </w:pPr>
      <w:r>
        <w:rPr>
          <w:b/>
          <w:bCs/>
          <w:color w:val="FFFFFF"/>
          <w:sz w:val="22"/>
          <w:szCs w:val="22"/>
        </w:rPr>
        <w:t xml:space="preserve">PERAN LINTAS PROFESI</w:t>
      </w:r>
    </w:p>
    <w:p>
      <w:pPr>
        <w:pStyle w:val="ListParagraph"/>
        <w:numPr>
          <w:ilvl w:val="0"/>
          <w:numId w:val="1"/>
        </w:numPr>
        <w:shd w:fill="F7F3F1" w:val="clear"/>
        <w:spacing w:after="60"/>
        <w:ind w:left="200" w:right="200"/>
      </w:pPr>
      <w:r>
        <w:rPr>
          <w:color w:val="3A3A3A"/>
          <w:sz w:val="22"/>
          <w:szCs w:val="22"/>
        </w:rPr>
        <w:t xml:space="preserve">Psikolog klinis dapat dilibatkan dalam penyusunan ILP peserta didik yang menunjukkan kesulitan berulang dalam komunikasi kasus bermuatan emosional tinggi, memberikan perspektif tambahan mengenai regulasi emosi peserta didik itu sendiri.</w:t>
      </w:r>
    </w:p>
    <w:p>
      <w:pPr>
        <w:pStyle w:val="ListParagraph"/>
        <w:numPr>
          <w:ilvl w:val="0"/>
          <w:numId w:val="1"/>
        </w:numPr>
        <w:shd w:fill="F7F3F1" w:val="clear"/>
        <w:spacing w:after="200"/>
        <w:ind w:left="200" w:right="200"/>
      </w:pPr>
      <w:r>
        <w:rPr>
          <w:color w:val="3A3A3A"/>
          <w:sz w:val="22"/>
          <w:szCs w:val="22"/>
        </w:rPr>
        <w:t xml:space="preserve">Bagian hukum rumah sakit dapat memberi masukan pada ILP yang menyangkut kompetensi dokumentasi medikolegal kasus kekerasan berbasis gender, memastikan strategi pembelajaran mencakup aspek forensik yang relevan.</w:t>
      </w:r>
    </w:p>
    <w:p>
      <w:pPr>
        <w:shd w:fill="7A1F3D" w:val="clear"/>
        <w:spacing w:after="0" w:before="200"/>
      </w:pPr>
      <w:r>
        <w:rPr>
          <w:b/>
          <w:bCs/>
          <w:color w:val="FFFFFF"/>
          <w:sz w:val="22"/>
          <w:szCs w:val="22"/>
        </w:rPr>
        <w:t xml:space="preserve">POIN KUNCI</w:t>
      </w:r>
    </w:p>
    <w:p>
      <w:pPr>
        <w:pStyle w:val="ListParagraph"/>
        <w:numPr>
          <w:ilvl w:val="0"/>
          <w:numId w:val="1"/>
        </w:numPr>
        <w:shd w:fill="F7F3F1" w:val="clear"/>
        <w:spacing w:after="60"/>
        <w:ind w:left="200" w:right="200"/>
      </w:pPr>
      <w:r>
        <w:rPr>
          <w:color w:val="3A3A3A"/>
          <w:sz w:val="22"/>
          <w:szCs w:val="22"/>
        </w:rPr>
        <w:t xml:space="preserve">Model Pendleton mengikuti urutan tetap: klarifikasi fakta, peserta didik menyampaikan hal positif dan area perbaikan terlebih dahulu, baru kemudian pelatih menambahkan, diakhiri rencana tindak lanjut.</w:t>
      </w:r>
    </w:p>
    <w:p>
      <w:pPr>
        <w:pStyle w:val="ListParagraph"/>
        <w:numPr>
          <w:ilvl w:val="0"/>
          <w:numId w:val="1"/>
        </w:numPr>
        <w:shd w:fill="F7F3F1" w:val="clear"/>
        <w:spacing w:after="60"/>
        <w:ind w:left="200" w:right="200"/>
      </w:pPr>
      <w:r>
        <w:rPr>
          <w:color w:val="3A3A3A"/>
          <w:sz w:val="22"/>
          <w:szCs w:val="22"/>
        </w:rPr>
        <w:t xml:space="preserve">Model SBI (Situation-Behaviour-Impact) lebih ringkas dan cocok untuk umpan balik spontan di tengah aktivitas klinis, dengan fokus pada perilaku objektif dan dampaknya.</w:t>
      </w:r>
    </w:p>
    <w:p>
      <w:pPr>
        <w:pStyle w:val="ListParagraph"/>
        <w:numPr>
          <w:ilvl w:val="0"/>
          <w:numId w:val="1"/>
        </w:numPr>
        <w:shd w:fill="F7F3F1" w:val="clear"/>
        <w:spacing w:after="60"/>
        <w:ind w:left="200" w:right="200"/>
      </w:pPr>
      <w:r>
        <w:rPr>
          <w:color w:val="3A3A3A"/>
          <w:sz w:val="22"/>
          <w:szCs w:val="22"/>
        </w:rPr>
        <w:t xml:space="preserve">Kedua model dirancang untuk menghindari bahasa menghakimi dan mendorong peserta didik terlibat aktif dalam proses refleksi.</w:t>
      </w:r>
    </w:p>
    <w:p>
      <w:pPr>
        <w:pStyle w:val="ListParagraph"/>
        <w:numPr>
          <w:ilvl w:val="0"/>
          <w:numId w:val="1"/>
        </w:numPr>
        <w:shd w:fill="F7F3F1" w:val="clear"/>
        <w:spacing w:after="60"/>
        <w:ind w:left="200" w:right="200"/>
      </w:pPr>
      <w:r>
        <w:rPr>
          <w:color w:val="3A3A3A"/>
          <w:sz w:val="22"/>
          <w:szCs w:val="22"/>
        </w:rPr>
        <w:t xml:space="preserve">Rencana Belajar Individual (ILP) menjadi jembatan antara umpan balik lisan dengan tindak lanjut pembelajaran yang terukur dan terdokumentasi.</w:t>
      </w:r>
    </w:p>
    <w:p>
      <w:pPr>
        <w:pStyle w:val="ListParagraph"/>
        <w:numPr>
          <w:ilvl w:val="0"/>
          <w:numId w:val="1"/>
        </w:numPr>
        <w:shd w:fill="F7F3F1" w:val="clear"/>
        <w:spacing w:after="60"/>
        <w:ind w:left="200" w:right="200"/>
      </w:pPr>
      <w:r>
        <w:rPr>
          <w:color w:val="3A3A3A"/>
          <w:sz w:val="22"/>
          <w:szCs w:val="22"/>
        </w:rPr>
        <w:t xml:space="preserve">ILP yang baik memuat area kompetensi spesifik, target terukur berbatas waktu, strategi konkret, dan indikator keberhasilan.</w:t>
      </w:r>
    </w:p>
    <w:p>
      <w:pPr>
        <w:pStyle w:val="ListParagraph"/>
        <w:numPr>
          <w:ilvl w:val="0"/>
          <w:numId w:val="1"/>
        </w:numPr>
        <w:shd w:fill="F7F3F1" w:val="clear"/>
        <w:spacing w:after="200"/>
        <w:ind w:left="200" w:right="200"/>
      </w:pPr>
      <w:r>
        <w:rPr>
          <w:color w:val="3A3A3A"/>
          <w:sz w:val="22"/>
          <w:szCs w:val="22"/>
        </w:rPr>
        <w:t xml:space="preserve">Dokumentasi ILP menjadi bagian integral portofolio pembelajaran yang mendukung evaluasi program dan proses akreditasi.</w:t>
      </w:r>
    </w:p>
    <w:p>
      <w:pPr>
        <w:pStyle w:val="Heading2"/>
        <w:spacing w:after="150" w:before="300"/>
      </w:pPr>
      <w:r>
        <w:rPr>
          <w:b/>
          <w:bCs/>
          <w:color w:val="7A1F3D"/>
          <w:sz w:val="28"/>
          <w:szCs w:val="28"/>
        </w:rPr>
        <w:t xml:space="preserve">Referensi Bab 5</w:t>
      </w:r>
    </w:p>
    <w:p>
      <w:pPr>
        <w:spacing w:after="100"/>
        <w:ind w:left="360" w:hanging="360"/>
      </w:pPr>
      <w:r>
        <w:rPr>
          <w:sz w:val="20"/>
          <w:szCs w:val="20"/>
        </w:rPr>
        <w:t xml:space="preserve">1. Pendleton D, Schofield T, Tate P, Havelock P. The Consultation: An Approach to Learning and Teaching. Oxford: Oxford University Press; 1984.</w:t>
      </w:r>
    </w:p>
    <w:p>
      <w:pPr>
        <w:spacing w:after="100"/>
        <w:ind w:left="360" w:hanging="360"/>
      </w:pPr>
      <w:r>
        <w:rPr>
          <w:sz w:val="20"/>
          <w:szCs w:val="20"/>
        </w:rPr>
        <w:t xml:space="preserve">2. Center for Creative Leadership (CCL). Use Situation-Behavior-Impact (SBI)™ to Understand Intent. Greensboro (NC): CCL; 2024. Tersedia di: https://www.ccl.org/articles/leading-effectively-articles/closing-the-gap-between-intent-vs-impact-sbii/ (Catatan: sumber ini adalah materi praktisi manajemen dari Center for Creative Leadership, bukan artikel jurnal ilmiah bertelaah sejawat; SBI diadaptasi ke konteks pendidikan klinis dalam bab ini).</w:t>
      </w:r>
    </w:p>
    <w:p>
      <w:pPr>
        <w:spacing w:after="100"/>
        <w:ind w:left="360" w:hanging="360"/>
      </w:pPr>
      <w:r>
        <w:rPr>
          <w:sz w:val="20"/>
          <w:szCs w:val="20"/>
        </w:rPr>
        <w:t xml:space="preserve">3. Ende J. Feedback in clinical medical education. JAMA. 1983;250(6):777–781.</w:t>
      </w:r>
    </w:p>
    <w:p>
      <w:pPr>
        <w:spacing w:after="100"/>
        <w:ind w:left="360" w:hanging="360"/>
      </w:pPr>
      <w:r>
        <w:rPr>
          <w:sz w:val="20"/>
          <w:szCs w:val="20"/>
        </w:rPr>
        <w:t xml:space="preserve">4. World Health Organization (WHO). Responding to Intimate Partner Violence and Sexual Violence Against Women: WHO Clinical and Policy Guidelines. Geneva: WHO; 2013.</w:t>
      </w:r>
    </w:p>
    <w:p>
      <w:pPr>
        <w:spacing w:after="100"/>
        <w:ind w:left="360" w:hanging="360"/>
      </w:pPr>
      <w:r>
        <w:rPr>
          <w:sz w:val="20"/>
          <w:szCs w:val="20"/>
        </w:rPr>
        <w:t xml:space="preserve">5. Perkumpulan Obstetri dan Ginekologi Indonesia (POGI)/Kolegium Obstetri dan Ginekologi Indonesia. Kurikulum dan ketentuan Program Pendidikan Dokter Subspesialis Obstetri Ginekologi Sosial.</w:t>
      </w:r>
    </w:p>
    <w:p>
      <w:r>
        <w:br w:type="page"/>
      </w:r>
    </w:p>
    <w:p>
      <w:pPr>
        <w:pStyle w:val="Heading1"/>
        <w:spacing w:after="200" w:before="400"/>
      </w:pPr>
      <w:r>
        <w:rPr>
          <w:b/>
          <w:bCs/>
          <w:color w:val="7A1F3D"/>
          <w:sz w:val="36"/>
          <w:szCs w:val="36"/>
        </w:rPr>
        <w:t xml:space="preserve">BAB 6. DOKUMENTASI MUTU PENDIDIKAN DAN KALIBRASI PENILAI</w:t>
      </w:r>
    </w:p>
    <w:p>
      <w:pPr>
        <w:shd w:fill="7A1F3D" w:val="clear"/>
        <w:spacing w:after="0" w:before="200"/>
      </w:pPr>
      <w:r>
        <w:rPr>
          <w:b/>
          <w:bCs/>
          <w:color w:val="FFFFFF"/>
          <w:sz w:val="22"/>
          <w:szCs w:val="22"/>
        </w:rPr>
        <w:t xml:space="preserve">TUJUAN PEMBELAJARAN BAB</w:t>
      </w:r>
    </w:p>
    <w:p>
      <w:pPr>
        <w:pStyle w:val="ListParagraph"/>
        <w:numPr>
          <w:ilvl w:val="0"/>
          <w:numId w:val="1"/>
        </w:numPr>
        <w:shd w:fill="F7F3F1" w:val="clear"/>
        <w:spacing w:after="60"/>
        <w:ind w:left="200" w:right="200"/>
      </w:pPr>
      <w:r>
        <w:rPr>
          <w:color w:val="3A3A3A"/>
          <w:sz w:val="22"/>
          <w:szCs w:val="22"/>
        </w:rPr>
        <w:t xml:space="preserve">Menjelaskan konsep dan tujuan kalibrasi penilai (rater calibration) dalam penilaian kompetensi klinis.</w:t>
      </w:r>
    </w:p>
    <w:p>
      <w:pPr>
        <w:pStyle w:val="ListParagraph"/>
        <w:numPr>
          <w:ilvl w:val="0"/>
          <w:numId w:val="1"/>
        </w:numPr>
        <w:shd w:fill="F7F3F1" w:val="clear"/>
        <w:spacing w:after="60"/>
        <w:ind w:left="200" w:right="200"/>
      </w:pPr>
      <w:r>
        <w:rPr>
          <w:color w:val="3A3A3A"/>
          <w:sz w:val="22"/>
          <w:szCs w:val="22"/>
        </w:rPr>
        <w:t xml:space="preserve">Menguraikan metode praktis pelaksanaan sesi kalibrasi penilai sebelum ujian OSCE atau workplace-based assessment.</w:t>
      </w:r>
    </w:p>
    <w:p>
      <w:pPr>
        <w:pStyle w:val="ListParagraph"/>
        <w:numPr>
          <w:ilvl w:val="0"/>
          <w:numId w:val="1"/>
        </w:numPr>
        <w:shd w:fill="F7F3F1" w:val="clear"/>
        <w:spacing w:after="60"/>
        <w:ind w:left="200" w:right="200"/>
      </w:pPr>
      <w:r>
        <w:rPr>
          <w:color w:val="3A3A3A"/>
          <w:sz w:val="22"/>
          <w:szCs w:val="22"/>
        </w:rPr>
        <w:t xml:space="preserve">Menjelaskan struktur portofolio pembelajaran peserta didik sebagai instrumen dokumentasi mutu pendidikan.</w:t>
      </w:r>
    </w:p>
    <w:p>
      <w:pPr>
        <w:pStyle w:val="ListParagraph"/>
        <w:numPr>
          <w:ilvl w:val="0"/>
          <w:numId w:val="1"/>
        </w:numPr>
        <w:shd w:fill="F7F3F1" w:val="clear"/>
        <w:spacing w:after="60"/>
        <w:ind w:left="200" w:right="200"/>
      </w:pPr>
      <w:r>
        <w:rPr>
          <w:color w:val="3A3A3A"/>
          <w:sz w:val="22"/>
          <w:szCs w:val="22"/>
        </w:rPr>
        <w:t xml:space="preserve">Mengintegrasikan hasil kalibrasi penilai dan portofolio ke dalam sistem penjaminan mutu program pendidikan subspesialis.</w:t>
      </w:r>
    </w:p>
    <w:p>
      <w:pPr>
        <w:pStyle w:val="ListParagraph"/>
        <w:numPr>
          <w:ilvl w:val="0"/>
          <w:numId w:val="1"/>
        </w:numPr>
        <w:shd w:fill="F7F3F1" w:val="clear"/>
        <w:spacing w:after="200"/>
        <w:ind w:left="200" w:right="200"/>
      </w:pPr>
      <w:r>
        <w:rPr>
          <w:color w:val="3A3A3A"/>
          <w:sz w:val="22"/>
          <w:szCs w:val="22"/>
        </w:rPr>
        <w:t xml:space="preserve">Mengidentifikasi indikator mutu pendidikan klinis yang relevan bagi audit internal maupun eksternal program.</w:t>
      </w:r>
    </w:p>
    <w:p>
      <w:pPr>
        <w:pStyle w:val="Heading2"/>
        <w:spacing w:after="150" w:before="300"/>
      </w:pPr>
      <w:r>
        <w:rPr>
          <w:b/>
          <w:bCs/>
          <w:color w:val="7A1F3D"/>
          <w:sz w:val="28"/>
          <w:szCs w:val="28"/>
        </w:rPr>
        <w:t xml:space="preserve">6.1 Mengapa Kalibrasi Penilai Diperlukan</w:t>
      </w:r>
    </w:p>
    <w:p>
      <w:pPr>
        <w:spacing w:after="160" w:line="300"/>
        <w:jc w:val="both"/>
      </w:pPr>
      <w:r>
        <w:rPr>
          <w:sz w:val="22"/>
          <w:szCs w:val="22"/>
        </w:rPr>
        <w:t xml:space="preserve">Variabilitas antar-penguji (inter-rater variability) merupakan ancaman utama terhadap keadilan dan kredibilitas penilaian kompetensi klinis, termasuk pada OSCE dan workplace-based assessment yang telah dibahas pada bab-bab sebelumnya. Tanpa kalibrasi, seorang penguji yang cenderung ketat (hawk) dapat memberikan skor jauh lebih rendah dibandingkan penguji yang cenderung longgar (dove) terhadap performa peserta didik yang sebenarnya setara, menciptakan ketidakadilan sistemik yang dapat memengaruhi kelulusan maupun keputusan akademik penting lainnya. Fenomena ini semakin krusial pada penilaian kompetensi biopsikososial Obginsos, di mana penilaian bersifat lebih subjektif dibandingkan keterampilan teknis murni—misalnya penilaian terhadap 'kepekaan budaya' atau 'nada nondirektif' dalam konseling kasus aborsi berpotensi memiliki interpretasi yang sangat bervariasi antar-penguji tergantung latar belakang nilai personal masing-masing.</w:t>
      </w:r>
    </w:p>
    <w:p>
      <w:pPr>
        <w:pStyle w:val="Heading2"/>
        <w:spacing w:after="150" w:before="300"/>
      </w:pPr>
      <w:r>
        <w:rPr>
          <w:b/>
          <w:bCs/>
          <w:color w:val="7A1F3D"/>
          <w:sz w:val="28"/>
          <w:szCs w:val="28"/>
        </w:rPr>
        <w:t xml:space="preserve">6.2 Metode Pelaksanaan Sesi Kalibrasi Penilai</w:t>
      </w:r>
    </w:p>
    <w:p>
      <w:pPr>
        <w:spacing w:after="160" w:line="300"/>
        <w:jc w:val="both"/>
      </w:pPr>
      <w:r>
        <w:rPr>
          <w:sz w:val="22"/>
          <w:szCs w:val="22"/>
        </w:rPr>
        <w:t xml:space="preserve">Sesi kalibrasi penilai idealnya dilaksanakan sebelum setiap putaran ujian OSCE besar maupun secara berkala (mis. setiap semester) untuk penilai workplace-based assessment. Langkah praktis yang direkomendasikan mencakup beberapa tahap terstruktur.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000"/>
      </w:tblGrid>
      <w:tr>
        <w:trPr>
          <w:tblHeader/>
        </w:trPr>
        <w:tc>
          <w:tcPr>
            <w:tcW w:type="dxa" w:w="2000"/>
            <w:shd w:fill="7A1F3D" w:val="clear"/>
            <w:tcMar>
              <w:top w:type="dxa" w:w="100"/>
              <w:left w:type="dxa" w:w="100"/>
              <w:bottom w:type="dxa" w:w="100"/>
              <w:right w:type="dxa" w:w="100"/>
            </w:tcMar>
          </w:tcPr>
          <w:p>
            <w:r>
              <w:rPr>
                <w:b/>
                <w:bCs/>
                <w:color w:val="FFFFFF"/>
                <w:sz w:val="20"/>
                <w:szCs w:val="20"/>
              </w:rPr>
              <w:t xml:space="preserve">Tahap</w:t>
            </w:r>
          </w:p>
        </w:tc>
        <w:tc>
          <w:tcPr>
            <w:tcW w:type="dxa" w:w="4000"/>
            <w:shd w:fill="7A1F3D" w:val="clear"/>
            <w:tcMar>
              <w:top w:type="dxa" w:w="100"/>
              <w:left w:type="dxa" w:w="100"/>
              <w:bottom w:type="dxa" w:w="100"/>
              <w:right w:type="dxa" w:w="100"/>
            </w:tcMar>
          </w:tcPr>
          <w:p>
            <w:r>
              <w:rPr>
                <w:b/>
                <w:bCs/>
                <w:color w:val="FFFFFF"/>
                <w:sz w:val="20"/>
                <w:szCs w:val="20"/>
              </w:rPr>
              <w:t xml:space="preserve">Aktivitas</w:t>
            </w:r>
          </w:p>
        </w:tc>
        <w:tc>
          <w:tcPr>
            <w:tcW w:type="dxa" w:w="3000"/>
            <w:shd w:fill="7A1F3D" w:val="clear"/>
            <w:tcMar>
              <w:top w:type="dxa" w:w="100"/>
              <w:left w:type="dxa" w:w="100"/>
              <w:bottom w:type="dxa" w:w="100"/>
              <w:right w:type="dxa" w:w="100"/>
            </w:tcMar>
          </w:tcPr>
          <w:p>
            <w:r>
              <w:rPr>
                <w:b/>
                <w:bCs/>
                <w:color w:val="FFFFFF"/>
                <w:sz w:val="20"/>
                <w:szCs w:val="20"/>
              </w:rPr>
              <w:t xml:space="preserve">Tujuan</w:t>
            </w:r>
          </w:p>
        </w:tc>
      </w:tr>
      <w:tr>
        <w:tc>
          <w:tcPr>
            <w:tcW w:type="dxa" w:w="2000"/>
            <w:shd w:fill="FFFFFF" w:val="clear"/>
            <w:tcMar>
              <w:top w:type="dxa" w:w="100"/>
              <w:left w:type="dxa" w:w="100"/>
              <w:bottom w:type="dxa" w:w="100"/>
              <w:right w:type="dxa" w:w="100"/>
            </w:tcMar>
          </w:tcPr>
          <w:p>
            <w:r>
              <w:rPr>
                <w:sz w:val="20"/>
                <w:szCs w:val="20"/>
              </w:rPr>
              <w:t xml:space="preserve">1. Sosialisasi Rubrik</w:t>
            </w:r>
          </w:p>
        </w:tc>
        <w:tc>
          <w:tcPr>
            <w:tcW w:type="dxa" w:w="4000"/>
            <w:shd w:fill="FFFFFF" w:val="clear"/>
            <w:tcMar>
              <w:top w:type="dxa" w:w="100"/>
              <w:left w:type="dxa" w:w="100"/>
              <w:bottom w:type="dxa" w:w="100"/>
              <w:right w:type="dxa" w:w="100"/>
            </w:tcMar>
          </w:tcPr>
          <w:p>
            <w:r>
              <w:rPr>
                <w:sz w:val="20"/>
                <w:szCs w:val="20"/>
              </w:rPr>
              <w:t xml:space="preserve">Seluruh calon penguji mempelajari bersama rubrik penilaian (checklist dan global rating scale) beserta contoh perilaku pada setiap level skor</w:t>
            </w:r>
          </w:p>
        </w:tc>
        <w:tc>
          <w:tcPr>
            <w:tcW w:type="dxa" w:w="3000"/>
            <w:shd w:fill="FFFFFF" w:val="clear"/>
            <w:tcMar>
              <w:top w:type="dxa" w:w="100"/>
              <w:left w:type="dxa" w:w="100"/>
              <w:bottom w:type="dxa" w:w="100"/>
              <w:right w:type="dxa" w:w="100"/>
            </w:tcMar>
          </w:tcPr>
          <w:p>
            <w:r>
              <w:rPr>
                <w:sz w:val="20"/>
                <w:szCs w:val="20"/>
              </w:rPr>
              <w:t xml:space="preserve">Menyamakan pemahaman kriteria sebelum menilai peserta didik sungguhan</w:t>
            </w:r>
          </w:p>
        </w:tc>
      </w:tr>
      <w:tr>
        <w:tc>
          <w:tcPr>
            <w:tcW w:type="dxa" w:w="2000"/>
            <w:shd w:fill="F3E4E9" w:val="clear"/>
            <w:tcMar>
              <w:top w:type="dxa" w:w="100"/>
              <w:left w:type="dxa" w:w="100"/>
              <w:bottom w:type="dxa" w:w="100"/>
              <w:right w:type="dxa" w:w="100"/>
            </w:tcMar>
          </w:tcPr>
          <w:p>
            <w:r>
              <w:rPr>
                <w:sz w:val="20"/>
                <w:szCs w:val="20"/>
              </w:rPr>
              <w:t xml:space="preserve">2. Penilaian Video Bersama</w:t>
            </w:r>
          </w:p>
        </w:tc>
        <w:tc>
          <w:tcPr>
            <w:tcW w:type="dxa" w:w="4000"/>
            <w:shd w:fill="F3E4E9" w:val="clear"/>
            <w:tcMar>
              <w:top w:type="dxa" w:w="100"/>
              <w:left w:type="dxa" w:w="100"/>
              <w:bottom w:type="dxa" w:w="100"/>
              <w:right w:type="dxa" w:w="100"/>
            </w:tcMar>
          </w:tcPr>
          <w:p>
            <w:r>
              <w:rPr>
                <w:sz w:val="20"/>
                <w:szCs w:val="20"/>
              </w:rPr>
              <w:t xml:space="preserve">Seluruh penguji menonton rekaman video contoh performa peserta didik (dari kasus sebelumnya atau simulasi) dan memberi skor secara independen</w:t>
            </w:r>
          </w:p>
        </w:tc>
        <w:tc>
          <w:tcPr>
            <w:tcW w:type="dxa" w:w="3000"/>
            <w:shd w:fill="F3E4E9" w:val="clear"/>
            <w:tcMar>
              <w:top w:type="dxa" w:w="100"/>
              <w:left w:type="dxa" w:w="100"/>
              <w:bottom w:type="dxa" w:w="100"/>
              <w:right w:type="dxa" w:w="100"/>
            </w:tcMar>
          </w:tcPr>
          <w:p>
            <w:r>
              <w:rPr>
                <w:sz w:val="20"/>
                <w:szCs w:val="20"/>
              </w:rPr>
              <w:t xml:space="preserve">Mengidentifikasi variasi skor antar-penguji secara objektif</w:t>
            </w:r>
          </w:p>
        </w:tc>
      </w:tr>
      <w:tr>
        <w:tc>
          <w:tcPr>
            <w:tcW w:type="dxa" w:w="2000"/>
            <w:shd w:fill="FFFFFF" w:val="clear"/>
            <w:tcMar>
              <w:top w:type="dxa" w:w="100"/>
              <w:left w:type="dxa" w:w="100"/>
              <w:bottom w:type="dxa" w:w="100"/>
              <w:right w:type="dxa" w:w="100"/>
            </w:tcMar>
          </w:tcPr>
          <w:p>
            <w:r>
              <w:rPr>
                <w:sz w:val="20"/>
                <w:szCs w:val="20"/>
              </w:rPr>
              <w:t xml:space="preserve">3. Diskusi Diskrepansi</w:t>
            </w:r>
          </w:p>
        </w:tc>
        <w:tc>
          <w:tcPr>
            <w:tcW w:type="dxa" w:w="4000"/>
            <w:shd w:fill="FFFFFF" w:val="clear"/>
            <w:tcMar>
              <w:top w:type="dxa" w:w="100"/>
              <w:left w:type="dxa" w:w="100"/>
              <w:bottom w:type="dxa" w:w="100"/>
              <w:right w:type="dxa" w:w="100"/>
            </w:tcMar>
          </w:tcPr>
          <w:p>
            <w:r>
              <w:rPr>
                <w:sz w:val="20"/>
                <w:szCs w:val="20"/>
              </w:rPr>
              <w:t xml:space="preserve">Fasilitator memandu diskusi ketika terdapat perbedaan skor signifikan, meminta setiap penguji menjelaskan dasar penilaiannya</w:t>
            </w:r>
          </w:p>
        </w:tc>
        <w:tc>
          <w:tcPr>
            <w:tcW w:type="dxa" w:w="3000"/>
            <w:shd w:fill="FFFFFF" w:val="clear"/>
            <w:tcMar>
              <w:top w:type="dxa" w:w="100"/>
              <w:left w:type="dxa" w:w="100"/>
              <w:bottom w:type="dxa" w:w="100"/>
              <w:right w:type="dxa" w:w="100"/>
            </w:tcMar>
          </w:tcPr>
          <w:p>
            <w:r>
              <w:rPr>
                <w:sz w:val="20"/>
                <w:szCs w:val="20"/>
              </w:rPr>
              <w:t xml:space="preserve">Menyelaraskan interpretasi rubrik dan mengurangi bias personal</w:t>
            </w:r>
          </w:p>
        </w:tc>
      </w:tr>
      <w:tr>
        <w:tc>
          <w:tcPr>
            <w:tcW w:type="dxa" w:w="2000"/>
            <w:shd w:fill="F3E4E9" w:val="clear"/>
            <w:tcMar>
              <w:top w:type="dxa" w:w="100"/>
              <w:left w:type="dxa" w:w="100"/>
              <w:bottom w:type="dxa" w:w="100"/>
              <w:right w:type="dxa" w:w="100"/>
            </w:tcMar>
          </w:tcPr>
          <w:p>
            <w:r>
              <w:rPr>
                <w:sz w:val="20"/>
                <w:szCs w:val="20"/>
              </w:rPr>
              <w:t xml:space="preserve">4. Konsensus dan Dokumentasi</w:t>
            </w:r>
          </w:p>
        </w:tc>
        <w:tc>
          <w:tcPr>
            <w:tcW w:type="dxa" w:w="4000"/>
            <w:shd w:fill="F3E4E9" w:val="clear"/>
            <w:tcMar>
              <w:top w:type="dxa" w:w="100"/>
              <w:left w:type="dxa" w:w="100"/>
              <w:bottom w:type="dxa" w:w="100"/>
              <w:right w:type="dxa" w:w="100"/>
            </w:tcMar>
          </w:tcPr>
          <w:p>
            <w:r>
              <w:rPr>
                <w:sz w:val="20"/>
                <w:szCs w:val="20"/>
              </w:rPr>
              <w:t xml:space="preserve">Menyepakati standar interpretasi bersama dan mendokumentasikan hasil kalibrasi sebagai rujukan penguji baru</w:t>
            </w:r>
          </w:p>
        </w:tc>
        <w:tc>
          <w:tcPr>
            <w:tcW w:type="dxa" w:w="3000"/>
            <w:shd w:fill="F3E4E9" w:val="clear"/>
            <w:tcMar>
              <w:top w:type="dxa" w:w="100"/>
              <w:left w:type="dxa" w:w="100"/>
              <w:bottom w:type="dxa" w:w="100"/>
              <w:right w:type="dxa" w:w="100"/>
            </w:tcMar>
          </w:tcPr>
          <w:p>
            <w:r>
              <w:rPr>
                <w:sz w:val="20"/>
                <w:szCs w:val="20"/>
              </w:rPr>
              <w:t xml:space="preserve">Menjaga konsistensi penilaian antar-siklus ujian dan antar-angkatan penguji</w:t>
            </w:r>
          </w:p>
        </w:tc>
      </w:tr>
    </w:tbl>
    <w:p>
      <w:pPr>
        <w:spacing w:after="160" w:line="300"/>
        <w:jc w:val="both"/>
      </w:pPr>
      <w:r>
        <w:rPr>
          <w:sz w:val="22"/>
          <w:szCs w:val="22"/>
        </w:rPr>
        <w:t xml:space="preserve">Pada domain penilaian yang bersifat lebih subjektif seperti kepekaan biopsikososial, disarankan penggunaan rubrik dengan deskriptor perilaku eksplisit pada setiap level skor (behaviorally anchored rating scale) alih-alih skala angka semata. Misalnya, alih-alih hanya mencantumkan skala 1–5 untuk 'komunikasi empatik', rubrik yang baik mencantumkan deskripsi konkret seperti 'skor 4: memberi jeda setelah menyampaikan berita signifikan, menggunakan bahasa nonverbal yang selaras (kontak mata, nada suara), dan mengonfirmasi pemahaman pasien sebelum melanjutkan' sehingga penguji memiliki acuan perilaku yang lebih konkret dan konsisten.</w:t>
      </w:r>
    </w:p>
    <w:p>
      <w:pPr>
        <w:pStyle w:val="Heading2"/>
        <w:spacing w:after="150" w:before="300"/>
      </w:pPr>
      <w:r>
        <w:rPr>
          <w:b/>
          <w:bCs/>
          <w:color w:val="7A1F3D"/>
          <w:sz w:val="28"/>
          <w:szCs w:val="28"/>
        </w:rPr>
        <w:t xml:space="preserve">6.3 Struktur Portofolio Pembelajaran Peserta Didik</w:t>
      </w:r>
    </w:p>
    <w:p>
      <w:pPr>
        <w:spacing w:after="160" w:line="300"/>
        <w:jc w:val="both"/>
      </w:pPr>
      <w:r>
        <w:rPr>
          <w:sz w:val="22"/>
          <w:szCs w:val="22"/>
        </w:rPr>
        <w:t xml:space="preserve">Portofolio pembelajaran merupakan kumpulan bukti terdokumentasi yang menggambarkan perjalanan pengembangan kompetensi peserta didik dari waktu ke waktu, khususnya penting untuk menangkap tingkat does dalam Miller's Pyramid yang sulit diukur melalui ujian titik-waktu tunggal seperti OSCE. Portofolio yang baik bagi peserta didik PPDS Obginsos idealnya memuat komponen-komponen berikut secara terstruktur.</w:t>
      </w:r>
    </w:p>
    <w:p>
      <w:pPr>
        <w:pStyle w:val="ListParagraph"/>
        <w:numPr>
          <w:ilvl w:val="0"/>
          <w:numId w:val="1"/>
        </w:numPr>
        <w:spacing w:after="80"/>
      </w:pPr>
      <w:r>
        <w:rPr>
          <w:sz w:val="22"/>
          <w:szCs w:val="22"/>
        </w:rPr>
        <w:t xml:space="preserve">Log kasus (case log): daftar kasus biopsikososial yang ditangani secara mandiri maupun dengan supervisi, mencakup ringkasan kasus, peran peserta didik, dan pembelajaran yang diperoleh.</w:t>
      </w:r>
    </w:p>
    <w:p>
      <w:pPr>
        <w:pStyle w:val="ListParagraph"/>
        <w:numPr>
          <w:ilvl w:val="0"/>
          <w:numId w:val="1"/>
        </w:numPr>
        <w:spacing w:after="80"/>
      </w:pPr>
      <w:r>
        <w:rPr>
          <w:sz w:val="22"/>
          <w:szCs w:val="22"/>
        </w:rPr>
        <w:t xml:space="preserve">Rekaman workplace-based assessment: hasil mini-CEX, DOPS (Direct Observation of Procedural Skills), dan catatan OMP dari berbagai pelatih sepanjang rotasi.</w:t>
      </w:r>
    </w:p>
    <w:p>
      <w:pPr>
        <w:pStyle w:val="ListParagraph"/>
        <w:numPr>
          <w:ilvl w:val="0"/>
          <w:numId w:val="1"/>
        </w:numPr>
        <w:spacing w:after="80"/>
      </w:pPr>
      <w:r>
        <w:rPr>
          <w:sz w:val="22"/>
          <w:szCs w:val="22"/>
        </w:rPr>
        <w:t xml:space="preserve">Rencana Belajar Individual (ILP) dan catatan tindak lanjutnya, sebagaimana dibahas pada Bab 5, termasuk bukti perbaikan performa dari waktu ke waktu.</w:t>
      </w:r>
    </w:p>
    <w:p>
      <w:pPr>
        <w:pStyle w:val="ListParagraph"/>
        <w:numPr>
          <w:ilvl w:val="0"/>
          <w:numId w:val="1"/>
        </w:numPr>
        <w:spacing w:after="80"/>
      </w:pPr>
      <w:r>
        <w:rPr>
          <w:sz w:val="22"/>
          <w:szCs w:val="22"/>
        </w:rPr>
        <w:t xml:space="preserve">Bukti kegiatan pengajaran sebagai near-peer teacher, termasuk hasil telaah microteaching dan umpan balik dari residen junior yang diajar (Bab 2).</w:t>
      </w:r>
    </w:p>
    <w:p>
      <w:pPr>
        <w:pStyle w:val="ListParagraph"/>
        <w:numPr>
          <w:ilvl w:val="0"/>
          <w:numId w:val="1"/>
        </w:numPr>
        <w:spacing w:after="80"/>
      </w:pPr>
      <w:r>
        <w:rPr>
          <w:sz w:val="22"/>
          <w:szCs w:val="22"/>
        </w:rPr>
        <w:t xml:space="preserve">Refleksi tertulis periodik (reflective journal) mengenai kasus yang menantang secara etik atau emosional, khususnya kasus kekerasan berbasis gender atau kematian perinatal.</w:t>
      </w:r>
    </w:p>
    <w:p>
      <w:pPr>
        <w:pStyle w:val="ListParagraph"/>
        <w:numPr>
          <w:ilvl w:val="0"/>
          <w:numId w:val="1"/>
        </w:numPr>
        <w:spacing w:after="80"/>
      </w:pPr>
      <w:r>
        <w:rPr>
          <w:sz w:val="22"/>
          <w:szCs w:val="22"/>
        </w:rPr>
        <w:t xml:space="preserve">Dokumentasi partisipasi dalam kegiatan penjaminan mutu program, termasuk keikutsertaan dalam sesi kalibrasi penilai.</w:t>
      </w:r>
    </w:p>
    <w:p>
      <w:pPr>
        <w:spacing w:after="160" w:line="300"/>
        <w:jc w:val="both"/>
      </w:pPr>
      <w:r>
        <w:rPr>
          <w:sz w:val="22"/>
          <w:szCs w:val="22"/>
        </w:rPr>
        <w:t xml:space="preserve">Portofolio idealnya ditelaah secara berkala (mis. setiap semester) oleh pembimbing akademik dalam sesi pertemuan terstruktur, bukan sekadar dikumpulkan sebagai syarat administratif menjelang kelulusan. Telaah berkala ini memungkinkan identifikasi dini terhadap peserta didik yang menunjukkan pola kesulitan berulang pada domain kompetensi tertentu, sehingga intervensi pendidikan dapat dilakukan lebih awal, sejalan dengan filosofi diagnostik Miller's Pyramid yang dibahas pada Bab 1.</w:t>
      </w:r>
    </w:p>
    <w:p>
      <w:pPr>
        <w:pStyle w:val="Heading2"/>
        <w:spacing w:after="150" w:before="300"/>
      </w:pPr>
      <w:r>
        <w:rPr>
          <w:b/>
          <w:bCs/>
          <w:color w:val="7A1F3D"/>
          <w:sz w:val="28"/>
          <w:szCs w:val="28"/>
        </w:rPr>
        <w:t xml:space="preserve">6.4 Integrasi ke dalam Sistem Penjaminan Mutu Program</w:t>
      </w:r>
    </w:p>
    <w:p>
      <w:pPr>
        <w:spacing w:after="160" w:line="300"/>
        <w:jc w:val="both"/>
      </w:pPr>
      <w:r>
        <w:rPr>
          <w:sz w:val="22"/>
          <w:szCs w:val="22"/>
        </w:rPr>
        <w:t xml:space="preserve">Pada tingkat program, hasil agregat kalibrasi penilai dan portofolio peserta didik seharusnya menjadi bagian dari siklus penjaminan mutu berkelanjutan (continuous quality improvement), bukan sekadar arsip individual. Indikator mutu pendidikan klinis yang relevan untuk dipantau program antara lain: tingkat konsistensi skor antar-penguji dari waktu ke waktu (dapat dipantau melalui statistik kesepakatan seperti koefisien kappa), proporsi peserta didik yang mencapai target kompetensi does sesuai jadwal kurikulum, jumlah dan kualitas sesi microteaching yang dilaksanakan setiap semester, serta tingkat kepuasan residen junior terhadap kualitas bimbingan near-peer teaching yang mereka terima.</w:t>
      </w:r>
    </w:p>
    <w:p>
      <w:pPr>
        <w:spacing w:after="160" w:line="300"/>
        <w:jc w:val="both"/>
      </w:pPr>
      <w:r>
        <w:rPr>
          <w:sz w:val="22"/>
          <w:szCs w:val="22"/>
        </w:rPr>
        <w:t xml:space="preserve">Dokumentasi menyeluruh atas proses ini—mulai dari blueprint OSCE (Bab 3), kalibrasi penilai, hingga portofolio individual—juga menjadi bukti kepatuhan program terhadap Standar Kompetensi Dokter Spesialis dan Subspesialis Bidang Obstetri dan Ginekologi sebagaimana diatur dalam Keputusan Ketua Konsil Kesehatan Indonesia Nomor HK.01.02/KKI/1318/2026, yang akan diperiksa pada proses akreditasi maupun reakreditasi program pendidikan oleh kolegium dan Konsil Kesehatan Indonesia.</w:t>
      </w:r>
    </w:p>
    <w:p>
      <w:pPr>
        <w:shd w:fill="7A1F3D" w:val="clear"/>
        <w:spacing w:after="0" w:before="200"/>
      </w:pPr>
      <w:r>
        <w:rPr>
          <w:b/>
          <w:bCs/>
          <w:color w:val="FFFFFF"/>
          <w:sz w:val="22"/>
          <w:szCs w:val="22"/>
        </w:rPr>
        <w:t xml:space="preserve">VIGNETTE KASUS (ILUSTRATIF, FIKTIF)</w:t>
      </w:r>
    </w:p>
    <w:p>
      <w:pPr>
        <w:shd w:fill="F7F3F1" w:val="clear"/>
        <w:spacing w:after="200"/>
        <w:ind w:left="200" w:right="200"/>
      </w:pPr>
      <w:r>
        <w:rPr>
          <w:color w:val="3A3A3A"/>
          <w:sz w:val="22"/>
          <w:szCs w:val="22"/>
        </w:rPr>
        <w:t xml:space="preserve">Pada evaluasi mutu tahunan, tim penjaminan mutu PPDS Obginsos menemukan bahwa satu penguji secara konsisten memberi skor global rating lebih tinggi 15% dibanding rerata penguji lain pada stasiun konseling kekerasan berbasis gender, meski checklist keselamatan yang digunakan identik. Setelah ditelusuri melalui rekaman video kalibrasi, ditemukan bahwa penguji tersebut menginterpretasikan 'nada nondirektif' secara lebih longgar dibanding kolega lainnya. Tim kemudian merevisi rubrik dengan menambahkan deskriptor perilaku eksplisit dan mewajibkan seluruh penguji baru mengikuti sesi kalibrasi video sebelum bertugas pada siklus ujian berikutnya.</w:t>
      </w:r>
    </w:p>
    <w:p>
      <w:pPr>
        <w:shd w:fill="7A1F3D" w:val="clear"/>
        <w:spacing w:after="0" w:before="200"/>
      </w:pPr>
      <w:r>
        <w:rPr>
          <w:b/>
          <w:bCs/>
          <w:color w:val="FFFFFF"/>
          <w:sz w:val="22"/>
          <w:szCs w:val="22"/>
        </w:rPr>
        <w:t xml:space="preserve">POIN KUNCI</w:t>
      </w:r>
    </w:p>
    <w:p>
      <w:pPr>
        <w:pStyle w:val="ListParagraph"/>
        <w:numPr>
          <w:ilvl w:val="0"/>
          <w:numId w:val="1"/>
        </w:numPr>
        <w:shd w:fill="F7F3F1" w:val="clear"/>
        <w:spacing w:after="60"/>
        <w:ind w:left="200" w:right="200"/>
      </w:pPr>
      <w:r>
        <w:rPr>
          <w:color w:val="3A3A3A"/>
          <w:sz w:val="22"/>
          <w:szCs w:val="22"/>
        </w:rPr>
        <w:t xml:space="preserve">Kalibrasi penilai bertujuan mengurangi variabilitas antar-penguji (hawk-dove effect) yang dapat mengancam keadilan penilaian, terutama pada domain biopsikososial yang cenderung lebih subjektif.</w:t>
      </w:r>
    </w:p>
    <w:p>
      <w:pPr>
        <w:pStyle w:val="ListParagraph"/>
        <w:numPr>
          <w:ilvl w:val="0"/>
          <w:numId w:val="1"/>
        </w:numPr>
        <w:shd w:fill="F7F3F1" w:val="clear"/>
        <w:spacing w:after="60"/>
        <w:ind w:left="200" w:right="200"/>
      </w:pPr>
      <w:r>
        <w:rPr>
          <w:color w:val="3A3A3A"/>
          <w:sz w:val="22"/>
          <w:szCs w:val="22"/>
        </w:rPr>
        <w:t xml:space="preserve">Sesi kalibrasi terstruktur meliputi sosialisasi rubrik, penilaian video bersama, diskusi diskrepansi, dan dokumentasi konsensus.</w:t>
      </w:r>
    </w:p>
    <w:p>
      <w:pPr>
        <w:pStyle w:val="ListParagraph"/>
        <w:numPr>
          <w:ilvl w:val="0"/>
          <w:numId w:val="1"/>
        </w:numPr>
        <w:shd w:fill="F7F3F1" w:val="clear"/>
        <w:spacing w:after="60"/>
        <w:ind w:left="200" w:right="200"/>
      </w:pPr>
      <w:r>
        <w:rPr>
          <w:color w:val="3A3A3A"/>
          <w:sz w:val="22"/>
          <w:szCs w:val="22"/>
        </w:rPr>
        <w:t xml:space="preserve">Rubrik dengan deskriptor perilaku eksplisit (behaviorally anchored rating scale) lebih efektif dibanding skala angka semata untuk domain penilaian subjektif.</w:t>
      </w:r>
    </w:p>
    <w:p>
      <w:pPr>
        <w:pStyle w:val="ListParagraph"/>
        <w:numPr>
          <w:ilvl w:val="0"/>
          <w:numId w:val="1"/>
        </w:numPr>
        <w:shd w:fill="F7F3F1" w:val="clear"/>
        <w:spacing w:after="60"/>
        <w:ind w:left="200" w:right="200"/>
      </w:pPr>
      <w:r>
        <w:rPr>
          <w:color w:val="3A3A3A"/>
          <w:sz w:val="22"/>
          <w:szCs w:val="22"/>
        </w:rPr>
        <w:t xml:space="preserve">Portofolio pembelajaran menangkap tingkat does dalam Miller's Pyramid melalui log kasus, workplace-based assessment, ILP, bukti mengajar, dan refleksi tertulis.</w:t>
      </w:r>
    </w:p>
    <w:p>
      <w:pPr>
        <w:pStyle w:val="ListParagraph"/>
        <w:numPr>
          <w:ilvl w:val="0"/>
          <w:numId w:val="1"/>
        </w:numPr>
        <w:shd w:fill="F7F3F1" w:val="clear"/>
        <w:spacing w:after="60"/>
        <w:ind w:left="200" w:right="200"/>
      </w:pPr>
      <w:r>
        <w:rPr>
          <w:color w:val="3A3A3A"/>
          <w:sz w:val="22"/>
          <w:szCs w:val="22"/>
        </w:rPr>
        <w:t xml:space="preserve">Telaah portofolio berkala memungkinkan identifikasi dini kesulitan kompetensi peserta didik untuk intervensi pendidikan yang tepat waktu.</w:t>
      </w:r>
    </w:p>
    <w:p>
      <w:pPr>
        <w:pStyle w:val="ListParagraph"/>
        <w:numPr>
          <w:ilvl w:val="0"/>
          <w:numId w:val="1"/>
        </w:numPr>
        <w:shd w:fill="F7F3F1" w:val="clear"/>
        <w:spacing w:after="200"/>
        <w:ind w:left="200" w:right="200"/>
      </w:pPr>
      <w:r>
        <w:rPr>
          <w:color w:val="3A3A3A"/>
          <w:sz w:val="22"/>
          <w:szCs w:val="22"/>
        </w:rPr>
        <w:t xml:space="preserve">Dokumentasi kalibrasi dan portofolio menjadi bukti kepatuhan program terhadap standar kompetensi nasional dan mendukung proses akreditasi.</w:t>
      </w:r>
    </w:p>
    <w:p>
      <w:pPr>
        <w:pStyle w:val="Heading2"/>
        <w:spacing w:after="150" w:before="300"/>
      </w:pPr>
      <w:r>
        <w:rPr>
          <w:b/>
          <w:bCs/>
          <w:color w:val="7A1F3D"/>
          <w:sz w:val="28"/>
          <w:szCs w:val="28"/>
        </w:rPr>
        <w:t xml:space="preserve">Referensi Bab 6</w:t>
      </w:r>
    </w:p>
    <w:p>
      <w:pPr>
        <w:spacing w:after="100"/>
        <w:ind w:left="360" w:hanging="360"/>
      </w:pPr>
      <w:r>
        <w:rPr>
          <w:sz w:val="20"/>
          <w:szCs w:val="20"/>
        </w:rPr>
        <w:t xml:space="preserve">1. Williams RG, Klamen DA, McGaghie WC. Cognitive, social and environmental sources of bias in clinical performance ratings. Teach Learn Med. 2003;15(4):270–292.</w:t>
      </w:r>
    </w:p>
    <w:p>
      <w:pPr>
        <w:spacing w:after="100"/>
        <w:ind w:left="360" w:hanging="360"/>
      </w:pPr>
      <w:r>
        <w:rPr>
          <w:sz w:val="20"/>
          <w:szCs w:val="20"/>
        </w:rPr>
        <w:t xml:space="preserve">2. Miller GE. The Assessment of Clinical Skills/Competence/Performance. Acad Med. 1990;65(9):S63–S67.</w:t>
      </w:r>
    </w:p>
    <w:p>
      <w:pPr>
        <w:spacing w:after="100"/>
        <w:ind w:left="360" w:hanging="360"/>
      </w:pPr>
      <w:r>
        <w:rPr>
          <w:sz w:val="20"/>
          <w:szCs w:val="20"/>
        </w:rPr>
        <w:t xml:space="preserve">3. Van der Vleuten CPM, Schuwirth LWT. Assessing professional competence: from methods to a programme. Med Educ. 2005;39(3):309–317.</w:t>
      </w:r>
    </w:p>
    <w:p>
      <w:pPr>
        <w:spacing w:after="100"/>
        <w:ind w:left="360" w:hanging="360"/>
      </w:pPr>
      <w:r>
        <w:rPr>
          <w:sz w:val="20"/>
          <w:szCs w:val="20"/>
        </w:rPr>
        <w:t xml:space="preserve">4. Konsil Kesehatan Indonesia. Keputusan Ketua Konsil Kesehatan Indonesia Nomor HK.01.02/KKI/1318/2026 tentang Standar Kompetensi Dokter Spesialis dan Subspesialis Bidang Obstetri dan Ginekologi.</w:t>
      </w:r>
    </w:p>
    <w:p>
      <w:pPr>
        <w:spacing w:after="100"/>
        <w:ind w:left="360" w:hanging="360"/>
      </w:pPr>
      <w:r>
        <w:rPr>
          <w:sz w:val="20"/>
          <w:szCs w:val="20"/>
        </w:rPr>
        <w:t xml:space="preserve">5. Perkumpulan Obstetri dan Ginekologi Indonesia (POGI)/Kolegium Obstetri dan Ginekologi Indonesia. Kurikulum dan ketentuan Program Pendidikan Dokter Subspesialis Obstetri Ginekologi Sosial.</w:t>
      </w:r>
    </w:p>
    <w:p>
      <w:pPr>
        <w:pStyle w:val="Heading1"/>
        <w:spacing w:after="200" w:before="400"/>
      </w:pPr>
      <w:r>
        <w:rPr>
          <w:b/>
          <w:bCs/>
          <w:color w:val="7A1F3D"/>
          <w:sz w:val="36"/>
          <w:szCs w:val="36"/>
        </w:rPr>
        <w:t xml:space="preserve">GLOSARIUM</w:t>
      </w:r>
    </w:p>
    <w:p>
      <w:pPr>
        <w:spacing w:after="140"/>
      </w:pPr>
      <w:r>
        <w:rPr>
          <w:b/>
          <w:bCs/>
          <w:color w:val="7A1F3D"/>
          <w:sz w:val="22"/>
          <w:szCs w:val="22"/>
        </w:rPr>
        <w:t xml:space="preserve">ACGME Milestones Project — </w:t>
      </w:r>
      <w:r>
        <w:rPr>
          <w:sz w:val="22"/>
          <w:szCs w:val="22"/>
        </w:rPr>
        <w:t xml:space="preserve">Kerangka kompetensi residensi Obstetri dan Ginekologi yang diterbitkan ACGME, ABOG, dan ACOG pada 2014, terdiri atas 28 sumbu kompetensi berjenjang lima tingkat pencapaian.</w:t>
      </w:r>
    </w:p>
    <w:p>
      <w:pPr>
        <w:spacing w:after="140"/>
      </w:pPr>
      <w:r>
        <w:rPr>
          <w:b/>
          <w:bCs/>
          <w:color w:val="7A1F3D"/>
          <w:sz w:val="22"/>
          <w:szCs w:val="22"/>
        </w:rPr>
        <w:t xml:space="preserve">Andragogi — </w:t>
      </w:r>
      <w:r>
        <w:rPr>
          <w:sz w:val="22"/>
          <w:szCs w:val="22"/>
        </w:rPr>
        <w:t xml:space="preserve">Ilmu dan seni membantu orang dewasa belajar, dikembangkan oleh Malcolm Knowles, menekankan kemandirian, relevansi, dan pengalaman peserta didik.</w:t>
      </w:r>
    </w:p>
    <w:p>
      <w:pPr>
        <w:spacing w:after="140"/>
      </w:pPr>
      <w:r>
        <w:rPr>
          <w:b/>
          <w:bCs/>
          <w:color w:val="7A1F3D"/>
          <w:sz w:val="22"/>
          <w:szCs w:val="22"/>
        </w:rPr>
        <w:t xml:space="preserve">Behaviorally Anchored Rating Scale — </w:t>
      </w:r>
      <w:r>
        <w:rPr>
          <w:sz w:val="22"/>
          <w:szCs w:val="22"/>
        </w:rPr>
        <w:t xml:space="preserve">Skala penilaian yang setiap levelnya disertai deskripsi perilaku konkret, digunakan untuk mengurangi subjektivitas penilaian kompetensi.</w:t>
      </w:r>
    </w:p>
    <w:p>
      <w:pPr>
        <w:spacing w:after="140"/>
      </w:pPr>
      <w:r>
        <w:rPr>
          <w:b/>
          <w:bCs/>
          <w:color w:val="7A1F3D"/>
          <w:sz w:val="22"/>
          <w:szCs w:val="22"/>
        </w:rPr>
        <w:t xml:space="preserve">Blueprint (Ujian) — </w:t>
      </w:r>
      <w:r>
        <w:rPr>
          <w:sz w:val="22"/>
          <w:szCs w:val="22"/>
        </w:rPr>
        <w:t xml:space="preserve">Peta sistematis yang menautkan domain kompetensi dengan stasiun atau butir ujian untuk menjamin validitas cakupan konten.</w:t>
      </w:r>
    </w:p>
    <w:p>
      <w:pPr>
        <w:spacing w:after="140"/>
      </w:pPr>
      <w:r>
        <w:rPr>
          <w:b/>
          <w:bCs/>
          <w:color w:val="7A1F3D"/>
          <w:sz w:val="22"/>
          <w:szCs w:val="22"/>
        </w:rPr>
        <w:t xml:space="preserve">CanMEDS — </w:t>
      </w:r>
      <w:r>
        <w:rPr>
          <w:sz w:val="22"/>
          <w:szCs w:val="22"/>
        </w:rPr>
        <w:t xml:space="preserve">Kerangka kompetensi dokter berbasis tujuh peran (Medical Expert, Communicator, Collaborator, Leader, Health Advocate, Scholar, Professional) yang diterbitkan Royal College of Physicians and Surgeons of Canada; edisi 2015 masih berlaku hingga pembaruan yang direncanakan rilis musim gugur 2026.</w:t>
      </w:r>
    </w:p>
    <w:p>
      <w:pPr>
        <w:spacing w:after="140"/>
      </w:pPr>
      <w:r>
        <w:rPr>
          <w:b/>
          <w:bCs/>
          <w:color w:val="7A1F3D"/>
          <w:sz w:val="22"/>
          <w:szCs w:val="22"/>
        </w:rPr>
        <w:t xml:space="preserve">Competency-Based Medical Education (CBME) — </w:t>
      </w:r>
      <w:r>
        <w:rPr>
          <w:sz w:val="22"/>
          <w:szCs w:val="22"/>
        </w:rPr>
        <w:t xml:space="preserve">Pendekatan pendidikan kedokteran yang berorientasi pada capaian kompetensi terukur peserta didik, bukan semata durasi waktu pendidikan.</w:t>
      </w:r>
    </w:p>
    <w:p>
      <w:pPr>
        <w:spacing w:after="140"/>
      </w:pPr>
      <w:r>
        <w:rPr>
          <w:b/>
          <w:bCs/>
          <w:color w:val="7A1F3D"/>
          <w:sz w:val="22"/>
          <w:szCs w:val="22"/>
        </w:rPr>
        <w:t xml:space="preserve">Comprehension (Peyton) — </w:t>
      </w:r>
      <w:r>
        <w:rPr>
          <w:sz w:val="22"/>
          <w:szCs w:val="22"/>
        </w:rPr>
        <w:t xml:space="preserve">Langkah ketiga Peyton's 4-Step, peserta didik menginstruksikan pelatih secara verbal untuk memverifikasi pemahaman sebelum eksekusi mandiri.</w:t>
      </w:r>
    </w:p>
    <w:p>
      <w:pPr>
        <w:spacing w:after="140"/>
      </w:pPr>
      <w:r>
        <w:rPr>
          <w:b/>
          <w:bCs/>
          <w:color w:val="7A1F3D"/>
          <w:sz w:val="22"/>
          <w:szCs w:val="22"/>
        </w:rPr>
        <w:t xml:space="preserve">Deconstruction (Peyton) — </w:t>
      </w:r>
      <w:r>
        <w:rPr>
          <w:sz w:val="22"/>
          <w:szCs w:val="22"/>
        </w:rPr>
        <w:t xml:space="preserve">Langkah kedua Peyton's 4-Step, pelatih mengulang demonstrasi sambil menguraikan setiap sub-langkah dan rasionalnya.</w:t>
      </w:r>
    </w:p>
    <w:p>
      <w:pPr>
        <w:spacing w:after="140"/>
      </w:pPr>
      <w:r>
        <w:rPr>
          <w:b/>
          <w:bCs/>
          <w:color w:val="7A1F3D"/>
          <w:sz w:val="22"/>
          <w:szCs w:val="22"/>
        </w:rPr>
        <w:t xml:space="preserve">Demonstration (Peyton) — </w:t>
      </w:r>
      <w:r>
        <w:rPr>
          <w:sz w:val="22"/>
          <w:szCs w:val="22"/>
        </w:rPr>
        <w:t xml:space="preserve">Langkah pertama Peyton's 4-Step, pelatih melakukan seluruh prosedur pada kecepatan normal tanpa narasi berlebihan.</w:t>
      </w:r>
    </w:p>
    <w:p>
      <w:pPr>
        <w:spacing w:after="140"/>
      </w:pPr>
      <w:r>
        <w:rPr>
          <w:b/>
          <w:bCs/>
          <w:color w:val="7A1F3D"/>
          <w:sz w:val="22"/>
          <w:szCs w:val="22"/>
        </w:rPr>
        <w:t xml:space="preserve">Global Rating Scale — </w:t>
      </w:r>
      <w:r>
        <w:rPr>
          <w:sz w:val="22"/>
          <w:szCs w:val="22"/>
        </w:rPr>
        <w:t xml:space="preserve">Instrumen penilaian holistik terhadap keseluruhan performa menggunakan skala numerik, lebih sensitif terhadap keterampilan kompleks dibanding checklist.</w:t>
      </w:r>
    </w:p>
    <w:p>
      <w:pPr>
        <w:spacing w:after="140"/>
      </w:pPr>
      <w:r>
        <w:rPr>
          <w:b/>
          <w:bCs/>
          <w:color w:val="7A1F3D"/>
          <w:sz w:val="22"/>
          <w:szCs w:val="22"/>
        </w:rPr>
        <w:t xml:space="preserve">Individual Learning Plan (ILP) — </w:t>
      </w:r>
      <w:r>
        <w:rPr>
          <w:sz w:val="22"/>
          <w:szCs w:val="22"/>
        </w:rPr>
        <w:t xml:space="preserve">Rencana belajar individual yang mendokumentasikan area kompetensi yang perlu ditingkatkan, target terukur, strategi, dan indikator keberhasilan.</w:t>
      </w:r>
    </w:p>
    <w:p>
      <w:pPr>
        <w:spacing w:after="140"/>
      </w:pPr>
      <w:r>
        <w:rPr>
          <w:b/>
          <w:bCs/>
          <w:color w:val="7A1F3D"/>
          <w:sz w:val="22"/>
          <w:szCs w:val="22"/>
        </w:rPr>
        <w:t xml:space="preserve">Kalibrasi Penilai (Rater Calibration) — </w:t>
      </w:r>
      <w:r>
        <w:rPr>
          <w:sz w:val="22"/>
          <w:szCs w:val="22"/>
        </w:rPr>
        <w:t xml:space="preserve">Proses penyelarasan interpretasi rubrik antar-penguji untuk mengurangi variabilitas skor yang tidak berkaitan dengan performa peserta didik sesungguhnya.</w:t>
      </w:r>
    </w:p>
    <w:p>
      <w:pPr>
        <w:spacing w:after="140"/>
      </w:pPr>
      <w:r>
        <w:rPr>
          <w:b/>
          <w:bCs/>
          <w:color w:val="7A1F3D"/>
          <w:sz w:val="22"/>
          <w:szCs w:val="22"/>
        </w:rPr>
        <w:t xml:space="preserve">Microteaching — </w:t>
      </w:r>
      <w:r>
        <w:rPr>
          <w:sz w:val="22"/>
          <w:szCs w:val="22"/>
        </w:rPr>
        <w:t xml:space="preserve">Teknik pelatihan mengajar berskala kecil dan terkontrol melalui siklus perencanaan, pengajaran singkat, telaah, dan pengulangan.</w:t>
      </w:r>
    </w:p>
    <w:p>
      <w:pPr>
        <w:spacing w:after="140"/>
      </w:pPr>
      <w:r>
        <w:rPr>
          <w:b/>
          <w:bCs/>
          <w:color w:val="7A1F3D"/>
          <w:sz w:val="22"/>
          <w:szCs w:val="22"/>
        </w:rPr>
        <w:t xml:space="preserve">Miller's Pyramid — </w:t>
      </w:r>
      <w:r>
        <w:rPr>
          <w:sz w:val="22"/>
          <w:szCs w:val="22"/>
        </w:rPr>
        <w:t xml:space="preserve">Kerangka hierarkis empat tingkat (knows, knows how, shows how, does) untuk menggambarkan dan menilai kompetensi klinis.</w:t>
      </w:r>
    </w:p>
    <w:p>
      <w:pPr>
        <w:spacing w:after="140"/>
      </w:pPr>
      <w:r>
        <w:rPr>
          <w:b/>
          <w:bCs/>
          <w:color w:val="7A1F3D"/>
          <w:sz w:val="22"/>
          <w:szCs w:val="22"/>
        </w:rPr>
        <w:t xml:space="preserve">Mini-CEX — </w:t>
      </w:r>
      <w:r>
        <w:rPr>
          <w:sz w:val="22"/>
          <w:szCs w:val="22"/>
        </w:rPr>
        <w:t xml:space="preserve">Mini Clinical Evaluation Exercise, metode workplace-based assessment untuk menilai keterampilan klinis melalui observasi langsung interaksi singkat dengan pasien.</w:t>
      </w:r>
    </w:p>
    <w:p>
      <w:pPr>
        <w:spacing w:after="140"/>
      </w:pPr>
      <w:r>
        <w:rPr>
          <w:b/>
          <w:bCs/>
          <w:color w:val="7A1F3D"/>
          <w:sz w:val="22"/>
          <w:szCs w:val="22"/>
        </w:rPr>
        <w:t xml:space="preserve">Model Pendleton — </w:t>
      </w:r>
      <w:r>
        <w:rPr>
          <w:sz w:val="22"/>
          <w:szCs w:val="22"/>
        </w:rPr>
        <w:t xml:space="preserve">Model umpan balik terstruktur dengan urutan tetap: peserta didik menyampaikan hal positif dan area perbaikan terlebih dahulu sebelum pelatih menambahkan.</w:t>
      </w:r>
    </w:p>
    <w:p>
      <w:pPr>
        <w:spacing w:after="140"/>
      </w:pPr>
      <w:r>
        <w:rPr>
          <w:b/>
          <w:bCs/>
          <w:color w:val="7A1F3D"/>
          <w:sz w:val="22"/>
          <w:szCs w:val="22"/>
        </w:rPr>
        <w:t xml:space="preserve">Model SBI (Situation-Behaviour-Impact) — </w:t>
      </w:r>
      <w:r>
        <w:rPr>
          <w:sz w:val="22"/>
          <w:szCs w:val="22"/>
        </w:rPr>
        <w:t xml:space="preserve">Model umpan balik ringkas yang mendeskripsikan konteks, perilaku objektif, dan dampaknya tanpa bahasa menghakimi.</w:t>
      </w:r>
    </w:p>
    <w:p>
      <w:pPr>
        <w:spacing w:after="140"/>
      </w:pPr>
      <w:r>
        <w:rPr>
          <w:b/>
          <w:bCs/>
          <w:color w:val="7A1F3D"/>
          <w:sz w:val="22"/>
          <w:szCs w:val="22"/>
        </w:rPr>
        <w:t xml:space="preserve">Near-Peer Teaching — </w:t>
      </w:r>
      <w:r>
        <w:rPr>
          <w:sz w:val="22"/>
          <w:szCs w:val="22"/>
        </w:rPr>
        <w:t xml:space="preserve">Pengajaran yang dilakukan oleh peserta didik pada jenjang lebih senior kepada peserta didik atau residen pada jenjang lebih junior.</w:t>
      </w:r>
    </w:p>
    <w:p>
      <w:pPr>
        <w:spacing w:after="140"/>
      </w:pPr>
      <w:r>
        <w:rPr>
          <w:b/>
          <w:bCs/>
          <w:color w:val="7A1F3D"/>
          <w:sz w:val="22"/>
          <w:szCs w:val="22"/>
        </w:rPr>
        <w:t xml:space="preserve">One-Minute Preceptor (OMP) — </w:t>
      </w:r>
      <w:r>
        <w:rPr>
          <w:sz w:val="22"/>
          <w:szCs w:val="22"/>
        </w:rPr>
        <w:t xml:space="preserve">Model supervisi klinis lima langkah untuk memberikan umpan balik bermakna dalam waktu singkat di tengah beban pelayanan padat.</w:t>
      </w:r>
    </w:p>
    <w:p>
      <w:pPr>
        <w:spacing w:after="140"/>
      </w:pPr>
      <w:r>
        <w:rPr>
          <w:b/>
          <w:bCs/>
          <w:color w:val="7A1F3D"/>
          <w:sz w:val="22"/>
          <w:szCs w:val="22"/>
        </w:rPr>
        <w:t xml:space="preserve">Performance (Peyton) — </w:t>
      </w:r>
      <w:r>
        <w:rPr>
          <w:sz w:val="22"/>
          <w:szCs w:val="22"/>
        </w:rPr>
        <w:t xml:space="preserve">Langkah keempat Peyton's 4-Step, peserta didik melakukan prosedur secara mandiri sambil menyebutkan setiap langkah (talk-through).</w:t>
      </w:r>
    </w:p>
    <w:p>
      <w:pPr>
        <w:spacing w:after="140"/>
      </w:pPr>
      <w:r>
        <w:rPr>
          <w:b/>
          <w:bCs/>
          <w:color w:val="7A1F3D"/>
          <w:sz w:val="22"/>
          <w:szCs w:val="22"/>
        </w:rPr>
        <w:t xml:space="preserve">Peyton's 4-Step — </w:t>
      </w:r>
      <w:r>
        <w:rPr>
          <w:sz w:val="22"/>
          <w:szCs w:val="22"/>
        </w:rPr>
        <w:t xml:space="preserve">Model pengajaran keterampilan prosedural empat langkah: demonstration, deconstruction, comprehension, performance.</w:t>
      </w:r>
    </w:p>
    <w:p>
      <w:pPr>
        <w:spacing w:after="140"/>
      </w:pPr>
      <w:r>
        <w:rPr>
          <w:b/>
          <w:bCs/>
          <w:color w:val="7A1F3D"/>
          <w:sz w:val="22"/>
          <w:szCs w:val="22"/>
        </w:rPr>
        <w:t xml:space="preserve">Portofolio Pembelajaran — </w:t>
      </w:r>
      <w:r>
        <w:rPr>
          <w:sz w:val="22"/>
          <w:szCs w:val="22"/>
        </w:rPr>
        <w:t xml:space="preserve">Kumpulan bukti terdokumentasi yang menggambarkan perjalanan pengembangan kompetensi peserta didik dari waktu ke waktu.</w:t>
      </w:r>
    </w:p>
    <w:p>
      <w:pPr>
        <w:spacing w:after="140"/>
      </w:pPr>
      <w:r>
        <w:rPr>
          <w:b/>
          <w:bCs/>
          <w:color w:val="7A1F3D"/>
          <w:sz w:val="22"/>
          <w:szCs w:val="22"/>
        </w:rPr>
        <w:t xml:space="preserve">OSCE (Objective Structured Clinical Examination) — </w:t>
      </w:r>
      <w:r>
        <w:rPr>
          <w:sz w:val="22"/>
          <w:szCs w:val="22"/>
        </w:rPr>
        <w:t xml:space="preserve">Metode ujian klinis terstruktur menggunakan rangkaian stasiun untuk menilai kompetensi tingkat shows how.</w:t>
      </w:r>
    </w:p>
    <w:p>
      <w:pPr>
        <w:spacing w:after="140"/>
      </w:pPr>
      <w:r>
        <w:rPr>
          <w:b/>
          <w:bCs/>
          <w:color w:val="7A1F3D"/>
          <w:sz w:val="22"/>
          <w:szCs w:val="22"/>
        </w:rPr>
        <w:t xml:space="preserve">Skill Station — </w:t>
      </w:r>
      <w:r>
        <w:rPr>
          <w:sz w:val="22"/>
          <w:szCs w:val="22"/>
        </w:rPr>
        <w:t xml:space="preserve">Stasiun ujian OSCE yang dirancang untuk menilai keterampilan klinis spesifik menggunakan skenario, pasien standar, dan rubrik penilaian.</w:t>
      </w:r>
    </w:p>
    <w:p>
      <w:pPr>
        <w:spacing w:after="140"/>
      </w:pPr>
      <w:r>
        <w:rPr>
          <w:b/>
          <w:bCs/>
          <w:color w:val="7A1F3D"/>
          <w:sz w:val="22"/>
          <w:szCs w:val="22"/>
        </w:rPr>
        <w:t xml:space="preserve">Talk-Through — </w:t>
      </w:r>
      <w:r>
        <w:rPr>
          <w:sz w:val="22"/>
          <w:szCs w:val="22"/>
        </w:rPr>
        <w:t xml:space="preserve">Teknik menyuarakan setiap langkah prosedural sambil melakukannya, digunakan pada langkah performance Peyton's 4-Step.</w:t>
      </w:r>
    </w:p>
    <w:p>
      <w:pPr>
        <w:spacing w:after="140"/>
      </w:pPr>
      <w:r>
        <w:rPr>
          <w:b/>
          <w:bCs/>
          <w:color w:val="7A1F3D"/>
          <w:sz w:val="22"/>
          <w:szCs w:val="22"/>
        </w:rPr>
        <w:t xml:space="preserve">Workplace-Based Assessment — </w:t>
      </w:r>
      <w:r>
        <w:rPr>
          <w:sz w:val="22"/>
          <w:szCs w:val="22"/>
        </w:rPr>
        <w:t xml:space="preserve">Penilaian kompetensi yang dilakukan pada lingkungan kerja klinis otentik, mengukur tingkat does dalam Miller's Pyramid.</w:t>
      </w:r>
    </w:p>
    <w:p>
      <w:r>
        <w:br w:type="page"/>
      </w:r>
    </w:p>
    <w:p>
      <w:pPr>
        <w:pStyle w:val="Heading1"/>
        <w:spacing w:after="200" w:before="400"/>
      </w:pPr>
      <w:r>
        <w:rPr>
          <w:b/>
          <w:bCs/>
          <w:color w:val="7A1F3D"/>
          <w:sz w:val="36"/>
          <w:szCs w:val="36"/>
        </w:rPr>
        <w:t xml:space="preserve">DAFTAR PUSTAKA GABUNGAN</w:t>
      </w:r>
    </w:p>
    <w:p>
      <w:pPr>
        <w:spacing w:after="160" w:line="300"/>
        <w:jc w:val="both"/>
      </w:pPr>
      <w:r>
        <w:rPr>
          <w:sz w:val="22"/>
          <w:szCs w:val="22"/>
        </w:rPr>
        <w:t xml:space="preserve">Daftar berikut menggabungkan Daftar Pustaka Inti Lintas Buku Seri Obstetri Ginekologi Sosial dengan Daftar Pustaka Khusus Buku 12, disusun menurut gaya sitasi Vancouver bernomor.</w:t>
      </w:r>
    </w:p>
    <w:p>
      <w:pPr>
        <w:spacing w:after="100"/>
        <w:ind w:left="360" w:hanging="360"/>
      </w:pPr>
      <w:r>
        <w:rPr>
          <w:sz w:val="20"/>
          <w:szCs w:val="20"/>
        </w:rPr>
        <w:t xml:space="preserve">1. Konsil Kesehatan Indonesia. Keputusan Ketua Konsil Kesehatan Indonesia Nomor HK.01.02/KKI/1318/2026 tentang Standar Kompetensi Dokter Spesialis dan Subspesialis Bidang Obstetri dan Ginekologi.</w:t>
      </w:r>
    </w:p>
    <w:p>
      <w:pPr>
        <w:spacing w:after="100"/>
        <w:ind w:left="360" w:hanging="360"/>
      </w:pPr>
      <w:r>
        <w:rPr>
          <w:sz w:val="20"/>
          <w:szCs w:val="20"/>
        </w:rPr>
        <w:t xml:space="preserve">2. Republik Indonesia. Undang-Undang Nomor 17 Tahun 2023 tentang Kesehatan.</w:t>
      </w:r>
    </w:p>
    <w:p>
      <w:pPr>
        <w:spacing w:after="100"/>
        <w:ind w:left="360" w:hanging="360"/>
      </w:pPr>
      <w:r>
        <w:rPr>
          <w:sz w:val="20"/>
          <w:szCs w:val="20"/>
        </w:rPr>
        <w:t xml:space="preserve">3. Republik Indonesia. Peraturan Pemerintah Nomor 28 Tahun 2024 tentang Peraturan Pelaksanaan Undang-Undang Nomor 17 Tahun 2023 tentang Kesehatan.</w:t>
      </w:r>
    </w:p>
    <w:p>
      <w:pPr>
        <w:spacing w:after="100"/>
        <w:ind w:left="360" w:hanging="360"/>
      </w:pPr>
      <w:r>
        <w:rPr>
          <w:sz w:val="20"/>
          <w:szCs w:val="20"/>
        </w:rPr>
        <w:t xml:space="preserve">4. Cunningham FG, Leveno KJ, Dashe JS, et al., editors. Williams Obstetrics. 26th ed. New York: McGraw Hill; 2022.</w:t>
      </w:r>
    </w:p>
    <w:p>
      <w:pPr>
        <w:spacing w:after="100"/>
        <w:ind w:left="360" w:hanging="360"/>
      </w:pPr>
      <w:r>
        <w:rPr>
          <w:sz w:val="20"/>
          <w:szCs w:val="20"/>
        </w:rPr>
        <w:t xml:space="preserve">5. Berek JS, editor. Berek &amp; Novak's Gynecology. 17th ed. Philadelphia: Wolters Kluwer; 2023.</w:t>
      </w:r>
    </w:p>
    <w:p>
      <w:pPr>
        <w:spacing w:after="100"/>
        <w:ind w:left="360" w:hanging="360"/>
      </w:pPr>
      <w:r>
        <w:rPr>
          <w:sz w:val="20"/>
          <w:szCs w:val="20"/>
        </w:rPr>
        <w:t xml:space="preserve">6. World Health Organization (WHO). Abortion Care Guideline. Geneva: WHO; 2022. Tersedia di: https://www.ncbi.nlm.nih.gov/books/NBK578942/</w:t>
      </w:r>
    </w:p>
    <w:p>
      <w:pPr>
        <w:spacing w:after="100"/>
        <w:ind w:left="360" w:hanging="360"/>
      </w:pPr>
      <w:r>
        <w:rPr>
          <w:sz w:val="20"/>
          <w:szCs w:val="20"/>
        </w:rPr>
        <w:t xml:space="preserve">7. World Health Organization (WHO). Responding to Intimate Partner Violence and Sexual Violence Against Women: WHO Clinical and Policy Guidelines. Geneva: WHO; 2013. Tersedia di: https://www.ncbi.nlm.nih.gov/books/NBK174259/</w:t>
      </w:r>
    </w:p>
    <w:p>
      <w:pPr>
        <w:spacing w:after="100"/>
        <w:ind w:left="360" w:hanging="360"/>
      </w:pPr>
      <w:r>
        <w:rPr>
          <w:sz w:val="20"/>
          <w:szCs w:val="20"/>
        </w:rPr>
        <w:t xml:space="preserve">8. World Health Organization (WHO). Health Care for Women Subjected to Intimate Partner Violence or Sexual Violence: A Clinical Handbook. Geneva: WHO; 2014. Tersedia di: https://www.who.int/publications/i/item/WHO-RHR-14.26</w:t>
      </w:r>
    </w:p>
    <w:p>
      <w:pPr>
        <w:spacing w:after="100"/>
        <w:ind w:left="360" w:hanging="360"/>
      </w:pPr>
      <w:r>
        <w:rPr>
          <w:sz w:val="20"/>
          <w:szCs w:val="20"/>
        </w:rPr>
        <w:t xml:space="preserve">9. Inter-Agency Working Group (IAWG) on Reproductive Health in Crises. Minimum Initial Service Package (MISP) for Sexual and Reproductive Health in Crisis Situations: Distance Learning Module. Tersedia di: https://iawg.net/resources/minimum-initial-service-package-distance-learning-module/</w:t>
      </w:r>
    </w:p>
    <w:p>
      <w:pPr>
        <w:spacing w:after="100"/>
        <w:ind w:left="360" w:hanging="360"/>
      </w:pPr>
      <w:r>
        <w:rPr>
          <w:sz w:val="20"/>
          <w:szCs w:val="20"/>
        </w:rPr>
        <w:t xml:space="preserve">10. International Federation of Gynecology and Obstetrics (FIGO). FIGO Statements and Guidelines on Family Planning, Contraception, and Safe Motherhood.</w:t>
      </w:r>
    </w:p>
    <w:p>
      <w:pPr>
        <w:spacing w:after="100"/>
        <w:ind w:left="360" w:hanging="360"/>
      </w:pPr>
      <w:r>
        <w:rPr>
          <w:sz w:val="20"/>
          <w:szCs w:val="20"/>
        </w:rPr>
        <w:t xml:space="preserve">11. Republik Indonesia. Undang-Undang Nomor 12 Tahun 2022 tentang Tindak Pidana Kekerasan Seksual (UU TPKS). Tersedia di: https://id.wikisource.org/wiki/Undang-Undang_Republik_Indonesia_Nomor_12_Tahun_2022 (naskah resmi juga dapat diakses melalui https://peraturan.bpk.go.id/Details/207944/uu-no-12-tahun-2022).</w:t>
      </w:r>
    </w:p>
    <w:p>
      <w:pPr>
        <w:spacing w:after="100"/>
        <w:ind w:left="360" w:hanging="360"/>
      </w:pPr>
      <w:r>
        <w:rPr>
          <w:sz w:val="20"/>
          <w:szCs w:val="20"/>
        </w:rPr>
        <w:t xml:space="preserve">12. Republik Indonesia. Undang-Undang Nomor 23 Tahun 2004 tentang Penghapusan Kekerasan Dalam Rumah Tangga (UU PKDRT).</w:t>
      </w:r>
    </w:p>
    <w:p>
      <w:pPr>
        <w:spacing w:after="100"/>
        <w:ind w:left="360" w:hanging="360"/>
      </w:pPr>
      <w:r>
        <w:rPr>
          <w:sz w:val="20"/>
          <w:szCs w:val="20"/>
        </w:rPr>
        <w:t xml:space="preserve">13. Kementerian Kesehatan Republik Indonesia. Pedoman Pelayanan Kesehatan Reproduksi Terpadu di Tingkat Pelayanan Kesehatan Dasar dan Rujukan.</w:t>
      </w:r>
    </w:p>
    <w:p>
      <w:pPr>
        <w:spacing w:after="100"/>
        <w:ind w:left="360" w:hanging="360"/>
      </w:pPr>
      <w:r>
        <w:rPr>
          <w:sz w:val="20"/>
          <w:szCs w:val="20"/>
        </w:rPr>
        <w:t xml:space="preserve">14. Perkumpulan Obstetri dan Ginekologi Indonesia (POGI)/Kolegium Obstetri dan Ginekologi Indonesia. Kurikulum dan ketentuan Program Pendidikan Dokter Subspesialis Obstetri Ginekologi Sosial.</w:t>
      </w:r>
    </w:p>
    <w:p>
      <w:pPr>
        <w:spacing w:after="100"/>
        <w:ind w:left="360" w:hanging="360"/>
      </w:pPr>
      <w:r>
        <w:rPr>
          <w:sz w:val="20"/>
          <w:szCs w:val="20"/>
        </w:rPr>
        <w:t xml:space="preserve">15. American College of Obstetricians and Gynecologists (ACOG). ACOG Committee Opinions and Practice Bulletins relevan (kesehatan mental perinatal, kekerasan berbasis gender, kesehatan reproduksi remaja).</w:t>
      </w:r>
    </w:p>
    <w:p>
      <w:pPr>
        <w:spacing w:after="100"/>
        <w:ind w:left="360" w:hanging="360"/>
      </w:pPr>
      <w:r>
        <w:rPr>
          <w:sz w:val="20"/>
          <w:szCs w:val="20"/>
        </w:rPr>
        <w:t xml:space="preserve">16. Peyton JWR, editor. Teaching and Learning in Medical Practice. Rickmansworth: Manticore Europe; 1998.</w:t>
      </w:r>
    </w:p>
    <w:p>
      <w:pPr>
        <w:spacing w:after="100"/>
        <w:ind w:left="360" w:hanging="360"/>
      </w:pPr>
      <w:r>
        <w:rPr>
          <w:sz w:val="20"/>
          <w:szCs w:val="20"/>
        </w:rPr>
        <w:t xml:space="preserve">17. Miller GE. The Assessment of Clinical Skills/Competence/Performance. Acad Med. 1990;65(9):S63–S67.</w:t>
      </w:r>
    </w:p>
    <w:p>
      <w:pPr>
        <w:spacing w:after="100"/>
        <w:ind w:left="360" w:hanging="360"/>
      </w:pPr>
      <w:r>
        <w:rPr>
          <w:sz w:val="20"/>
          <w:szCs w:val="20"/>
        </w:rPr>
        <w:t xml:space="preserve">18. Knowles MS, Holton EF, Swanson RA. The Adult Learner: The Definitive Classic in Adult Education and Human Resource Development. 8th ed. New York: Routledge; 2015.</w:t>
      </w:r>
    </w:p>
    <w:p>
      <w:pPr>
        <w:spacing w:after="100"/>
        <w:ind w:left="360" w:hanging="360"/>
      </w:pPr>
      <w:r>
        <w:rPr>
          <w:sz w:val="20"/>
          <w:szCs w:val="20"/>
        </w:rPr>
        <w:t xml:space="preserve">19. Neher JO, Gordon KC, Meyer B, Stevens N. A five-step "microskills" model of clinical teaching. J Am Board Fam Pract. 1992;5(4):419–424.</w:t>
      </w:r>
    </w:p>
    <w:p>
      <w:pPr>
        <w:spacing w:after="100"/>
        <w:ind w:left="360" w:hanging="360"/>
      </w:pPr>
      <w:r>
        <w:rPr>
          <w:sz w:val="20"/>
          <w:szCs w:val="20"/>
        </w:rPr>
        <w:t xml:space="preserve">20. Allen DW, Ryan K. Microteaching. Reading (MA): Addison-Wesley; 1969.</w:t>
      </w:r>
    </w:p>
    <w:p>
      <w:pPr>
        <w:spacing w:after="100"/>
        <w:ind w:left="360" w:hanging="360"/>
      </w:pPr>
      <w:r>
        <w:rPr>
          <w:sz w:val="20"/>
          <w:szCs w:val="20"/>
        </w:rPr>
        <w:t xml:space="preserve">21. Harden RM, Gleeson FA. Assessment of clinical competence using an objective structured clinical examination (OSCE). Med Educ. 1979;13(1):41–54.</w:t>
      </w:r>
    </w:p>
    <w:p>
      <w:pPr>
        <w:spacing w:after="100"/>
        <w:ind w:left="360" w:hanging="360"/>
      </w:pPr>
      <w:r>
        <w:rPr>
          <w:sz w:val="20"/>
          <w:szCs w:val="20"/>
        </w:rPr>
        <w:t xml:space="preserve">22. Norcini JJ, Blank LL, Duffy FD, Fortna GS. The mini-CEX: a method for assessing clinical skills. Ann Intern Med. 2003;138(6):476–481.</w:t>
      </w:r>
    </w:p>
    <w:p>
      <w:pPr>
        <w:spacing w:after="100"/>
        <w:ind w:left="360" w:hanging="360"/>
      </w:pPr>
      <w:r>
        <w:rPr>
          <w:sz w:val="20"/>
          <w:szCs w:val="20"/>
        </w:rPr>
        <w:t xml:space="preserve">23. Walker M, Peyton JWR. Teaching in theatre. In: Peyton JWR, editor. Teaching and Learning in Medical Practice. Rickmansworth: Manticore Europe; 1998.</w:t>
      </w:r>
    </w:p>
    <w:p>
      <w:pPr>
        <w:spacing w:after="100"/>
        <w:ind w:left="360" w:hanging="360"/>
      </w:pPr>
      <w:r>
        <w:rPr>
          <w:sz w:val="20"/>
          <w:szCs w:val="20"/>
        </w:rPr>
        <w:t xml:space="preserve">24. Sweller J. Cognitive load during problem solving: Effects on learning. Cogn Sci. 1988;12(2):257–285.</w:t>
      </w:r>
    </w:p>
    <w:p>
      <w:pPr>
        <w:spacing w:after="100"/>
        <w:ind w:left="360" w:hanging="360"/>
      </w:pPr>
      <w:r>
        <w:rPr>
          <w:sz w:val="20"/>
          <w:szCs w:val="20"/>
        </w:rPr>
        <w:t xml:space="preserve">25. Pendleton D, Schofield T, Tate P, Havelock P. The Consultation: An Approach to Learning and Teaching. Oxford: Oxford University Press; 1984.</w:t>
      </w:r>
    </w:p>
    <w:p>
      <w:pPr>
        <w:spacing w:after="100"/>
        <w:ind w:left="360" w:hanging="360"/>
      </w:pPr>
      <w:r>
        <w:rPr>
          <w:sz w:val="20"/>
          <w:szCs w:val="20"/>
        </w:rPr>
        <w:t xml:space="preserve">26. Center for Creative Leadership (CCL). Use Situation-Behavior-Impact (SBI)™ to Understand Intent. Greensboro (NC): CCL; 2024. Tersedia di: https://www.ccl.org/articles/leading-effectively-articles/closing-the-gap-between-intent-vs-impact-sbii/</w:t>
      </w:r>
    </w:p>
    <w:p>
      <w:pPr>
        <w:spacing w:after="100"/>
        <w:ind w:left="360" w:hanging="360"/>
      </w:pPr>
      <w:r>
        <w:rPr>
          <w:sz w:val="20"/>
          <w:szCs w:val="20"/>
        </w:rPr>
        <w:t xml:space="preserve">27. Ende J. Feedback in clinical medical education. JAMA. 1983;250(6):777–781.</w:t>
      </w:r>
    </w:p>
    <w:p>
      <w:pPr>
        <w:spacing w:after="100"/>
        <w:ind w:left="360" w:hanging="360"/>
      </w:pPr>
      <w:r>
        <w:rPr>
          <w:sz w:val="20"/>
          <w:szCs w:val="20"/>
        </w:rPr>
        <w:t xml:space="preserve">28. Williams RG, Klamen DA, McGaghie WC. Cognitive, social and environmental sources of bias in clinical performance ratings. Teach Learn Med. 2003;15(4):270–292.</w:t>
      </w:r>
    </w:p>
    <w:p>
      <w:pPr>
        <w:spacing w:after="100"/>
        <w:ind w:left="360" w:hanging="360"/>
      </w:pPr>
      <w:r>
        <w:rPr>
          <w:sz w:val="20"/>
          <w:szCs w:val="20"/>
        </w:rPr>
        <w:t xml:space="preserve">29. Van der Vleuten CPM, Schuwirth LWT. Assessing professional competence: from methods to a programme. Med Educ. 2005;39(3):309–317.</w:t>
      </w:r>
    </w:p>
    <w:p>
      <w:pPr>
        <w:spacing w:after="100"/>
        <w:ind w:left="360" w:hanging="360"/>
      </w:pPr>
      <w:r>
        <w:rPr>
          <w:sz w:val="20"/>
          <w:szCs w:val="20"/>
        </w:rPr>
        <w:t xml:space="preserve">30. Nomination Committee/Milestones Working Group, ACGME, American Board of Obstetrics and Gynecology, American College of Obstetricians and Gynecologists. The Obstetrics and Gynecology Milestone Project. Chicago: ACGME; 2014.</w:t>
      </w:r>
    </w:p>
    <w:p>
      <w:pPr>
        <w:spacing w:after="100"/>
        <w:ind w:left="360" w:hanging="360"/>
      </w:pPr>
      <w:r>
        <w:rPr>
          <w:sz w:val="20"/>
          <w:szCs w:val="20"/>
        </w:rPr>
        <w:t xml:space="preserve">31. Frank JR, Snell L, Sherbino J, editors. CanMEDS 2015 Physician Competency Framework. Ottawa: Royal College of Physicians and Surgeons of Canada; 2015. Tersedia di: https://www.royalcollege.ca/content/dam/document/standards-and-accreditation/canmeds-full-framework-e.pdf</w:t>
      </w:r>
    </w:p>
    <w:p>
      <w:pPr>
        <w:spacing w:after="100"/>
        <w:ind w:left="360" w:hanging="360"/>
      </w:pPr>
      <w:r>
        <w:rPr>
          <w:sz w:val="20"/>
          <w:szCs w:val="20"/>
        </w:rPr>
        <w:t xml:space="preserve">32. Recker F, et al. Medical education in obstetrics and gynecology: A global update from 2025. Acta Obstet Gynecol Scand. 2026. doi:10.1111/aogs.70105.</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Buku 12: Pendidikan Klinis dan Pengembangan Tenaga Pelatih Kesehatan Reproduksi  |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2026-08-01T05:22:26.823Z</dcterms:created>
  <dcterms:modified xsi:type="dcterms:W3CDTF">2026-08-01T05:22:26.835Z</dcterms:modified>
</cp:coreProperties>
</file>

<file path=docProps/custom.xml><?xml version="1.0" encoding="utf-8"?>
<Properties xmlns="http://schemas.openxmlformats.org/officeDocument/2006/custom-properties" xmlns:vt="http://schemas.openxmlformats.org/officeDocument/2006/docPropsVTypes"/>
</file>