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7A1F3D" w:color="auto" w:val="clear"/>
            <w:tcMar>
              <w:top w:type="dxa" w:w="500"/>
              <w:left w:type="dxa" w:w="500"/>
              <w:bottom w:type="dxa" w:w="500"/>
              <w:right w:type="dxa" w:w="500"/>
            </w:tcMar>
            <w:vAlign w:val="center"/>
          </w:tcPr>
          <w:p>
            <w:pPr>
              <w:spacing w:after="160"/>
              <w:jc w:val="center"/>
            </w:pPr>
            <w:r>
              <w:rPr>
                <w:rFonts w:ascii="Calibri" w:cs="Calibri" w:eastAsia="Calibri" w:hAnsi="Calibri"/>
                <w:b/>
                <w:bCs/>
                <w:color w:val="F3D9E2"/>
                <w:sz w:val="18"/>
                <w:szCs w:val="18"/>
              </w:rPr>
              <w:t xml:space="preserve">OBGINSOS ENGLISH DIGEST — CONDENSED FROM BOOK 15 OF 15</w:t>
            </w:r>
          </w:p>
          <w:p>
            <w:pPr>
              <w:spacing w:after="160"/>
              <w:jc w:val="center"/>
            </w:pPr>
            <w:r>
              <w:rPr>
                <w:rFonts w:ascii="Calibri" w:cs="Calibri" w:eastAsia="Calibri" w:hAnsi="Calibri"/>
                <w:b/>
                <w:bCs/>
                <w:color w:val="FFFFFF"/>
                <w:sz w:val="38"/>
                <w:szCs w:val="38"/>
              </w:rPr>
              <w:t xml:space="preserve">Four Paths, One Direction</w:t>
            </w:r>
          </w:p>
          <w:p>
            <w:pPr>
              <w:jc w:val="center"/>
            </w:pPr>
            <w:r>
              <w:rPr>
                <w:rFonts w:ascii="Calibri" w:cs="Calibri" w:eastAsia="Calibri" w:hAnsi="Calibri"/>
                <w:i/>
                <w:iCs/>
                <w:color w:val="F3D9E2"/>
                <w:sz w:val="21"/>
                <w:szCs w:val="21"/>
              </w:rPr>
              <w:t xml:space="preserve">Positioning Social Obstetrics and Gynecology (Obginsos) in the Global Subspecialty Landscape</w:t>
            </w:r>
          </w:p>
        </w:tc>
      </w:tr>
    </w:tbl>
    <w:p>
      <w:pPr>
        <w:spacing w:after="300"/>
      </w:pPr>
    </w:p>
    <w:p>
      <w:pPr>
        <w:spacing w:after="300"/>
        <w:jc w:val="center"/>
      </w:pPr>
      <w:r>
        <w:rPr>
          <w:rFonts w:ascii="Calibri" w:cs="Calibri" w:eastAsia="Calibri" w:hAnsi="Calibri"/>
          <w:i/>
          <w:iCs/>
          <w:color w:val="555555"/>
          <w:sz w:val="21"/>
          <w:szCs w:val="21"/>
        </w:rPr>
        <w:t xml:space="preserve">A condensed English-language digest of Sections 1-7 from the original Indonesian volume, prepared per the short-term strategic recommendation of the Obginsos curriculum series to introduce the model to a global medical-education audience.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60"/>
              <w:jc w:val="center"/>
            </w:pPr>
            <w:r>
              <w:rPr>
                <w:rFonts w:ascii="Calibri" w:cs="Calibri" w:eastAsia="Calibri" w:hAnsi="Calibri"/>
                <w:b/>
                <w:bCs/>
                <w:color w:val="7A1F3D"/>
                <w:sz w:val="18"/>
                <w:szCs w:val="18"/>
              </w:rPr>
              <w:t xml:space="preserve">Author</w:t>
            </w:r>
            <w:r>
              <w:rPr>
                <w:rFonts w:ascii="Calibri" w:cs="Calibri" w:eastAsia="Calibri" w:hAnsi="Calibri"/>
                <w:sz w:val="20"/>
                <w:szCs w:val="20"/>
              </w:rPr>
              <w:t xml:space="preserve">  •  Dr.dr. Budi Siswanto, Sp.OG., Subsp.Obginsos., SH., S.Kom.</w:t>
            </w:r>
          </w:p>
          <w:p>
            <w:pPr>
              <w:spacing w:after="60"/>
              <w:jc w:val="center"/>
            </w:pPr>
            <w:r>
              <w:rPr>
                <w:rFonts w:ascii="Calibri" w:cs="Calibri" w:eastAsia="Calibri" w:hAnsi="Calibri"/>
                <w:b/>
                <w:bCs/>
                <w:color w:val="7A1F3D"/>
                <w:sz w:val="18"/>
                <w:szCs w:val="18"/>
              </w:rPr>
              <w:t xml:space="preserve">Publisher</w:t>
            </w:r>
            <w:r>
              <w:rPr>
                <w:rFonts w:ascii="Calibri" w:cs="Calibri" w:eastAsia="Calibri" w:hAnsi="Calibri"/>
                <w:sz w:val="20"/>
                <w:szCs w:val="20"/>
              </w:rPr>
              <w:t xml:space="preserve">  •  Perpustakaan Digital ABBA</w:t>
            </w:r>
          </w:p>
          <w:p>
            <w:pPr>
              <w:spacing w:after="60"/>
              <w:jc w:val="center"/>
            </w:pPr>
            <w:r>
              <w:rPr>
                <w:rFonts w:ascii="Calibri" w:cs="Calibri" w:eastAsia="Calibri" w:hAnsi="Calibri"/>
                <w:b/>
                <w:bCs/>
                <w:color w:val="7A1F3D"/>
                <w:sz w:val="18"/>
                <w:szCs w:val="18"/>
              </w:rPr>
              <w:t xml:space="preserve">Publisher Address</w:t>
            </w:r>
            <w:r>
              <w:rPr>
                <w:rFonts w:ascii="Calibri" w:cs="Calibri" w:eastAsia="Calibri" w:hAnsi="Calibri"/>
                <w:sz w:val="20"/>
                <w:szCs w:val="20"/>
              </w:rPr>
              <w:t xml:space="preserve">  •  Jl Danau Kerinci No 9 Malang</w:t>
            </w:r>
          </w:p>
          <w:p>
            <w:pPr>
              <w:jc w:val="center"/>
            </w:pPr>
            <w:r>
              <w:rPr>
                <w:rFonts w:ascii="Calibri" w:cs="Calibri" w:eastAsia="Calibri" w:hAnsi="Calibri"/>
                <w:b/>
                <w:bCs/>
                <w:color w:val="7A1F3D"/>
                <w:sz w:val="18"/>
                <w:szCs w:val="18"/>
              </w:rPr>
              <w:t xml:space="preserve">Edition</w:t>
            </w:r>
            <w:r>
              <w:rPr>
                <w:rFonts w:ascii="Calibri" w:cs="Calibri" w:eastAsia="Calibri" w:hAnsi="Calibri"/>
                <w:sz w:val="20"/>
                <w:szCs w:val="20"/>
              </w:rPr>
              <w:t xml:space="preserve">  •  First English Digest Edition — July 2026</w:t>
            </w:r>
          </w:p>
        </w:tc>
      </w:tr>
    </w:tbl>
    <w:p>
      <w:pPr>
        <w:pageBreakBefore/>
      </w:pPr>
      <w:r>
        <w:br/>
      </w:r>
    </w:p>
    <w:p>
      <w:pPr>
        <w:pStyle w:val="Heading1"/>
        <w:spacing w:after="200" w:before="400"/>
      </w:pPr>
      <w:r>
        <w:t xml:space="preserve">Table of Contents</w:t>
      </w:r>
    </w:p>
    <w:p>
      <w:pPr>
        <w:tabs>
          <w:tab w:val="right" w:pos="9026" w:leader="dot"/>
        </w:tabs>
        <w:spacing w:after="100"/>
      </w:pPr>
      <w:r>
        <w:rPr>
          <w:rFonts w:ascii="Calibri" w:cs="Calibri" w:eastAsia="Calibri" w:hAnsi="Calibri"/>
          <w:sz w:val="22"/>
          <w:szCs w:val="22"/>
        </w:rPr>
        <w:t xml:space="preserve">Abstract</w:t>
      </w:r>
      <w:r>
        <w:rPr>
          <w:sz w:val="22"/>
          <w:szCs w:val="22"/>
        </w:rPr>
        <w:t xml:space="preserve">	3</w:t>
      </w:r>
    </w:p>
    <w:p>
      <w:pPr>
        <w:tabs>
          <w:tab w:val="right" w:pos="9026" w:leader="dot"/>
        </w:tabs>
        <w:spacing w:after="100"/>
      </w:pPr>
      <w:r>
        <w:rPr>
          <w:rFonts w:ascii="Calibri" w:cs="Calibri" w:eastAsia="Calibri" w:hAnsi="Calibri"/>
          <w:sz w:val="22"/>
          <w:szCs w:val="22"/>
        </w:rPr>
        <w:t xml:space="preserve">1. Why Obginsos Has No Single Global Counterpart</w:t>
      </w:r>
      <w:r>
        <w:rPr>
          <w:sz w:val="22"/>
          <w:szCs w:val="22"/>
        </w:rPr>
        <w:t xml:space="preserve">	4</w:t>
      </w:r>
    </w:p>
    <w:p>
      <w:pPr>
        <w:tabs>
          <w:tab w:val="right" w:pos="9026" w:leader="dot"/>
        </w:tabs>
        <w:spacing w:after="100"/>
      </w:pPr>
      <w:r>
        <w:rPr>
          <w:rFonts w:ascii="Calibri" w:cs="Calibri" w:eastAsia="Calibri" w:hAnsi="Calibri"/>
          <w:sz w:val="22"/>
          <w:szCs w:val="22"/>
        </w:rPr>
        <w:t xml:space="preserve">2. The Official Global Subspecialty Landscape</w:t>
      </w:r>
      <w:r>
        <w:rPr>
          <w:sz w:val="22"/>
          <w:szCs w:val="22"/>
        </w:rPr>
        <w:t xml:space="preserve">	6</w:t>
      </w:r>
    </w:p>
    <w:p>
      <w:pPr>
        <w:tabs>
          <w:tab w:val="right" w:pos="9026" w:leader="dot"/>
        </w:tabs>
        <w:spacing w:after="100"/>
      </w:pPr>
      <w:r>
        <w:rPr>
          <w:rFonts w:ascii="Calibri" w:cs="Calibri" w:eastAsia="Calibri" w:hAnsi="Calibri"/>
          <w:sz w:val="22"/>
          <w:szCs w:val="22"/>
        </w:rPr>
        <w:t xml:space="preserve">3. Track One: Complex Family Planning (United States)</w:t>
      </w:r>
      <w:r>
        <w:rPr>
          <w:sz w:val="22"/>
          <w:szCs w:val="22"/>
        </w:rPr>
        <w:t xml:space="preserve">	7</w:t>
      </w:r>
    </w:p>
    <w:p>
      <w:pPr>
        <w:tabs>
          <w:tab w:val="right" w:pos="9026" w:leader="dot"/>
        </w:tabs>
        <w:spacing w:after="100"/>
      </w:pPr>
      <w:r>
        <w:rPr>
          <w:rFonts w:ascii="Calibri" w:cs="Calibri" w:eastAsia="Calibri" w:hAnsi="Calibri"/>
          <w:sz w:val="22"/>
          <w:szCs w:val="22"/>
        </w:rPr>
        <w:t xml:space="preserve">4. Track Two: Community Sexual and Reproductive Health (UK)</w:t>
      </w:r>
      <w:r>
        <w:rPr>
          <w:sz w:val="22"/>
          <w:szCs w:val="22"/>
        </w:rPr>
        <w:t xml:space="preserve">	9</w:t>
      </w:r>
    </w:p>
    <w:p>
      <w:pPr>
        <w:tabs>
          <w:tab w:val="right" w:pos="9026" w:leader="dot"/>
        </w:tabs>
        <w:spacing w:after="100"/>
      </w:pPr>
      <w:r>
        <w:rPr>
          <w:rFonts w:ascii="Calibri" w:cs="Calibri" w:eastAsia="Calibri" w:hAnsi="Calibri"/>
          <w:sz w:val="22"/>
          <w:szCs w:val="22"/>
        </w:rPr>
        <w:t xml:space="preserve">5. Track Three: Global Women's Health Fellowship</w:t>
      </w:r>
      <w:r>
        <w:rPr>
          <w:sz w:val="22"/>
          <w:szCs w:val="22"/>
        </w:rPr>
        <w:t xml:space="preserve">	10</w:t>
      </w:r>
    </w:p>
    <w:p>
      <w:pPr>
        <w:tabs>
          <w:tab w:val="right" w:pos="9026" w:leader="dot"/>
        </w:tabs>
        <w:spacing w:after="100"/>
      </w:pPr>
      <w:r>
        <w:rPr>
          <w:rFonts w:ascii="Calibri" w:cs="Calibri" w:eastAsia="Calibri" w:hAnsi="Calibri"/>
          <w:sz w:val="22"/>
          <w:szCs w:val="22"/>
        </w:rPr>
        <w:t xml:space="preserve">6. Track Four: WHO and FIGO</w:t>
      </w:r>
      <w:r>
        <w:rPr>
          <w:sz w:val="22"/>
          <w:szCs w:val="22"/>
        </w:rPr>
        <w:t xml:space="preserve">	12</w:t>
      </w:r>
    </w:p>
    <w:p>
      <w:pPr>
        <w:tabs>
          <w:tab w:val="right" w:pos="9026" w:leader="dot"/>
        </w:tabs>
        <w:spacing w:after="100"/>
      </w:pPr>
      <w:r>
        <w:rPr>
          <w:rFonts w:ascii="Calibri" w:cs="Calibri" w:eastAsia="Calibri" w:hAnsi="Calibri"/>
          <w:sz w:val="22"/>
          <w:szCs w:val="22"/>
        </w:rPr>
        <w:t xml:space="preserve">7. Comprehensive Comparison Matrix</w:t>
      </w:r>
      <w:r>
        <w:rPr>
          <w:sz w:val="22"/>
          <w:szCs w:val="22"/>
        </w:rPr>
        <w:t xml:space="preserve">	13</w:t>
      </w:r>
    </w:p>
    <w:p>
      <w:pPr>
        <w:tabs>
          <w:tab w:val="right" w:pos="9026" w:leader="dot"/>
        </w:tabs>
        <w:spacing w:after="100"/>
      </w:pPr>
      <w:r>
        <w:rPr>
          <w:rFonts w:ascii="Calibri" w:cs="Calibri" w:eastAsia="Calibri" w:hAnsi="Calibri"/>
          <w:sz w:val="22"/>
          <w:szCs w:val="22"/>
        </w:rPr>
        <w:t xml:space="preserve">Conclusion</w:t>
      </w:r>
      <w:r>
        <w:rPr>
          <w:sz w:val="22"/>
          <w:szCs w:val="22"/>
        </w:rPr>
        <w:t xml:space="preserve">	15</w:t>
      </w:r>
    </w:p>
    <w:p>
      <w:pPr>
        <w:tabs>
          <w:tab w:val="right" w:pos="9026" w:leader="dot"/>
        </w:tabs>
        <w:spacing w:after="100"/>
      </w:pPr>
      <w:r>
        <w:rPr>
          <w:rFonts w:ascii="Calibri" w:cs="Calibri" w:eastAsia="Calibri" w:hAnsi="Calibri"/>
          <w:sz w:val="22"/>
          <w:szCs w:val="22"/>
        </w:rPr>
        <w:t xml:space="preserve">Combined Reference List</w:t>
      </w:r>
      <w:r>
        <w:rPr>
          <w:sz w:val="22"/>
          <w:szCs w:val="22"/>
        </w:rPr>
        <w:t xml:space="preserve">	16</w:t>
      </w:r>
    </w:p>
    <w:p>
      <w:pPr>
        <w:pageBreakBefore/>
      </w:pPr>
      <w:r>
        <w:br/>
      </w:r>
    </w:p>
    <w:p>
      <w:pPr>
        <w:pStyle w:val="Heading1"/>
        <w:spacing w:after="200" w:before="400"/>
      </w:pPr>
      <w:r>
        <w:t xml:space="preserve">Abstract</w:t>
      </w:r>
    </w:p>
    <w:p>
      <w:pPr>
        <w:spacing w:after="160"/>
        <w:jc w:val="both"/>
      </w:pPr>
      <w:r>
        <w:rPr>
          <w:rFonts w:ascii="Calibri" w:cs="Calibri" w:eastAsia="Calibri" w:hAnsi="Calibri"/>
          <w:b w:val="false"/>
          <w:bCs w:val="false"/>
          <w:i w:val="false"/>
          <w:iCs w:val="false"/>
          <w:sz w:val="22"/>
          <w:szCs w:val="22"/>
        </w:rPr>
        <w:t xml:space="preserve">Social Obstetrics and Gynecology (Obginsos) is an Indonesian subspecialty combining clinical management of socially complex reproductive health cases, hospital-level quality management, and population-based program planning within a single 2.5-year post-Sp.OG training track. A recurring question from international observers — "what is your subspecialty's global equivalent?" — cannot be answered with a single name. This digest condenses the first seven sections of the full 15-book/document Obginsos curriculum series into an English-language overview, showing that no single internationally recognized subspecialty matches Obginsos in full. Instead, four independently developed international pathways — Complex Family Planning (United States), Community Sexual and Reproductive Health (United Kingdom), Global Women's Health Fellowship (multi-country), and the standard-setting frameworks of WHO and FIGO — each cover only part of its scope. A comprehensive matrix mapping these four tracks against all 14 thematic books of the Obginsos curriculum is presented, together with an explicit caution that this mapping is the author's comparative analysis and not an official endorsement by any of the five referenced international bodies.</w:t>
      </w:r>
    </w:p>
    <w:p>
      <w:pPr>
        <w:spacing w:after="160"/>
        <w:jc w:val="both"/>
      </w:pPr>
      <w:r>
        <w:rPr>
          <w:rFonts w:ascii="Calibri" w:cs="Calibri" w:eastAsia="Calibri" w:hAnsi="Calibri"/>
          <w:b w:val="false"/>
          <w:bCs w:val="false"/>
          <w:i w:val="false"/>
          <w:iCs w:val="false"/>
          <w:sz w:val="22"/>
          <w:szCs w:val="22"/>
        </w:rPr>
        <w:t xml:space="preserve">Keywords: social obstetrics and gynecology, subspecialty education, Complex Family Planning, Community Sexual and Reproductive Health, Global Women's Health Fellowship, WHO, FIGO, Indonesia.</w:t>
      </w:r>
    </w:p>
    <w:p>
      <w:pPr>
        <w:pageBreakBefore/>
      </w:pPr>
      <w:r>
        <w:br/>
      </w:r>
    </w:p>
    <w:p>
      <w:pPr>
        <w:pStyle w:val="Heading1"/>
        <w:spacing w:after="200" w:before="400"/>
      </w:pPr>
      <w:r>
        <w:t xml:space="preserve">1. Why Social Obstetrics and Gynecology Has No Single Global Counterpart</w:t>
      </w:r>
    </w:p>
    <w:p>
      <w:pPr>
        <w:spacing w:after="160"/>
        <w:jc w:val="both"/>
      </w:pPr>
      <w:r>
        <w:rPr>
          <w:rFonts w:ascii="Calibri" w:cs="Calibri" w:eastAsia="Calibri" w:hAnsi="Calibri"/>
          <w:b w:val="false"/>
          <w:bCs w:val="false"/>
          <w:i w:val="false"/>
          <w:iCs w:val="false"/>
          <w:sz w:val="22"/>
          <w:szCs w:val="22"/>
        </w:rPr>
        <w:t xml:space="preserve">When an Obginsos subspecialist is asked by an international colleague, "what is the equivalent of your subspecialty in my country?", the honest answer is not a single name — it is an explanation that the question itself rests on a false premise. Social Obstetrics and Gynecology (Obginsos), as defined by Indonesia's Konsil Kesehatan Indonesia Decree No. HK.01.02/KKI/1318/2026, is a construct born from a specific need within the Indonesian health system: integrating clinical management of socially complex cases (adolescent pregnancy, gender-based violence, perinatal mental health) with hospital management competencies and population-based program planning, within a single 2.5-year training track.</w:t>
      </w:r>
    </w:p>
    <w:p>
      <w:pPr>
        <w:spacing w:after="160"/>
        <w:jc w:val="both"/>
      </w:pPr>
      <w:r>
        <w:rPr>
          <w:rFonts w:ascii="Calibri" w:cs="Calibri" w:eastAsia="Calibri" w:hAnsi="Calibri"/>
          <w:b w:val="false"/>
          <w:bCs w:val="false"/>
          <w:i w:val="false"/>
          <w:iCs w:val="false"/>
          <w:sz w:val="22"/>
          <w:szCs w:val="22"/>
        </w:rPr>
        <w:t xml:space="preserve">This tripartite structure — clinical, managerial, and population-based — is not found as a single, ready-made package in any national medical education system reviewed for this digest. What does exist are several distinct further-training pathways that each take one dimension deeply, developed by different bodies, in different countries, with different histories.</w:t>
      </w:r>
    </w:p>
    <w:p>
      <w:pPr>
        <w:pStyle w:val="Heading2"/>
        <w:spacing w:after="120" w:before="260"/>
      </w:pPr>
      <w:r>
        <w:t xml:space="preserve">1.1 The Boundary Drawn by the World's Official Subspecialty Bodies</w:t>
      </w:r>
    </w:p>
    <w:p>
      <w:pPr>
        <w:spacing w:after="160"/>
        <w:jc w:val="both"/>
      </w:pPr>
      <w:r>
        <w:rPr>
          <w:rFonts w:ascii="Calibri" w:cs="Calibri" w:eastAsia="Calibri" w:hAnsi="Calibri"/>
          <w:b w:val="false"/>
          <w:bCs w:val="false"/>
          <w:i w:val="false"/>
          <w:iCs w:val="false"/>
          <w:sz w:val="22"/>
          <w:szCs w:val="22"/>
        </w:rPr>
        <w:t xml:space="preserve">The European Board and College of Obstetrics and Gynaecology (EBCOG) — the body coordinating subspecialty training under the Obstetrics and Gynaecology Section of the Union Européenne des Médecins Spécialistes (UEMS) — recognizes only four official subspecialties. This recognition has a precise historical trail: on 27 November 1999 in Rome, EBCOG and the Section agreed to recognize the first three subspecialties — Gynaecological Oncology (partnered with ESGO), Maternal-Fetal and Perinatal Medicine (partnered with EAPM), and Reproductive Medicine (partnered with ESHRE). The fourth, Urogynaecology, followed on 25 May 2002, partnered with EUGA.[1] This status was confirmed as still current in EBCOG's most recent publicly available annual report, the EBCOG Annual Report 2023.[2] No fifth category named "social obstetrics and gynaecology" or similar exists in EBCOG's official nomenclature. A parallel pattern holds in the United States, where ACGME accredits Obstetrics and Gynecology fellowships only in Maternal-Fetal Medicine, Gynecologic Oncology, Reproductive Endocrinology and Infertility, and Female Pelvic Medicine and Reconstructive Surgery.[3]</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6E9EE" w:color="auto" w:val="clear"/>
            <w:tcMar>
              <w:top w:type="dxa" w:w="160"/>
              <w:left w:type="dxa" w:w="220"/>
              <w:bottom w:type="dxa" w:w="160"/>
              <w:right w:type="dxa" w:w="220"/>
            </w:tcMar>
          </w:tcPr>
          <w:p>
            <w:r>
              <w:rPr>
                <w:rFonts w:ascii="Calibri" w:cs="Calibri" w:eastAsia="Calibri" w:hAnsi="Calibri"/>
                <w:b/>
                <w:bCs/>
                <w:color w:val="4A1226"/>
                <w:sz w:val="23"/>
                <w:szCs w:val="23"/>
              </w:rPr>
              <w:t xml:space="preserve">Thesis of this digest: Obginsos is Indonesia's SYNTHESIS of four internationally developed pathways, not a TRANSLATION of one pre-existing subspecialty.</w:t>
            </w:r>
          </w:p>
        </w:tc>
      </w:tr>
    </w:tbl>
    <w:p>
      <w:pPr>
        <w:spacing w:after="160"/>
      </w:pPr>
    </w:p>
    <w:p>
      <w:pPr>
        <w:spacing w:after="160"/>
        <w:jc w:val="both"/>
      </w:pPr>
      <w:r>
        <w:rPr>
          <w:rFonts w:ascii="Calibri" w:cs="Calibri" w:eastAsia="Calibri" w:hAnsi="Calibri"/>
          <w:b w:val="false"/>
          <w:bCs w:val="false"/>
          <w:i w:val="false"/>
          <w:iCs w:val="false"/>
          <w:sz w:val="22"/>
          <w:szCs w:val="22"/>
        </w:rPr>
        <w:t xml:space="preserve">The four pathways — Complex Family Planning, Community Sexual and Reproductive Health, Global Women's Health Fellowship, and the WHO/FIGO standard-setting framework — are examined individually in Sections 3-6, then mapped explicitly against the 14 books of the full Obginsos curriculum in Section 7.</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Key Points</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EBCOG recognizes only 4 official subspecialties (1999/2002); Obginsos is not among them.</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ACGME/ABOG in the US likewise has no 'social obstetrics and gynecology' category.</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Thesis: Obginsos is Indonesia's synthesis of four separate international pathways.</w:t>
            </w:r>
          </w:p>
        </w:tc>
      </w:tr>
    </w:tbl>
    <w:p>
      <w:pPr>
        <w:spacing w:after="100" w:before="200"/>
      </w:pPr>
      <w:r>
        <w:rPr>
          <w:rFonts w:ascii="Calibri" w:cs="Calibri" w:eastAsia="Calibri" w:hAnsi="Calibri"/>
          <w:b/>
          <w:bCs/>
          <w:color w:val="7A1F3D"/>
          <w:sz w:val="22"/>
          <w:szCs w:val="22"/>
        </w:rPr>
        <w:t xml:space="preserve">References</w:t>
      </w:r>
    </w:p>
    <w:p>
      <w:pPr>
        <w:spacing w:after="20"/>
      </w:pPr>
      <w:r>
        <w:rPr>
          <w:rFonts w:ascii="Calibri" w:cs="Calibri" w:eastAsia="Calibri" w:hAnsi="Calibri"/>
          <w:sz w:val="19"/>
          <w:szCs w:val="19"/>
        </w:rPr>
        <w:t xml:space="preserve">1. Meyer L, Lindqvist PG, Zizzo G. EBCOG: European Board and College of Obstetrics and Gynaecology — Who Are We? What Do We Do? Where Do We Go?</w:t>
      </w:r>
    </w:p>
    <w:p>
      <w:pPr>
        <w:spacing w:after="100"/>
      </w:pPr>
      <w:r>
        <w:rPr>
          <w:rFonts w:ascii="Calibri" w:cs="Calibri" w:eastAsia="Calibri" w:hAnsi="Calibri"/>
          <w:i/>
          <w:iCs/>
          <w:sz w:val="17"/>
          <w:szCs w:val="17"/>
        </w:rPr>
        <w:t xml:space="preserve">     Link: </w:t>
      </w:r>
      <w:hyperlink w:history="1" r:id="rIdvp8e9kls_ty7z7otqohve">
        <w:r>
          <w:rPr>
            <w:rStyle w:val="Hyperlink"/>
            <w:rFonts w:ascii="Calibri" w:cs="Calibri" w:eastAsia="Calibri" w:hAnsi="Calibri"/>
            <w:sz w:val="17"/>
            <w:szCs w:val="17"/>
          </w:rPr>
          <w:t xml:space="preserve">https://pmc.ncbi.nlm.nih.gov/articles/PMC4154338/</w:t>
        </w:r>
      </w:hyperlink>
    </w:p>
    <w:p>
      <w:pPr>
        <w:spacing w:after="20"/>
      </w:pPr>
      <w:r>
        <w:rPr>
          <w:rFonts w:ascii="Calibri" w:cs="Calibri" w:eastAsia="Calibri" w:hAnsi="Calibri"/>
          <w:sz w:val="19"/>
          <w:szCs w:val="19"/>
        </w:rPr>
        <w:t xml:space="preserve">2. European Board and College of Obstetrics and Gynaecology (EBCOG). EBCOG Annual Report 2023.</w:t>
      </w:r>
    </w:p>
    <w:p>
      <w:pPr>
        <w:spacing w:after="100"/>
      </w:pPr>
      <w:r>
        <w:rPr>
          <w:rFonts w:ascii="Calibri" w:cs="Calibri" w:eastAsia="Calibri" w:hAnsi="Calibri"/>
          <w:i/>
          <w:iCs/>
          <w:sz w:val="17"/>
          <w:szCs w:val="17"/>
        </w:rPr>
        <w:t xml:space="preserve">     Link: </w:t>
      </w:r>
      <w:hyperlink w:history="1" r:id="rIdnbx0afcin4yganbvgp9bp">
        <w:r>
          <w:rPr>
            <w:rStyle w:val="Hyperlink"/>
            <w:rFonts w:ascii="Calibri" w:cs="Calibri" w:eastAsia="Calibri" w:hAnsi="Calibri"/>
            <w:sz w:val="17"/>
            <w:szCs w:val="17"/>
          </w:rPr>
          <w:t xml:space="preserve">https://ebcog.eu/wp-content/uploads/2024/04/EBCOG-Annual-Report-2023-FINAL.pdf</w:t>
        </w:r>
      </w:hyperlink>
    </w:p>
    <w:p>
      <w:pPr>
        <w:spacing w:after="20"/>
      </w:pPr>
      <w:r>
        <w:rPr>
          <w:rFonts w:ascii="Calibri" w:cs="Calibri" w:eastAsia="Calibri" w:hAnsi="Calibri"/>
          <w:sz w:val="19"/>
          <w:szCs w:val="19"/>
        </w:rPr>
        <w:t xml:space="preserve">3. Accreditation Council for Graduate Medical Education (ACGME). Obstetrics and Gynecology Overview.</w:t>
      </w:r>
    </w:p>
    <w:p>
      <w:pPr>
        <w:spacing w:after="100"/>
      </w:pPr>
      <w:r>
        <w:rPr>
          <w:rFonts w:ascii="Calibri" w:cs="Calibri" w:eastAsia="Calibri" w:hAnsi="Calibri"/>
          <w:i/>
          <w:iCs/>
          <w:sz w:val="17"/>
          <w:szCs w:val="17"/>
        </w:rPr>
        <w:t xml:space="preserve">     Link: </w:t>
      </w:r>
      <w:hyperlink w:history="1" r:id="rIdavlp96qlgorki38dy_ylr">
        <w:r>
          <w:rPr>
            <w:rStyle w:val="Hyperlink"/>
            <w:rFonts w:ascii="Calibri" w:cs="Calibri" w:eastAsia="Calibri" w:hAnsi="Calibri"/>
            <w:sz w:val="17"/>
            <w:szCs w:val="17"/>
          </w:rPr>
          <w:t xml:space="preserve">https://www.acgme.org/specialties/obstetrics-and-gynecology/overview/</w:t>
        </w:r>
      </w:hyperlink>
    </w:p>
    <w:p>
      <w:pPr>
        <w:pageBreakBefore/>
      </w:pPr>
      <w:r>
        <w:br/>
      </w:r>
    </w:p>
    <w:p>
      <w:pPr>
        <w:pStyle w:val="Heading1"/>
        <w:spacing w:after="200" w:before="400"/>
      </w:pPr>
      <w:r>
        <w:t xml:space="preserve">2. The Official Global Subspecialty Landscape (EBCOG, RCOG, ACGME/ABOG)</w:t>
      </w:r>
    </w:p>
    <w:p>
      <w:pPr>
        <w:spacing w:after="160"/>
        <w:jc w:val="both"/>
      </w:pPr>
      <w:r>
        <w:rPr>
          <w:rFonts w:ascii="Calibri" w:cs="Calibri" w:eastAsia="Calibri" w:hAnsi="Calibri"/>
          <w:b w:val="false"/>
          <w:bCs w:val="false"/>
          <w:i w:val="false"/>
          <w:iCs w:val="false"/>
          <w:sz w:val="22"/>
          <w:szCs w:val="22"/>
        </w:rPr>
        <w:t xml:space="preserve">Table 2.1 summarizes the three reference bodies as a baseline before examining the four pathways relevant to Obginsos.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shd w:fill="7A1F3D" w:color="auto" w:val="clear"/>
            <w:tcMar>
              <w:top w:type="dxa" w:w="100"/>
              <w:left w:type="dxa" w:w="120"/>
              <w:bottom w:type="dxa" w:w="100"/>
              <w:right w:type="dxa" w:w="120"/>
            </w:tcMar>
          </w:tcPr>
          <w:p>
            <w:r>
              <w:rPr>
                <w:rFonts w:ascii="Calibri" w:cs="Calibri" w:eastAsia="Calibri" w:hAnsi="Calibri"/>
                <w:b/>
                <w:bCs/>
                <w:color w:val="FFFFFF"/>
                <w:sz w:val="18"/>
                <w:szCs w:val="18"/>
              </w:rPr>
              <w:t xml:space="preserve">Body / Region</w:t>
            </w:r>
          </w:p>
        </w:tc>
        <w:tc>
          <w:tcPr>
            <w:tcW w:type="dxa" w:w="6026"/>
            <w:shd w:fill="7A1F3D" w:color="auto" w:val="clear"/>
            <w:tcMar>
              <w:top w:type="dxa" w:w="100"/>
              <w:left w:type="dxa" w:w="120"/>
              <w:bottom w:type="dxa" w:w="100"/>
              <w:right w:type="dxa" w:w="120"/>
            </w:tcMar>
          </w:tcPr>
          <w:p>
            <w:r>
              <w:rPr>
                <w:rFonts w:ascii="Calibri" w:cs="Calibri" w:eastAsia="Calibri" w:hAnsi="Calibri"/>
                <w:b/>
                <w:bCs/>
                <w:color w:val="FFFFFF"/>
                <w:sz w:val="18"/>
                <w:szCs w:val="18"/>
              </w:rPr>
              <w:t xml:space="preserve">Officially Recognized Subspecialties</w:t>
            </w:r>
          </w:p>
        </w:tc>
      </w:tr>
      <w:tr>
        <w:tc>
          <w:tcPr>
            <w:tcW w:type="dxa" w:w="3000"/>
            <w:shd w:fill="FFFFFF" w:color="auto" w:val="clear"/>
            <w:tcMar>
              <w:top w:type="dxa" w:w="90"/>
              <w:left w:type="dxa" w:w="120"/>
              <w:bottom w:type="dxa" w:w="90"/>
              <w:right w:type="dxa" w:w="120"/>
            </w:tcMar>
          </w:tcPr>
          <w:p>
            <w:r>
              <w:rPr>
                <w:rFonts w:ascii="Calibri" w:cs="Calibri" w:eastAsia="Calibri" w:hAnsi="Calibri"/>
                <w:sz w:val="18"/>
                <w:szCs w:val="18"/>
              </w:rPr>
              <w:t xml:space="preserve">EBCOG (Europe)</w:t>
            </w:r>
          </w:p>
        </w:tc>
        <w:tc>
          <w:tcPr>
            <w:tcW w:type="dxa" w:w="6026"/>
            <w:shd w:fill="FFFFFF" w:color="auto" w:val="clear"/>
            <w:tcMar>
              <w:top w:type="dxa" w:w="90"/>
              <w:left w:type="dxa" w:w="120"/>
              <w:bottom w:type="dxa" w:w="90"/>
              <w:right w:type="dxa" w:w="120"/>
            </w:tcMar>
          </w:tcPr>
          <w:p>
            <w:r>
              <w:rPr>
                <w:rFonts w:ascii="Calibri" w:cs="Calibri" w:eastAsia="Calibri" w:hAnsi="Calibri"/>
                <w:sz w:val="18"/>
                <w:szCs w:val="18"/>
              </w:rPr>
              <w:t xml:space="preserve">Gynaecological Oncology, Maternal-Fetal Medicine, Reproductive Medicine — recognized 1999; Urogynaecology — recognized 2002</w:t>
            </w:r>
          </w:p>
        </w:tc>
      </w:tr>
      <w:tr>
        <w:tc>
          <w:tcPr>
            <w:tcW w:type="dxa" w:w="3000"/>
            <w:shd w:fill="FBF3F6" w:color="auto" w:val="clear"/>
            <w:tcMar>
              <w:top w:type="dxa" w:w="90"/>
              <w:left w:type="dxa" w:w="120"/>
              <w:bottom w:type="dxa" w:w="90"/>
              <w:right w:type="dxa" w:w="120"/>
            </w:tcMar>
          </w:tcPr>
          <w:p>
            <w:r>
              <w:rPr>
                <w:rFonts w:ascii="Calibri" w:cs="Calibri" w:eastAsia="Calibri" w:hAnsi="Calibri"/>
                <w:sz w:val="18"/>
                <w:szCs w:val="18"/>
              </w:rPr>
              <w:t xml:space="preserve">RCOG (United Kingdom)</w:t>
            </w:r>
          </w:p>
        </w:tc>
        <w:tc>
          <w:tcPr>
            <w:tcW w:type="dxa" w:w="6026"/>
            <w:shd w:fill="FBF3F6" w:color="auto" w:val="clear"/>
            <w:tcMar>
              <w:top w:type="dxa" w:w="90"/>
              <w:left w:type="dxa" w:w="120"/>
              <w:bottom w:type="dxa" w:w="90"/>
              <w:right w:type="dxa" w:w="120"/>
            </w:tcMar>
          </w:tcPr>
          <w:p>
            <w:r>
              <w:rPr>
                <w:rFonts w:ascii="Calibri" w:cs="Calibri" w:eastAsia="Calibri" w:hAnsi="Calibri"/>
                <w:sz w:val="18"/>
                <w:szCs w:val="18"/>
              </w:rPr>
              <w:t xml:space="preserve">Maternal &amp; Fetal Medicine; Gynaecological Oncology; Reproductive Medicine; Urogynaecology</w:t>
            </w:r>
          </w:p>
        </w:tc>
      </w:tr>
      <w:tr>
        <w:tc>
          <w:tcPr>
            <w:tcW w:type="dxa" w:w="3000"/>
            <w:shd w:fill="FFFFFF" w:color="auto" w:val="clear"/>
            <w:tcMar>
              <w:top w:type="dxa" w:w="90"/>
              <w:left w:type="dxa" w:w="120"/>
              <w:bottom w:type="dxa" w:w="90"/>
              <w:right w:type="dxa" w:w="120"/>
            </w:tcMar>
          </w:tcPr>
          <w:p>
            <w:r>
              <w:rPr>
                <w:rFonts w:ascii="Calibri" w:cs="Calibri" w:eastAsia="Calibri" w:hAnsi="Calibri"/>
                <w:sz w:val="18"/>
                <w:szCs w:val="18"/>
              </w:rPr>
              <w:t xml:space="preserve">ACGME/ABOG (United States)</w:t>
            </w:r>
          </w:p>
        </w:tc>
        <w:tc>
          <w:tcPr>
            <w:tcW w:type="dxa" w:w="6026"/>
            <w:shd w:fill="FFFFFF" w:color="auto" w:val="clear"/>
            <w:tcMar>
              <w:top w:type="dxa" w:w="90"/>
              <w:left w:type="dxa" w:w="120"/>
              <w:bottom w:type="dxa" w:w="90"/>
              <w:right w:type="dxa" w:w="120"/>
            </w:tcMar>
          </w:tcPr>
          <w:p>
            <w:r>
              <w:rPr>
                <w:rFonts w:ascii="Calibri" w:cs="Calibri" w:eastAsia="Calibri" w:hAnsi="Calibri"/>
                <w:sz w:val="18"/>
                <w:szCs w:val="18"/>
              </w:rPr>
              <w:t xml:space="preserve">Maternal-Fetal Medicine; Gynecologic Oncology; Reproductive Endocrinology and Infertility; Female Pelvic Medicine and Reconstructive Surgery</w:t>
            </w:r>
          </w:p>
        </w:tc>
      </w:tr>
    </w:tbl>
    <w:p>
      <w:pPr>
        <w:spacing w:after="160"/>
      </w:pPr>
    </w:p>
    <w:p>
      <w:pPr>
        <w:spacing w:after="160"/>
        <w:jc w:val="both"/>
      </w:pPr>
      <w:r>
        <w:rPr>
          <w:rFonts w:ascii="Calibri" w:cs="Calibri" w:eastAsia="Calibri" w:hAnsi="Calibri"/>
          <w:b w:val="false"/>
          <w:bCs w:val="false"/>
          <w:i w:val="false"/>
          <w:iCs w:val="false"/>
          <w:sz w:val="22"/>
          <w:szCs w:val="22"/>
        </w:rPr>
        <w:t xml:space="preserve">All four baseline subspecialties share three traits relevant as contrast to Obginsos: each centers on one narrow, deep procedural-clinical domain; each is certified through highly standardized examination/logbook pathways; and none formally incorporates hospital-management or population-program competencies as core curriculum.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23A48" w:sz="6"/>
              <w:left w:val="single" w:color="B23A48" w:sz="18"/>
              <w:bottom w:val="single" w:color="B23A48" w:sz="6"/>
              <w:right w:val="single" w:color="B23A48" w:sz="6"/>
            </w:tcBorders>
            <w:shd w:fill="FFF1F1" w:color="auto" w:val="clear"/>
            <w:tcMar>
              <w:top w:type="dxa" w:w="160"/>
              <w:left w:type="dxa" w:w="220"/>
              <w:bottom w:type="dxa" w:w="160"/>
              <w:right w:type="dxa" w:w="220"/>
            </w:tcMar>
          </w:tcPr>
          <w:p>
            <w:pPr>
              <w:spacing w:after="80"/>
            </w:pPr>
            <w:r>
              <w:rPr>
                <w:rFonts w:ascii="Calibri" w:cs="Calibri" w:eastAsia="Calibri" w:hAnsi="Calibri"/>
                <w:b/>
                <w:bCs/>
                <w:color w:val="4A1226"/>
                <w:sz w:val="22"/>
                <w:szCs w:val="22"/>
              </w:rPr>
              <w:t xml:space="preserve">⚠ Note</w:t>
            </w:r>
          </w:p>
          <w:p>
            <w:r>
              <w:rPr>
                <w:rFonts w:ascii="Calibri" w:cs="Calibri" w:eastAsia="Calibri" w:hAnsi="Calibri"/>
                <w:sz w:val="20"/>
                <w:szCs w:val="20"/>
              </w:rPr>
              <w:t xml:space="preserve">This absence is not a weakness of the four baseline subspecialties — it was never their purpose. It is precisely why Obginsos's managerial-population competencies must be sought elsewhere, in the pathways examined next.</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Key Points</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EBCOG, RCOG, and ACGME/ABOG consistently recognize only 4 purely clinical-procedural subspecialty categories.</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None includes hospital management or population-program planning as core curriculum.</w:t>
            </w:r>
          </w:p>
        </w:tc>
      </w:tr>
    </w:tbl>
    <w:p>
      <w:pPr>
        <w:spacing w:after="100" w:before="200"/>
      </w:pPr>
      <w:r>
        <w:rPr>
          <w:rFonts w:ascii="Calibri" w:cs="Calibri" w:eastAsia="Calibri" w:hAnsi="Calibri"/>
          <w:b/>
          <w:bCs/>
          <w:color w:val="7A1F3D"/>
          <w:sz w:val="22"/>
          <w:szCs w:val="22"/>
        </w:rPr>
        <w:t xml:space="preserve">References</w:t>
      </w:r>
    </w:p>
    <w:p>
      <w:pPr>
        <w:spacing w:after="20"/>
      </w:pPr>
      <w:r>
        <w:rPr>
          <w:rFonts w:ascii="Calibri" w:cs="Calibri" w:eastAsia="Calibri" w:hAnsi="Calibri"/>
          <w:sz w:val="19"/>
          <w:szCs w:val="19"/>
        </w:rPr>
        <w:t xml:space="preserve">1. Meyer L, Lindqvist PG, Zizzo G. EBCOG: Who Are We? What Do We Do? Where Do We Go?</w:t>
      </w:r>
    </w:p>
    <w:p>
      <w:pPr>
        <w:spacing w:after="100"/>
      </w:pPr>
      <w:r>
        <w:rPr>
          <w:rFonts w:ascii="Calibri" w:cs="Calibri" w:eastAsia="Calibri" w:hAnsi="Calibri"/>
          <w:i/>
          <w:iCs/>
          <w:sz w:val="17"/>
          <w:szCs w:val="17"/>
        </w:rPr>
        <w:t xml:space="preserve">     Link: </w:t>
      </w:r>
      <w:hyperlink w:history="1" r:id="rIdv5nu7miksopszv4l7zecm">
        <w:r>
          <w:rPr>
            <w:rStyle w:val="Hyperlink"/>
            <w:rFonts w:ascii="Calibri" w:cs="Calibri" w:eastAsia="Calibri" w:hAnsi="Calibri"/>
            <w:sz w:val="17"/>
            <w:szCs w:val="17"/>
          </w:rPr>
          <w:t xml:space="preserve">https://pmc.ncbi.nlm.nih.gov/articles/PMC4154338/</w:t>
        </w:r>
      </w:hyperlink>
    </w:p>
    <w:p>
      <w:pPr>
        <w:spacing w:after="20"/>
      </w:pPr>
      <w:r>
        <w:rPr>
          <w:rFonts w:ascii="Calibri" w:cs="Calibri" w:eastAsia="Calibri" w:hAnsi="Calibri"/>
          <w:sz w:val="19"/>
          <w:szCs w:val="19"/>
        </w:rPr>
        <w:t xml:space="preserve">2. Royal College of Obstetricians and Gynaecologists (RCOG). Reproductive Medicine Subspecialty Training.</w:t>
      </w:r>
    </w:p>
    <w:p>
      <w:pPr>
        <w:spacing w:after="100"/>
      </w:pPr>
      <w:r>
        <w:rPr>
          <w:rFonts w:ascii="Calibri" w:cs="Calibri" w:eastAsia="Calibri" w:hAnsi="Calibri"/>
          <w:i/>
          <w:iCs/>
          <w:sz w:val="17"/>
          <w:szCs w:val="17"/>
        </w:rPr>
        <w:t xml:space="preserve">     Link: </w:t>
      </w:r>
      <w:hyperlink w:history="1" r:id="rIdqvzxc6yqe5vyehgvfsp2d">
        <w:r>
          <w:rPr>
            <w:rStyle w:val="Hyperlink"/>
            <w:rFonts w:ascii="Calibri" w:cs="Calibri" w:eastAsia="Calibri" w:hAnsi="Calibri"/>
            <w:sz w:val="17"/>
            <w:szCs w:val="17"/>
          </w:rPr>
          <w:t xml:space="preserve">https://www.rcog.org.uk/careers-and-training/training/curriculum/subspecialty-training-curriculum/reproductive-medicine-subspecialty-training/</w:t>
        </w:r>
      </w:hyperlink>
    </w:p>
    <w:p>
      <w:pPr>
        <w:spacing w:after="20"/>
      </w:pPr>
      <w:r>
        <w:rPr>
          <w:rFonts w:ascii="Calibri" w:cs="Calibri" w:eastAsia="Calibri" w:hAnsi="Calibri"/>
          <w:sz w:val="19"/>
          <w:szCs w:val="19"/>
        </w:rPr>
        <w:t xml:space="preserve">3. Accreditation Council for Graduate Medical Education (ACGME). Obstetrics and Gynecology Overview.</w:t>
      </w:r>
    </w:p>
    <w:p>
      <w:pPr>
        <w:spacing w:after="100"/>
      </w:pPr>
      <w:r>
        <w:rPr>
          <w:rFonts w:ascii="Calibri" w:cs="Calibri" w:eastAsia="Calibri" w:hAnsi="Calibri"/>
          <w:i/>
          <w:iCs/>
          <w:sz w:val="17"/>
          <w:szCs w:val="17"/>
        </w:rPr>
        <w:t xml:space="preserve">     Link: </w:t>
      </w:r>
      <w:hyperlink w:history="1" r:id="rIdwnqbxczoppuzljhrz5nsc">
        <w:r>
          <w:rPr>
            <w:rStyle w:val="Hyperlink"/>
            <w:rFonts w:ascii="Calibri" w:cs="Calibri" w:eastAsia="Calibri" w:hAnsi="Calibri"/>
            <w:sz w:val="17"/>
            <w:szCs w:val="17"/>
          </w:rPr>
          <w:t xml:space="preserve">https://www.acgme.org/specialties/obstetrics-and-gynecology/overview/</w:t>
        </w:r>
      </w:hyperlink>
    </w:p>
    <w:p>
      <w:pPr>
        <w:pageBreakBefore/>
      </w:pPr>
      <w:r>
        <w:br/>
      </w:r>
    </w:p>
    <w:p>
      <w:pPr>
        <w:pStyle w:val="Heading1"/>
        <w:spacing w:after="200" w:before="400"/>
      </w:pPr>
      <w:r>
        <w:t xml:space="preserve">3. Track One: Complex Family Planning (United States)</w:t>
      </w:r>
    </w:p>
    <w:p>
      <w:pPr>
        <w:spacing w:after="160"/>
        <w:jc w:val="both"/>
      </w:pPr>
      <w:r>
        <w:rPr>
          <w:rFonts w:ascii="Calibri" w:cs="Calibri" w:eastAsia="Calibri" w:hAnsi="Calibri"/>
          <w:b w:val="false"/>
          <w:bCs w:val="false"/>
          <w:i w:val="false"/>
          <w:iCs w:val="false"/>
          <w:sz w:val="22"/>
          <w:szCs w:val="22"/>
        </w:rPr>
        <w:t xml:space="preserve">Complex Family Planning (CFP) traces back to the Fellowship in Family Planning pioneered at UCSF in the late 1990s, which gave rise to the Kenneth J. Ryan Residency Training Program in Family Planning and Abortion (1999) — a national initiative to embed family planning into Obgyn residency curricula. Per ACGME's own accreditation proposal documents, 68 of the 93 Ryan Programs ever run have been led by fellowship graduates, and more than 5,500 Obgyn residents have received foundational family planning training through this network.[1] Over the following two decades this informal fellowship network grew across dozens of academic centers before being formalized as an ACGME-accredited two-year subspecialty fellowship, with official Program Requirements periodically updated — most recently reformatted in 2025.[2]</w:t>
      </w:r>
    </w:p>
    <w:p>
      <w:pPr>
        <w:spacing w:after="160"/>
        <w:jc w:val="both"/>
      </w:pPr>
      <w:r>
        <w:rPr>
          <w:rFonts w:ascii="Calibri" w:cs="Calibri" w:eastAsia="Calibri" w:hAnsi="Calibri"/>
          <w:b w:val="false"/>
          <w:bCs w:val="false"/>
          <w:i w:val="false"/>
          <w:iCs w:val="false"/>
          <w:sz w:val="22"/>
          <w:szCs w:val="22"/>
        </w:rPr>
        <w:t xml:space="preserve">CFP programs are now offered at UCLA, Johns Hopkins University, the University of Pittsburgh, and the University of Connecticut, among others — all requiring applicants to be graduates of ACGME-accredited Obgyn residency and committing to intensive training in complex contraception, abortion care, clinical research, and teaching.[3]</w:t>
      </w:r>
    </w:p>
    <w:p>
      <w:pPr>
        <w:pStyle w:val="Heading2"/>
        <w:spacing w:after="120" w:before="260"/>
      </w:pPr>
      <w:r>
        <w:t xml:space="preserve">3.1 Overlap with Obginsos Books 2 and 3</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200"/>
        <w:gridCol w:w="4826"/>
      </w:tblGrid>
      <w:tr>
        <w:tc>
          <w:tcPr>
            <w:tcW w:type="dxa" w:w="4200"/>
            <w:shd w:fill="7A1F3D" w:color="auto" w:val="clear"/>
            <w:tcMar>
              <w:top w:type="dxa" w:w="100"/>
              <w:left w:type="dxa" w:w="120"/>
              <w:bottom w:type="dxa" w:w="100"/>
              <w:right w:type="dxa" w:w="120"/>
            </w:tcMar>
          </w:tcPr>
          <w:p>
            <w:r>
              <w:rPr>
                <w:rFonts w:ascii="Calibri" w:cs="Calibri" w:eastAsia="Calibri" w:hAnsi="Calibri"/>
                <w:b/>
                <w:bCs/>
                <w:color w:val="FFFFFF"/>
                <w:sz w:val="18"/>
                <w:szCs w:val="18"/>
              </w:rPr>
              <w:t xml:space="preserve">Aspect</w:t>
            </w:r>
          </w:p>
        </w:tc>
        <w:tc>
          <w:tcPr>
            <w:tcW w:type="dxa" w:w="4826"/>
            <w:shd w:fill="7A1F3D" w:color="auto" w:val="clear"/>
            <w:tcMar>
              <w:top w:type="dxa" w:w="100"/>
              <w:left w:type="dxa" w:w="120"/>
              <w:bottom w:type="dxa" w:w="100"/>
              <w:right w:type="dxa" w:w="120"/>
            </w:tcMar>
          </w:tcPr>
          <w:p>
            <w:r>
              <w:rPr>
                <w:rFonts w:ascii="Calibri" w:cs="Calibri" w:eastAsia="Calibri" w:hAnsi="Calibri"/>
                <w:b/>
                <w:bCs/>
                <w:color w:val="FFFFFF"/>
                <w:sz w:val="18"/>
                <w:szCs w:val="18"/>
              </w:rPr>
              <w:t xml:space="preserve">Overlap Status with CFP</w:t>
            </w:r>
          </w:p>
        </w:tc>
      </w:tr>
      <w:tr>
        <w:tc>
          <w:tcPr>
            <w:tcW w:type="dxa" w:w="4200"/>
            <w:shd w:fill="FFFFFF" w:color="auto" w:val="clear"/>
            <w:tcMar>
              <w:top w:type="dxa" w:w="90"/>
              <w:left w:type="dxa" w:w="120"/>
              <w:bottom w:type="dxa" w:w="90"/>
              <w:right w:type="dxa" w:w="120"/>
            </w:tcMar>
          </w:tcPr>
          <w:p>
            <w:r>
              <w:rPr>
                <w:rFonts w:ascii="Calibri" w:cs="Calibri" w:eastAsia="Calibri" w:hAnsi="Calibri"/>
                <w:sz w:val="18"/>
                <w:szCs w:val="18"/>
              </w:rPr>
              <w:t xml:space="preserve">Contraceptive counseling &amp; placement in high comorbidity (Book 2)</w:t>
            </w:r>
          </w:p>
        </w:tc>
        <w:tc>
          <w:tcPr>
            <w:tcW w:type="dxa" w:w="4826"/>
            <w:shd w:fill="FFFFFF" w:color="auto" w:val="clear"/>
            <w:tcMar>
              <w:top w:type="dxa" w:w="90"/>
              <w:left w:type="dxa" w:w="120"/>
              <w:bottom w:type="dxa" w:w="90"/>
              <w:right w:type="dxa" w:w="120"/>
            </w:tcMar>
          </w:tcPr>
          <w:p>
            <w:r>
              <w:rPr>
                <w:rFonts w:ascii="Calibri" w:cs="Calibri" w:eastAsia="Calibri" w:hAnsi="Calibri"/>
                <w:sz w:val="18"/>
                <w:szCs w:val="18"/>
              </w:rPr>
              <w:t xml:space="preserve">FULL OVERLAP — core CFP curriculum</w:t>
            </w:r>
          </w:p>
        </w:tc>
      </w:tr>
      <w:tr>
        <w:tc>
          <w:tcPr>
            <w:tcW w:type="dxa" w:w="4200"/>
            <w:shd w:fill="FBF3F6" w:color="auto" w:val="clear"/>
            <w:tcMar>
              <w:top w:type="dxa" w:w="90"/>
              <w:left w:type="dxa" w:w="120"/>
              <w:bottom w:type="dxa" w:w="90"/>
              <w:right w:type="dxa" w:w="120"/>
            </w:tcMar>
          </w:tcPr>
          <w:p>
            <w:r>
              <w:rPr>
                <w:rFonts w:ascii="Calibri" w:cs="Calibri" w:eastAsia="Calibri" w:hAnsi="Calibri"/>
                <w:sz w:val="18"/>
                <w:szCs w:val="18"/>
              </w:rPr>
              <w:t xml:space="preserve">Emergency contraception after assault/method failure (Book 2)</w:t>
            </w:r>
          </w:p>
        </w:tc>
        <w:tc>
          <w:tcPr>
            <w:tcW w:type="dxa" w:w="4826"/>
            <w:shd w:fill="FBF3F6" w:color="auto" w:val="clear"/>
            <w:tcMar>
              <w:top w:type="dxa" w:w="90"/>
              <w:left w:type="dxa" w:w="120"/>
              <w:bottom w:type="dxa" w:w="90"/>
              <w:right w:type="dxa" w:w="120"/>
            </w:tcMar>
          </w:tcPr>
          <w:p>
            <w:r>
              <w:rPr>
                <w:rFonts w:ascii="Calibri" w:cs="Calibri" w:eastAsia="Calibri" w:hAnsi="Calibri"/>
                <w:sz w:val="18"/>
                <w:szCs w:val="18"/>
              </w:rPr>
              <w:t xml:space="preserve">FULL OVERLAP</w:t>
            </w:r>
          </w:p>
        </w:tc>
      </w:tr>
      <w:tr>
        <w:tc>
          <w:tcPr>
            <w:tcW w:type="dxa" w:w="4200"/>
            <w:shd w:fill="FFFFFF" w:color="auto" w:val="clear"/>
            <w:tcMar>
              <w:top w:type="dxa" w:w="90"/>
              <w:left w:type="dxa" w:w="120"/>
              <w:bottom w:type="dxa" w:w="90"/>
              <w:right w:type="dxa" w:w="120"/>
            </w:tcMar>
          </w:tcPr>
          <w:p>
            <w:r>
              <w:rPr>
                <w:rFonts w:ascii="Calibri" w:cs="Calibri" w:eastAsia="Calibri" w:hAnsi="Calibri"/>
                <w:sz w:val="18"/>
                <w:szCs w:val="18"/>
              </w:rPr>
              <w:t xml:space="preserve">Late second-trimester D&amp;E &amp; post-abortion complications (Book 2)</w:t>
            </w:r>
          </w:p>
        </w:tc>
        <w:tc>
          <w:tcPr>
            <w:tcW w:type="dxa" w:w="4826"/>
            <w:shd w:fill="FFFFFF" w:color="auto" w:val="clear"/>
            <w:tcMar>
              <w:top w:type="dxa" w:w="90"/>
              <w:left w:type="dxa" w:w="120"/>
              <w:bottom w:type="dxa" w:w="90"/>
              <w:right w:type="dxa" w:w="120"/>
            </w:tcMar>
          </w:tcPr>
          <w:p>
            <w:r>
              <w:rPr>
                <w:rFonts w:ascii="Calibri" w:cs="Calibri" w:eastAsia="Calibri" w:hAnsi="Calibri"/>
                <w:sz w:val="18"/>
                <w:szCs w:val="18"/>
              </w:rPr>
              <w:t xml:space="preserve">FULL OVERLAP — CFP's signature domain</w:t>
            </w:r>
          </w:p>
        </w:tc>
      </w:tr>
      <w:tr>
        <w:tc>
          <w:tcPr>
            <w:tcW w:type="dxa" w:w="4200"/>
            <w:shd w:fill="FBF3F6" w:color="auto" w:val="clear"/>
            <w:tcMar>
              <w:top w:type="dxa" w:w="90"/>
              <w:left w:type="dxa" w:w="120"/>
              <w:bottom w:type="dxa" w:w="90"/>
              <w:right w:type="dxa" w:w="120"/>
            </w:tcMar>
          </w:tcPr>
          <w:p>
            <w:r>
              <w:rPr>
                <w:rFonts w:ascii="Calibri" w:cs="Calibri" w:eastAsia="Calibri" w:hAnsi="Calibri"/>
                <w:sz w:val="18"/>
                <w:szCs w:val="18"/>
              </w:rPr>
              <w:t xml:space="preserve">Adolescent pregnancy, non-directive unintended-pregnancy counseling (Book 3)</w:t>
            </w:r>
          </w:p>
        </w:tc>
        <w:tc>
          <w:tcPr>
            <w:tcW w:type="dxa" w:w="4826"/>
            <w:shd w:fill="FBF3F6" w:color="auto" w:val="clear"/>
            <w:tcMar>
              <w:top w:type="dxa" w:w="90"/>
              <w:left w:type="dxa" w:w="120"/>
              <w:bottom w:type="dxa" w:w="90"/>
              <w:right w:type="dxa" w:w="120"/>
            </w:tcMar>
          </w:tcPr>
          <w:p>
            <w:r>
              <w:rPr>
                <w:rFonts w:ascii="Calibri" w:cs="Calibri" w:eastAsia="Calibri" w:hAnsi="Calibri"/>
                <w:sz w:val="18"/>
                <w:szCs w:val="18"/>
              </w:rPr>
              <w:t xml:space="preserve">PARTIAL — CFP is procedurally strong but thinner on adolescent psychosocial dimensions</w:t>
            </w:r>
          </w:p>
        </w:tc>
      </w:tr>
      <w:tr>
        <w:tc>
          <w:tcPr>
            <w:tcW w:type="dxa" w:w="4200"/>
            <w:shd w:fill="FFFFFF" w:color="auto" w:val="clear"/>
            <w:tcMar>
              <w:top w:type="dxa" w:w="90"/>
              <w:left w:type="dxa" w:w="120"/>
              <w:bottom w:type="dxa" w:w="90"/>
              <w:right w:type="dxa" w:w="120"/>
            </w:tcMar>
          </w:tcPr>
          <w:p>
            <w:r>
              <w:rPr>
                <w:rFonts w:ascii="Calibri" w:cs="Calibri" w:eastAsia="Calibri" w:hAnsi="Calibri"/>
                <w:sz w:val="18"/>
                <w:szCs w:val="18"/>
              </w:rPr>
              <w:t xml:space="preserve">Perinatal mental health (Book 4)</w:t>
            </w:r>
          </w:p>
        </w:tc>
        <w:tc>
          <w:tcPr>
            <w:tcW w:type="dxa" w:w="4826"/>
            <w:shd w:fill="FFFFFF" w:color="auto" w:val="clear"/>
            <w:tcMar>
              <w:top w:type="dxa" w:w="90"/>
              <w:left w:type="dxa" w:w="120"/>
              <w:bottom w:type="dxa" w:w="90"/>
              <w:right w:type="dxa" w:w="120"/>
            </w:tcMar>
          </w:tcPr>
          <w:p>
            <w:r>
              <w:rPr>
                <w:rFonts w:ascii="Calibri" w:cs="Calibri" w:eastAsia="Calibri" w:hAnsi="Calibri"/>
                <w:sz w:val="18"/>
                <w:szCs w:val="18"/>
              </w:rPr>
              <w:t xml:space="preserve">NOT COVERED by CFP</w:t>
            </w:r>
          </w:p>
        </w:tc>
      </w:tr>
      <w:tr>
        <w:tc>
          <w:tcPr>
            <w:tcW w:type="dxa" w:w="4200"/>
            <w:shd w:fill="FBF3F6" w:color="auto" w:val="clear"/>
            <w:tcMar>
              <w:top w:type="dxa" w:w="90"/>
              <w:left w:type="dxa" w:w="120"/>
              <w:bottom w:type="dxa" w:w="90"/>
              <w:right w:type="dxa" w:w="120"/>
            </w:tcMar>
          </w:tcPr>
          <w:p>
            <w:r>
              <w:rPr>
                <w:rFonts w:ascii="Calibri" w:cs="Calibri" w:eastAsia="Calibri" w:hAnsi="Calibri"/>
                <w:sz w:val="18"/>
                <w:szCs w:val="18"/>
              </w:rPr>
              <w:t xml:space="preserve">Hospital quality/maternal audit (Book 11)</w:t>
            </w:r>
          </w:p>
        </w:tc>
        <w:tc>
          <w:tcPr>
            <w:tcW w:type="dxa" w:w="4826"/>
            <w:shd w:fill="FBF3F6" w:color="auto" w:val="clear"/>
            <w:tcMar>
              <w:top w:type="dxa" w:w="90"/>
              <w:left w:type="dxa" w:w="120"/>
              <w:bottom w:type="dxa" w:w="90"/>
              <w:right w:type="dxa" w:w="120"/>
            </w:tcMar>
          </w:tcPr>
          <w:p>
            <w:r>
              <w:rPr>
                <w:rFonts w:ascii="Calibri" w:cs="Calibri" w:eastAsia="Calibri" w:hAnsi="Calibri"/>
                <w:sz w:val="18"/>
                <w:szCs w:val="18"/>
              </w:rPr>
              <w:t xml:space="preserve">NOT COVERED by CFP</w:t>
            </w:r>
          </w:p>
        </w:tc>
      </w:tr>
      <w:tr>
        <w:tc>
          <w:tcPr>
            <w:tcW w:type="dxa" w:w="4200"/>
            <w:shd w:fill="FFFFFF" w:color="auto" w:val="clear"/>
            <w:tcMar>
              <w:top w:type="dxa" w:w="90"/>
              <w:left w:type="dxa" w:w="120"/>
              <w:bottom w:type="dxa" w:w="90"/>
              <w:right w:type="dxa" w:w="120"/>
            </w:tcMar>
          </w:tcPr>
          <w:p>
            <w:r>
              <w:rPr>
                <w:rFonts w:ascii="Calibri" w:cs="Calibri" w:eastAsia="Calibri" w:hAnsi="Calibri"/>
                <w:sz w:val="18"/>
                <w:szCs w:val="18"/>
              </w:rPr>
              <w:t xml:space="preserve">Community-level reproductive health program planning (Book 13)</w:t>
            </w:r>
          </w:p>
        </w:tc>
        <w:tc>
          <w:tcPr>
            <w:tcW w:type="dxa" w:w="4826"/>
            <w:shd w:fill="FFFFFF" w:color="auto" w:val="clear"/>
            <w:tcMar>
              <w:top w:type="dxa" w:w="90"/>
              <w:left w:type="dxa" w:w="120"/>
              <w:bottom w:type="dxa" w:w="90"/>
              <w:right w:type="dxa" w:w="120"/>
            </w:tcMar>
          </w:tcPr>
          <w:p>
            <w:r>
              <w:rPr>
                <w:rFonts w:ascii="Calibri" w:cs="Calibri" w:eastAsia="Calibri" w:hAnsi="Calibri"/>
                <w:sz w:val="18"/>
                <w:szCs w:val="18"/>
              </w:rPr>
              <w:t xml:space="preserve">NOT COVERED — CFP is facility-based, not population-program based</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Key Points</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CFP originates from the 1999 Ryan Program, now a 2-year ACGME-accredited fellowship (2025 requirements).</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Closest international counterpart for the procedural core of Book 2; only partial overlap with Book 3.</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No coverage of perinatal mental health, hospital quality management, or population programs.</w:t>
            </w:r>
          </w:p>
        </w:tc>
      </w:tr>
    </w:tbl>
    <w:p>
      <w:pPr>
        <w:spacing w:after="100" w:before="200"/>
      </w:pPr>
      <w:r>
        <w:rPr>
          <w:rFonts w:ascii="Calibri" w:cs="Calibri" w:eastAsia="Calibri" w:hAnsi="Calibri"/>
          <w:b/>
          <w:bCs/>
          <w:color w:val="7A1F3D"/>
          <w:sz w:val="22"/>
          <w:szCs w:val="22"/>
        </w:rPr>
        <w:t xml:space="preserve">References</w:t>
      </w:r>
    </w:p>
    <w:p>
      <w:pPr>
        <w:spacing w:after="20"/>
      </w:pPr>
      <w:r>
        <w:rPr>
          <w:rFonts w:ascii="Calibri" w:cs="Calibri" w:eastAsia="Calibri" w:hAnsi="Calibri"/>
          <w:sz w:val="19"/>
          <w:szCs w:val="19"/>
        </w:rPr>
        <w:t xml:space="preserve">1. Accreditation Council for Graduate Medical Education (ACGME). Complex Family Planning Letter of Intent and Proposal.</w:t>
      </w:r>
    </w:p>
    <w:p>
      <w:pPr>
        <w:spacing w:after="100"/>
      </w:pPr>
      <w:r>
        <w:rPr>
          <w:rFonts w:ascii="Calibri" w:cs="Calibri" w:eastAsia="Calibri" w:hAnsi="Calibri"/>
          <w:i/>
          <w:iCs/>
          <w:sz w:val="17"/>
          <w:szCs w:val="17"/>
        </w:rPr>
        <w:t xml:space="preserve">     Link: </w:t>
      </w:r>
      <w:hyperlink w:history="1" r:id="rIdflvzbamdksswv1pxett0t">
        <w:r>
          <w:rPr>
            <w:rStyle w:val="Hyperlink"/>
            <w:rFonts w:ascii="Calibri" w:cs="Calibri" w:eastAsia="Calibri" w:hAnsi="Calibri"/>
            <w:sz w:val="17"/>
            <w:szCs w:val="17"/>
          </w:rPr>
          <w:t xml:space="preserve">https://www.acgme.org/globalassets/PFAssets/ProposalReviewandComment/Complex_Family_Planning_LOIandProposal.pdf</w:t>
        </w:r>
      </w:hyperlink>
    </w:p>
    <w:p>
      <w:pPr>
        <w:spacing w:after="20"/>
      </w:pPr>
      <w:r>
        <w:rPr>
          <w:rFonts w:ascii="Calibri" w:cs="Calibri" w:eastAsia="Calibri" w:hAnsi="Calibri"/>
          <w:sz w:val="19"/>
          <w:szCs w:val="19"/>
        </w:rPr>
        <w:t xml:space="preserve">2. Accreditation Council for Graduate Medical Education (ACGME). ACGME Program Requirements for Graduate Medical Education in Complex Family Planning (2025 Reformatted).</w:t>
      </w:r>
    </w:p>
    <w:p>
      <w:pPr>
        <w:spacing w:after="100"/>
      </w:pPr>
      <w:r>
        <w:rPr>
          <w:rFonts w:ascii="Calibri" w:cs="Calibri" w:eastAsia="Calibri" w:hAnsi="Calibri"/>
          <w:i/>
          <w:iCs/>
          <w:sz w:val="17"/>
          <w:szCs w:val="17"/>
        </w:rPr>
        <w:t xml:space="preserve">     Link: </w:t>
      </w:r>
      <w:hyperlink w:history="1" r:id="rIduonecdhdknwd5swc8rklf">
        <w:r>
          <w:rPr>
            <w:rStyle w:val="Hyperlink"/>
            <w:rFonts w:ascii="Calibri" w:cs="Calibri" w:eastAsia="Calibri" w:hAnsi="Calibri"/>
            <w:sz w:val="17"/>
            <w:szCs w:val="17"/>
          </w:rPr>
          <w:t xml:space="preserve">https://www.acgme.org/globalassets/pfassets/programrequirements/2025-reformatted-requirements/236_complexfamilyplanning_2025_reformatted.pdf</w:t>
        </w:r>
      </w:hyperlink>
    </w:p>
    <w:p>
      <w:pPr>
        <w:spacing w:after="20"/>
      </w:pPr>
      <w:r>
        <w:rPr>
          <w:rFonts w:ascii="Calibri" w:cs="Calibri" w:eastAsia="Calibri" w:hAnsi="Calibri"/>
          <w:sz w:val="19"/>
          <w:szCs w:val="19"/>
        </w:rPr>
        <w:t xml:space="preserve">3. UCLA Health. Complex Family Planning Fellowship, Department of Obstetrics and Gynecology.</w:t>
      </w:r>
    </w:p>
    <w:p>
      <w:pPr>
        <w:spacing w:after="100"/>
      </w:pPr>
      <w:r>
        <w:rPr>
          <w:rFonts w:ascii="Calibri" w:cs="Calibri" w:eastAsia="Calibri" w:hAnsi="Calibri"/>
          <w:i/>
          <w:iCs/>
          <w:sz w:val="17"/>
          <w:szCs w:val="17"/>
        </w:rPr>
        <w:t xml:space="preserve">     Link: </w:t>
      </w:r>
      <w:hyperlink w:history="1" r:id="rIdh3menunqnnfsv2nd05fia">
        <w:r>
          <w:rPr>
            <w:rStyle w:val="Hyperlink"/>
            <w:rFonts w:ascii="Calibri" w:cs="Calibri" w:eastAsia="Calibri" w:hAnsi="Calibri"/>
            <w:sz w:val="17"/>
            <w:szCs w:val="17"/>
          </w:rPr>
          <w:t xml:space="preserve">https://www.uclahealth.org/departments/obgyn/education/fellowship-programs/complex-family-planning-fellowship</w:t>
        </w:r>
      </w:hyperlink>
    </w:p>
    <w:p>
      <w:pPr>
        <w:pageBreakBefore/>
      </w:pPr>
      <w:r>
        <w:br/>
      </w:r>
    </w:p>
    <w:p>
      <w:pPr>
        <w:pStyle w:val="Heading1"/>
        <w:spacing w:after="200" w:before="400"/>
      </w:pPr>
      <w:r>
        <w:t xml:space="preserve">4. Track Two: Community Sexual and Reproductive Health (United Kingdom)</w:t>
      </w:r>
    </w:p>
    <w:p>
      <w:pPr>
        <w:spacing w:after="160"/>
        <w:jc w:val="both"/>
      </w:pPr>
      <w:r>
        <w:rPr>
          <w:rFonts w:ascii="Calibri" w:cs="Calibri" w:eastAsia="Calibri" w:hAnsi="Calibri"/>
          <w:b w:val="false"/>
          <w:bCs w:val="false"/>
          <w:i w:val="false"/>
          <w:iCs w:val="false"/>
          <w:sz w:val="22"/>
          <w:szCs w:val="22"/>
        </w:rPr>
        <w:t xml:space="preserve">This pathway has the longest institutional history and the closest philosophical kinship to Obginsos. Its governing body, now the College of Sexual and Reproductive Healthcare (CoSRH), was founded in 1993 as the Faculty of Family Planning and Reproductive Health Care, later renamed the Faculty of Sexual &amp; Reproductive Healthcare (FSRH) — long affiliated with RCOG — and most recently renamed CoSRH, now operating independently and representing over 14,000 professionals.[1] On this institutional foundation runs the Community Sexual and Reproductive Health (CSRH) training programme: a competency-based, six-year pathway (from ST1) approved by the General Medical Council (GMC), awarding a Certificate of Completion of Training (CCT); trainees sit the MCSRH Part I examination in year 3 and MCSRH Part II in year 6.[2,3]</w:t>
      </w:r>
    </w:p>
    <w:p>
      <w:pPr>
        <w:pStyle w:val="Heading2"/>
        <w:spacing w:after="120" w:before="260"/>
      </w:pPr>
      <w:r>
        <w:t xml:space="preserve">4.1 Overlap with Books 6, 7, and the Community Guidance Series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200"/>
        <w:gridCol w:w="4826"/>
      </w:tblGrid>
      <w:tr>
        <w:tc>
          <w:tcPr>
            <w:tcW w:type="dxa" w:w="4200"/>
            <w:shd w:fill="7A1F3D" w:color="auto" w:val="clear"/>
            <w:tcMar>
              <w:top w:type="dxa" w:w="100"/>
              <w:left w:type="dxa" w:w="120"/>
              <w:bottom w:type="dxa" w:w="100"/>
              <w:right w:type="dxa" w:w="120"/>
            </w:tcMar>
          </w:tcPr>
          <w:p>
            <w:r>
              <w:rPr>
                <w:rFonts w:ascii="Calibri" w:cs="Calibri" w:eastAsia="Calibri" w:hAnsi="Calibri"/>
                <w:b/>
                <w:bCs/>
                <w:color w:val="FFFFFF"/>
                <w:sz w:val="18"/>
                <w:szCs w:val="18"/>
              </w:rPr>
              <w:t xml:space="preserve">Aspect</w:t>
            </w:r>
          </w:p>
        </w:tc>
        <w:tc>
          <w:tcPr>
            <w:tcW w:type="dxa" w:w="4826"/>
            <w:shd w:fill="7A1F3D" w:color="auto" w:val="clear"/>
            <w:tcMar>
              <w:top w:type="dxa" w:w="100"/>
              <w:left w:type="dxa" w:w="120"/>
              <w:bottom w:type="dxa" w:w="100"/>
              <w:right w:type="dxa" w:w="120"/>
            </w:tcMar>
          </w:tcPr>
          <w:p>
            <w:r>
              <w:rPr>
                <w:rFonts w:ascii="Calibri" w:cs="Calibri" w:eastAsia="Calibri" w:hAnsi="Calibri"/>
                <w:b/>
                <w:bCs/>
                <w:color w:val="FFFFFF"/>
                <w:sz w:val="18"/>
                <w:szCs w:val="18"/>
              </w:rPr>
              <w:t xml:space="preserve">Overlap Status with CSRH</w:t>
            </w:r>
          </w:p>
        </w:tc>
      </w:tr>
      <w:tr>
        <w:tc>
          <w:tcPr>
            <w:tcW w:type="dxa" w:w="4200"/>
            <w:shd w:fill="FFFFFF" w:color="auto" w:val="clear"/>
            <w:tcMar>
              <w:top w:type="dxa" w:w="90"/>
              <w:left w:type="dxa" w:w="120"/>
              <w:bottom w:type="dxa" w:w="90"/>
              <w:right w:type="dxa" w:w="120"/>
            </w:tcMar>
          </w:tcPr>
          <w:p>
            <w:r>
              <w:rPr>
                <w:rFonts w:ascii="Calibri" w:cs="Calibri" w:eastAsia="Calibri" w:hAnsi="Calibri"/>
                <w:sz w:val="18"/>
                <w:szCs w:val="18"/>
              </w:rPr>
              <w:t xml:space="preserve">Identification &amp; referral of domestic/sexual violence survivors (Book 6)</w:t>
            </w:r>
          </w:p>
        </w:tc>
        <w:tc>
          <w:tcPr>
            <w:tcW w:type="dxa" w:w="4826"/>
            <w:shd w:fill="FFFFFF" w:color="auto" w:val="clear"/>
            <w:tcMar>
              <w:top w:type="dxa" w:w="90"/>
              <w:left w:type="dxa" w:w="120"/>
              <w:bottom w:type="dxa" w:w="90"/>
              <w:right w:type="dxa" w:w="120"/>
            </w:tcMar>
          </w:tcPr>
          <w:p>
            <w:r>
              <w:rPr>
                <w:rFonts w:ascii="Calibri" w:cs="Calibri" w:eastAsia="Calibri" w:hAnsi="Calibri"/>
                <w:sz w:val="18"/>
                <w:szCs w:val="18"/>
              </w:rPr>
              <w:t xml:space="preserve">FULL OVERLAP — a core CSRH component</w:t>
            </w:r>
          </w:p>
        </w:tc>
      </w:tr>
      <w:tr>
        <w:tc>
          <w:tcPr>
            <w:tcW w:type="dxa" w:w="4200"/>
            <w:shd w:fill="FBF3F6" w:color="auto" w:val="clear"/>
            <w:tcMar>
              <w:top w:type="dxa" w:w="90"/>
              <w:left w:type="dxa" w:w="120"/>
              <w:bottom w:type="dxa" w:w="90"/>
              <w:right w:type="dxa" w:w="120"/>
            </w:tcMar>
          </w:tcPr>
          <w:p>
            <w:r>
              <w:rPr>
                <w:rFonts w:ascii="Calibri" w:cs="Calibri" w:eastAsia="Calibri" w:hAnsi="Calibri"/>
                <w:sz w:val="18"/>
                <w:szCs w:val="18"/>
              </w:rPr>
              <w:t xml:space="preserve">Adolescent sexual and reproductive health (Book 7)</w:t>
            </w:r>
          </w:p>
        </w:tc>
        <w:tc>
          <w:tcPr>
            <w:tcW w:type="dxa" w:w="4826"/>
            <w:shd w:fill="FBF3F6" w:color="auto" w:val="clear"/>
            <w:tcMar>
              <w:top w:type="dxa" w:w="90"/>
              <w:left w:type="dxa" w:w="120"/>
              <w:bottom w:type="dxa" w:w="90"/>
              <w:right w:type="dxa" w:w="120"/>
            </w:tcMar>
          </w:tcPr>
          <w:p>
            <w:r>
              <w:rPr>
                <w:rFonts w:ascii="Calibri" w:cs="Calibri" w:eastAsia="Calibri" w:hAnsi="Calibri"/>
                <w:sz w:val="18"/>
                <w:szCs w:val="18"/>
              </w:rPr>
              <w:t xml:space="preserve">FULL OVERLAP</w:t>
            </w:r>
          </w:p>
        </w:tc>
      </w:tr>
      <w:tr>
        <w:tc>
          <w:tcPr>
            <w:tcW w:type="dxa" w:w="4200"/>
            <w:shd w:fill="FFFFFF" w:color="auto" w:val="clear"/>
            <w:tcMar>
              <w:top w:type="dxa" w:w="90"/>
              <w:left w:type="dxa" w:w="120"/>
              <w:bottom w:type="dxa" w:w="90"/>
              <w:right w:type="dxa" w:w="120"/>
            </w:tcMar>
          </w:tcPr>
          <w:p>
            <w:r>
              <w:rPr>
                <w:rFonts w:ascii="Calibri" w:cs="Calibri" w:eastAsia="Calibri" w:hAnsi="Calibri"/>
                <w:sz w:val="18"/>
                <w:szCs w:val="18"/>
              </w:rPr>
              <w:t xml:space="preserve">Community-based gender-based-violence early detection guidance</w:t>
            </w:r>
          </w:p>
        </w:tc>
        <w:tc>
          <w:tcPr>
            <w:tcW w:type="dxa" w:w="4826"/>
            <w:shd w:fill="FFFFFF" w:color="auto" w:val="clear"/>
            <w:tcMar>
              <w:top w:type="dxa" w:w="90"/>
              <w:left w:type="dxa" w:w="120"/>
              <w:bottom w:type="dxa" w:w="90"/>
              <w:right w:type="dxa" w:w="120"/>
            </w:tcMar>
          </w:tcPr>
          <w:p>
            <w:r>
              <w:rPr>
                <w:rFonts w:ascii="Calibri" w:cs="Calibri" w:eastAsia="Calibri" w:hAnsi="Calibri"/>
                <w:sz w:val="18"/>
                <w:szCs w:val="18"/>
              </w:rPr>
              <w:t xml:space="preserve">FULL OVERLAP — CSRH's most distinctive territory</w:t>
            </w:r>
          </w:p>
        </w:tc>
      </w:tr>
      <w:tr>
        <w:tc>
          <w:tcPr>
            <w:tcW w:type="dxa" w:w="4200"/>
            <w:shd w:fill="FBF3F6" w:color="auto" w:val="clear"/>
            <w:tcMar>
              <w:top w:type="dxa" w:w="90"/>
              <w:left w:type="dxa" w:w="120"/>
              <w:bottom w:type="dxa" w:w="90"/>
              <w:right w:type="dxa" w:w="120"/>
            </w:tcMar>
          </w:tcPr>
          <w:p>
            <w:r>
              <w:rPr>
                <w:rFonts w:ascii="Calibri" w:cs="Calibri" w:eastAsia="Calibri" w:hAnsi="Calibri"/>
                <w:sz w:val="18"/>
                <w:szCs w:val="18"/>
              </w:rPr>
              <w:t xml:space="preserve">Forensic medico-legal documentation (Book 6)</w:t>
            </w:r>
          </w:p>
        </w:tc>
        <w:tc>
          <w:tcPr>
            <w:tcW w:type="dxa" w:w="4826"/>
            <w:shd w:fill="FBF3F6" w:color="auto" w:val="clear"/>
            <w:tcMar>
              <w:top w:type="dxa" w:w="90"/>
              <w:left w:type="dxa" w:w="120"/>
              <w:bottom w:type="dxa" w:w="90"/>
              <w:right w:type="dxa" w:w="120"/>
            </w:tcMar>
          </w:tcPr>
          <w:p>
            <w:r>
              <w:rPr>
                <w:rFonts w:ascii="Calibri" w:cs="Calibri" w:eastAsia="Calibri" w:hAnsi="Calibri"/>
                <w:sz w:val="18"/>
                <w:szCs w:val="18"/>
              </w:rPr>
              <w:t xml:space="preserve">NOT COVERED — in the UK this sits with separate forensic examiner pathways</w:t>
            </w:r>
          </w:p>
        </w:tc>
      </w:tr>
      <w:tr>
        <w:tc>
          <w:tcPr>
            <w:tcW w:type="dxa" w:w="4200"/>
            <w:shd w:fill="FFFFFF" w:color="auto" w:val="clear"/>
            <w:tcMar>
              <w:top w:type="dxa" w:w="90"/>
              <w:left w:type="dxa" w:w="120"/>
              <w:bottom w:type="dxa" w:w="90"/>
              <w:right w:type="dxa" w:w="120"/>
            </w:tcMar>
          </w:tcPr>
          <w:p>
            <w:r>
              <w:rPr>
                <w:rFonts w:ascii="Calibri" w:cs="Calibri" w:eastAsia="Calibri" w:hAnsi="Calibri"/>
                <w:sz w:val="18"/>
                <w:szCs w:val="18"/>
              </w:rPr>
              <w:t xml:space="preserve">Hospital maternal audit &amp; quality management (Book 11)</w:t>
            </w:r>
          </w:p>
        </w:tc>
        <w:tc>
          <w:tcPr>
            <w:tcW w:type="dxa" w:w="4826"/>
            <w:shd w:fill="FFFFFF" w:color="auto" w:val="clear"/>
            <w:tcMar>
              <w:top w:type="dxa" w:w="90"/>
              <w:left w:type="dxa" w:w="120"/>
              <w:bottom w:type="dxa" w:w="90"/>
              <w:right w:type="dxa" w:w="120"/>
            </w:tcMar>
          </w:tcPr>
          <w:p>
            <w:r>
              <w:rPr>
                <w:rFonts w:ascii="Calibri" w:cs="Calibri" w:eastAsia="Calibri" w:hAnsi="Calibri"/>
                <w:sz w:val="18"/>
                <w:szCs w:val="18"/>
              </w:rPr>
              <w:t xml:space="preserve">NOT COVERED</w:t>
            </w:r>
          </w:p>
        </w:tc>
      </w:tr>
      <w:tr>
        <w:tc>
          <w:tcPr>
            <w:tcW w:type="dxa" w:w="4200"/>
            <w:shd w:fill="FBF3F6" w:color="auto" w:val="clear"/>
            <w:tcMar>
              <w:top w:type="dxa" w:w="90"/>
              <w:left w:type="dxa" w:w="120"/>
              <w:bottom w:type="dxa" w:w="90"/>
              <w:right w:type="dxa" w:w="120"/>
            </w:tcMar>
          </w:tcPr>
          <w:p>
            <w:r>
              <w:rPr>
                <w:rFonts w:ascii="Calibri" w:cs="Calibri" w:eastAsia="Calibri" w:hAnsi="Calibri"/>
                <w:sz w:val="18"/>
                <w:szCs w:val="18"/>
              </w:rPr>
              <w:t xml:space="preserve">Holistic gynecologic palliative care (Book 10)</w:t>
            </w:r>
          </w:p>
        </w:tc>
        <w:tc>
          <w:tcPr>
            <w:tcW w:type="dxa" w:w="4826"/>
            <w:shd w:fill="FBF3F6" w:color="auto" w:val="clear"/>
            <w:tcMar>
              <w:top w:type="dxa" w:w="90"/>
              <w:left w:type="dxa" w:w="120"/>
              <w:bottom w:type="dxa" w:w="90"/>
              <w:right w:type="dxa" w:w="120"/>
            </w:tcMar>
          </w:tcPr>
          <w:p>
            <w:r>
              <w:rPr>
                <w:rFonts w:ascii="Calibri" w:cs="Calibri" w:eastAsia="Calibri" w:hAnsi="Calibri"/>
                <w:sz w:val="18"/>
                <w:szCs w:val="18"/>
              </w:rPr>
              <w:t xml:space="preserve">NOT COVERED</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Key Points</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CoSRH evolved 1993 → FSRH → CoSRH; approved by GMC; 6-year CCT pathway.</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Explicitly community-based — philosophically the closest of the four tracks to Obginsos's 'social' orientation.</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Full overlap with Books 6 and 7; no coverage of forensic documentation or hospital-level audit.</w:t>
            </w:r>
          </w:p>
        </w:tc>
      </w:tr>
    </w:tbl>
    <w:p>
      <w:pPr>
        <w:spacing w:after="100" w:before="200"/>
      </w:pPr>
      <w:r>
        <w:rPr>
          <w:rFonts w:ascii="Calibri" w:cs="Calibri" w:eastAsia="Calibri" w:hAnsi="Calibri"/>
          <w:b/>
          <w:bCs/>
          <w:color w:val="7A1F3D"/>
          <w:sz w:val="22"/>
          <w:szCs w:val="22"/>
        </w:rPr>
        <w:t xml:space="preserve">References</w:t>
      </w:r>
    </w:p>
    <w:p>
      <w:pPr>
        <w:spacing w:after="20"/>
      </w:pPr>
      <w:r>
        <w:rPr>
          <w:rFonts w:ascii="Calibri" w:cs="Calibri" w:eastAsia="Calibri" w:hAnsi="Calibri"/>
          <w:sz w:val="19"/>
          <w:szCs w:val="19"/>
        </w:rPr>
        <w:t xml:space="preserve">1. Wikipedia. College of Sexual and Reproductive Healthcare.</w:t>
      </w:r>
    </w:p>
    <w:p>
      <w:pPr>
        <w:spacing w:after="100"/>
      </w:pPr>
      <w:r>
        <w:rPr>
          <w:rFonts w:ascii="Calibri" w:cs="Calibri" w:eastAsia="Calibri" w:hAnsi="Calibri"/>
          <w:i/>
          <w:iCs/>
          <w:sz w:val="17"/>
          <w:szCs w:val="17"/>
        </w:rPr>
        <w:t xml:space="preserve">     Link: </w:t>
      </w:r>
      <w:hyperlink w:history="1" r:id="rId9neeotjcqrf3-l9hxotgw">
        <w:r>
          <w:rPr>
            <w:rStyle w:val="Hyperlink"/>
            <w:rFonts w:ascii="Calibri" w:cs="Calibri" w:eastAsia="Calibri" w:hAnsi="Calibri"/>
            <w:sz w:val="17"/>
            <w:szCs w:val="17"/>
          </w:rPr>
          <w:t xml:space="preserve">https://en.wikipedia.org/wiki/College_of_Sexual_and_Reproductive_Healthcare</w:t>
        </w:r>
      </w:hyperlink>
    </w:p>
    <w:p>
      <w:pPr>
        <w:spacing w:after="20"/>
      </w:pPr>
      <w:r>
        <w:rPr>
          <w:rFonts w:ascii="Calibri" w:cs="Calibri" w:eastAsia="Calibri" w:hAnsi="Calibri"/>
          <w:sz w:val="19"/>
          <w:szCs w:val="19"/>
        </w:rPr>
        <w:t xml:space="preserve">2. Severn Deanery/NHS. Community Sexual and Reproductive Health (CSRH) Training Programme.</w:t>
      </w:r>
    </w:p>
    <w:p>
      <w:pPr>
        <w:spacing w:after="100"/>
      </w:pPr>
      <w:r>
        <w:rPr>
          <w:rFonts w:ascii="Calibri" w:cs="Calibri" w:eastAsia="Calibri" w:hAnsi="Calibri"/>
          <w:i/>
          <w:iCs/>
          <w:sz w:val="17"/>
          <w:szCs w:val="17"/>
        </w:rPr>
        <w:t xml:space="preserve">     Link: </w:t>
      </w:r>
      <w:hyperlink w:history="1" r:id="rIdgz9v79oxymyawzm297nuj">
        <w:r>
          <w:rPr>
            <w:rStyle w:val="Hyperlink"/>
            <w:rFonts w:ascii="Calibri" w:cs="Calibri" w:eastAsia="Calibri" w:hAnsi="Calibri"/>
            <w:sz w:val="17"/>
            <w:szCs w:val="17"/>
          </w:rPr>
          <w:t xml:space="preserve">https://obsandgynae.severndeanery.nhs.uk/about-us/community-sexual-and-reproductive-health/</w:t>
        </w:r>
      </w:hyperlink>
    </w:p>
    <w:p>
      <w:pPr>
        <w:spacing w:after="20"/>
      </w:pPr>
      <w:r>
        <w:rPr>
          <w:rFonts w:ascii="Calibri" w:cs="Calibri" w:eastAsia="Calibri" w:hAnsi="Calibri"/>
          <w:sz w:val="19"/>
          <w:szCs w:val="19"/>
        </w:rPr>
        <w:t xml:space="preserve">3. College of Sexual and Reproductive Healthcare (CoSRH). Education &amp; Training.</w:t>
      </w:r>
    </w:p>
    <w:p>
      <w:pPr>
        <w:spacing w:after="100"/>
      </w:pPr>
      <w:r>
        <w:rPr>
          <w:rFonts w:ascii="Calibri" w:cs="Calibri" w:eastAsia="Calibri" w:hAnsi="Calibri"/>
          <w:i/>
          <w:iCs/>
          <w:sz w:val="17"/>
          <w:szCs w:val="17"/>
        </w:rPr>
        <w:t xml:space="preserve">     Link: </w:t>
      </w:r>
      <w:hyperlink w:history="1" r:id="rIdqb0qgs-2hmhvgwaotjxlz">
        <w:r>
          <w:rPr>
            <w:rStyle w:val="Hyperlink"/>
            <w:rFonts w:ascii="Calibri" w:cs="Calibri" w:eastAsia="Calibri" w:hAnsi="Calibri"/>
            <w:sz w:val="17"/>
            <w:szCs w:val="17"/>
          </w:rPr>
          <w:t xml:space="preserve">https://www.cosrh.org/Public/Public/education-training.aspx</w:t>
        </w:r>
      </w:hyperlink>
    </w:p>
    <w:p>
      <w:pPr>
        <w:pageBreakBefore/>
      </w:pPr>
      <w:r>
        <w:br/>
      </w:r>
    </w:p>
    <w:p>
      <w:pPr>
        <w:pStyle w:val="Heading1"/>
        <w:spacing w:after="200" w:before="400"/>
      </w:pPr>
      <w:r>
        <w:t xml:space="preserve">5. Track Three: Global Women's Health Fellowship (Cross-Country)</w:t>
      </w:r>
    </w:p>
    <w:p>
      <w:pPr>
        <w:spacing w:after="160"/>
        <w:jc w:val="both"/>
      </w:pPr>
      <w:r>
        <w:rPr>
          <w:rFonts w:ascii="Calibri" w:cs="Calibri" w:eastAsia="Calibri" w:hAnsi="Calibri"/>
          <w:b w:val="false"/>
          <w:bCs w:val="false"/>
          <w:i w:val="false"/>
          <w:iCs w:val="false"/>
          <w:sz w:val="22"/>
          <w:szCs w:val="22"/>
        </w:rPr>
        <w:t xml:space="preserve">Unlike CFP and CSRH, Global Women's Health Fellowship is a CATEGORY of non-ACGME programs run independently by individual academic centers, not one single program. ACOG maintains an official directory listing programs at institutions including the University of North Carolina (partnered with three South African institutions), the University of Illinois Chicago, and Boston Children's Hospital with Partners In Health.[1] A representative example is the program at Brigham and Women's Hospital: a 24-month fellowship combining clinical training, 12 months of placement at international partner sites, and a fully funded Master of Public Health (MPH) degree as an integral component.[2]</w:t>
      </w:r>
    </w:p>
    <w:p>
      <w:pPr>
        <w:spacing w:after="160"/>
        <w:jc w:val="both"/>
      </w:pPr>
      <w:r>
        <w:rPr>
          <w:rFonts w:ascii="Calibri" w:cs="Calibri" w:eastAsia="Calibri" w:hAnsi="Calibri"/>
          <w:b w:val="false"/>
          <w:bCs w:val="false"/>
          <w:i w:val="false"/>
          <w:iCs w:val="false"/>
          <w:sz w:val="22"/>
          <w:szCs w:val="22"/>
        </w:rPr>
        <w:t xml:space="preserve">Because it is not centralized under one accrediting body, structure and duration vary across institutions — the comparable program at Duke University, for instance, has at times paused intake due to funding or partner-capacity constraints, illustrating that this model is inherently more susceptible to fluctuation than formally accredited pathways like CFP.[3] Nonetheless, the general pattern is consistent: field clinical work, formal public-health education, and a global health-systems research orientation.</w:t>
      </w:r>
    </w:p>
    <w:p>
      <w:pPr>
        <w:pStyle w:val="Heading2"/>
        <w:spacing w:after="120" w:before="260"/>
      </w:pPr>
      <w:r>
        <w:t xml:space="preserve">5.1 Overlap with Books 11, 12, and 13</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400"/>
        <w:gridCol w:w="4626"/>
      </w:tblGrid>
      <w:tr>
        <w:tc>
          <w:tcPr>
            <w:tcW w:type="dxa" w:w="4400"/>
            <w:shd w:fill="7A1F3D" w:color="auto" w:val="clear"/>
            <w:tcMar>
              <w:top w:type="dxa" w:w="100"/>
              <w:left w:type="dxa" w:w="120"/>
              <w:bottom w:type="dxa" w:w="100"/>
              <w:right w:type="dxa" w:w="120"/>
            </w:tcMar>
          </w:tcPr>
          <w:p>
            <w:r>
              <w:rPr>
                <w:rFonts w:ascii="Calibri" w:cs="Calibri" w:eastAsia="Calibri" w:hAnsi="Calibri"/>
                <w:b/>
                <w:bCs/>
                <w:color w:val="FFFFFF"/>
                <w:sz w:val="18"/>
                <w:szCs w:val="18"/>
              </w:rPr>
              <w:t xml:space="preserve">Aspect</w:t>
            </w:r>
          </w:p>
        </w:tc>
        <w:tc>
          <w:tcPr>
            <w:tcW w:type="dxa" w:w="4626"/>
            <w:shd w:fill="7A1F3D" w:color="auto" w:val="clear"/>
            <w:tcMar>
              <w:top w:type="dxa" w:w="100"/>
              <w:left w:type="dxa" w:w="120"/>
              <w:bottom w:type="dxa" w:w="100"/>
              <w:right w:type="dxa" w:w="120"/>
            </w:tcMar>
          </w:tcPr>
          <w:p>
            <w:r>
              <w:rPr>
                <w:rFonts w:ascii="Calibri" w:cs="Calibri" w:eastAsia="Calibri" w:hAnsi="Calibri"/>
                <w:b/>
                <w:bCs/>
                <w:color w:val="FFFFFF"/>
                <w:sz w:val="18"/>
                <w:szCs w:val="18"/>
              </w:rPr>
              <w:t xml:space="preserve">Overlap Status</w:t>
            </w:r>
          </w:p>
        </w:tc>
      </w:tr>
      <w:tr>
        <w:tc>
          <w:tcPr>
            <w:tcW w:type="dxa" w:w="4400"/>
            <w:shd w:fill="FFFFFF" w:color="auto" w:val="clear"/>
            <w:tcMar>
              <w:top w:type="dxa" w:w="90"/>
              <w:left w:type="dxa" w:w="120"/>
              <w:bottom w:type="dxa" w:w="90"/>
              <w:right w:type="dxa" w:w="120"/>
            </w:tcMar>
          </w:tcPr>
          <w:p>
            <w:r>
              <w:rPr>
                <w:rFonts w:ascii="Calibri" w:cs="Calibri" w:eastAsia="Calibri" w:hAnsi="Calibri"/>
                <w:sz w:val="18"/>
                <w:szCs w:val="18"/>
              </w:rPr>
              <w:t xml:space="preserve">Epidemiology-based reproductive health program planning (Book 13)</w:t>
            </w:r>
          </w:p>
        </w:tc>
        <w:tc>
          <w:tcPr>
            <w:tcW w:type="dxa" w:w="4626"/>
            <w:shd w:fill="FFFFFF" w:color="auto" w:val="clear"/>
            <w:tcMar>
              <w:top w:type="dxa" w:w="90"/>
              <w:left w:type="dxa" w:w="120"/>
              <w:bottom w:type="dxa" w:w="90"/>
              <w:right w:type="dxa" w:w="120"/>
            </w:tcMar>
          </w:tcPr>
          <w:p>
            <w:r>
              <w:rPr>
                <w:rFonts w:ascii="Calibri" w:cs="Calibri" w:eastAsia="Calibri" w:hAnsi="Calibri"/>
                <w:sz w:val="18"/>
                <w:szCs w:val="18"/>
              </w:rPr>
              <w:t xml:space="preserve">FULL OVERLAP — core via the MPH component</w:t>
            </w:r>
          </w:p>
        </w:tc>
      </w:tr>
      <w:tr>
        <w:tc>
          <w:tcPr>
            <w:tcW w:type="dxa" w:w="4400"/>
            <w:shd w:fill="FBF3F6" w:color="auto" w:val="clear"/>
            <w:tcMar>
              <w:top w:type="dxa" w:w="90"/>
              <w:left w:type="dxa" w:w="120"/>
              <w:bottom w:type="dxa" w:w="90"/>
              <w:right w:type="dxa" w:w="120"/>
            </w:tcMar>
          </w:tcPr>
          <w:p>
            <w:r>
              <w:rPr>
                <w:rFonts w:ascii="Calibri" w:cs="Calibri" w:eastAsia="Calibri" w:hAnsi="Calibri"/>
                <w:sz w:val="18"/>
                <w:szCs w:val="18"/>
              </w:rPr>
              <w:t xml:space="preserve">Research methodology (Book 13)</w:t>
            </w:r>
          </w:p>
        </w:tc>
        <w:tc>
          <w:tcPr>
            <w:tcW w:type="dxa" w:w="4626"/>
            <w:shd w:fill="FBF3F6" w:color="auto" w:val="clear"/>
            <w:tcMar>
              <w:top w:type="dxa" w:w="90"/>
              <w:left w:type="dxa" w:w="120"/>
              <w:bottom w:type="dxa" w:w="90"/>
              <w:right w:type="dxa" w:w="120"/>
            </w:tcMar>
          </w:tcPr>
          <w:p>
            <w:r>
              <w:rPr>
                <w:rFonts w:ascii="Calibri" w:cs="Calibri" w:eastAsia="Calibri" w:hAnsi="Calibri"/>
                <w:sz w:val="18"/>
                <w:szCs w:val="18"/>
              </w:rPr>
              <w:t xml:space="preserve">FULL OVERLAP</w:t>
            </w:r>
          </w:p>
        </w:tc>
      </w:tr>
      <w:tr>
        <w:tc>
          <w:tcPr>
            <w:tcW w:type="dxa" w:w="4400"/>
            <w:shd w:fill="FFFFFF" w:color="auto" w:val="clear"/>
            <w:tcMar>
              <w:top w:type="dxa" w:w="90"/>
              <w:left w:type="dxa" w:w="120"/>
              <w:bottom w:type="dxa" w:w="90"/>
              <w:right w:type="dxa" w:w="120"/>
            </w:tcMar>
          </w:tcPr>
          <w:p>
            <w:r>
              <w:rPr>
                <w:rFonts w:ascii="Calibri" w:cs="Calibri" w:eastAsia="Calibri" w:hAnsi="Calibri"/>
                <w:sz w:val="18"/>
                <w:szCs w:val="18"/>
              </w:rPr>
              <w:t xml:space="preserve">Clinical education &amp; trainer development (Book 12)</w:t>
            </w:r>
          </w:p>
        </w:tc>
        <w:tc>
          <w:tcPr>
            <w:tcW w:type="dxa" w:w="4626"/>
            <w:shd w:fill="FFFFFF" w:color="auto" w:val="clear"/>
            <w:tcMar>
              <w:top w:type="dxa" w:w="90"/>
              <w:left w:type="dxa" w:w="120"/>
              <w:bottom w:type="dxa" w:w="90"/>
              <w:right w:type="dxa" w:w="120"/>
            </w:tcMar>
          </w:tcPr>
          <w:p>
            <w:r>
              <w:rPr>
                <w:rFonts w:ascii="Calibri" w:cs="Calibri" w:eastAsia="Calibri" w:hAnsi="Calibri"/>
                <w:sz w:val="18"/>
                <w:szCs w:val="18"/>
              </w:rPr>
              <w:t xml:space="preserve">FULL OVERLAP — many programs emphasize local capacity building</w:t>
            </w:r>
          </w:p>
        </w:tc>
      </w:tr>
      <w:tr>
        <w:tc>
          <w:tcPr>
            <w:tcW w:type="dxa" w:w="4400"/>
            <w:shd w:fill="FBF3F6" w:color="auto" w:val="clear"/>
            <w:tcMar>
              <w:top w:type="dxa" w:w="90"/>
              <w:left w:type="dxa" w:w="120"/>
              <w:bottom w:type="dxa" w:w="90"/>
              <w:right w:type="dxa" w:w="120"/>
            </w:tcMar>
          </w:tcPr>
          <w:p>
            <w:r>
              <w:rPr>
                <w:rFonts w:ascii="Calibri" w:cs="Calibri" w:eastAsia="Calibri" w:hAnsi="Calibri"/>
                <w:sz w:val="18"/>
                <w:szCs w:val="18"/>
              </w:rPr>
              <w:t xml:space="preserve">Hospital quality/maternal audit (Book 11)</w:t>
            </w:r>
          </w:p>
        </w:tc>
        <w:tc>
          <w:tcPr>
            <w:tcW w:type="dxa" w:w="4626"/>
            <w:shd w:fill="FBF3F6" w:color="auto" w:val="clear"/>
            <w:tcMar>
              <w:top w:type="dxa" w:w="90"/>
              <w:left w:type="dxa" w:w="120"/>
              <w:bottom w:type="dxa" w:w="90"/>
              <w:right w:type="dxa" w:w="120"/>
            </w:tcMar>
          </w:tcPr>
          <w:p>
            <w:r>
              <w:rPr>
                <w:rFonts w:ascii="Calibri" w:cs="Calibri" w:eastAsia="Calibri" w:hAnsi="Calibri"/>
                <w:sz w:val="18"/>
                <w:szCs w:val="18"/>
              </w:rPr>
              <w:t xml:space="preserve">PARTIAL — usually framed as systems-strengthening, not detailed clinical audit</w:t>
            </w:r>
          </w:p>
        </w:tc>
      </w:tr>
      <w:tr>
        <w:tc>
          <w:tcPr>
            <w:tcW w:type="dxa" w:w="4400"/>
            <w:shd w:fill="FFFFFF" w:color="auto" w:val="clear"/>
            <w:tcMar>
              <w:top w:type="dxa" w:w="90"/>
              <w:left w:type="dxa" w:w="120"/>
              <w:bottom w:type="dxa" w:w="90"/>
              <w:right w:type="dxa" w:w="120"/>
            </w:tcMar>
          </w:tcPr>
          <w:p>
            <w:r>
              <w:rPr>
                <w:rFonts w:ascii="Calibri" w:cs="Calibri" w:eastAsia="Calibri" w:hAnsi="Calibri"/>
                <w:sz w:val="18"/>
                <w:szCs w:val="18"/>
              </w:rPr>
              <w:t xml:space="preserve">Individual clinical management of sexual violence (Book 6)</w:t>
            </w:r>
          </w:p>
        </w:tc>
        <w:tc>
          <w:tcPr>
            <w:tcW w:type="dxa" w:w="4626"/>
            <w:shd w:fill="FFFFFF" w:color="auto" w:val="clear"/>
            <w:tcMar>
              <w:top w:type="dxa" w:w="90"/>
              <w:left w:type="dxa" w:w="120"/>
              <w:bottom w:type="dxa" w:w="90"/>
              <w:right w:type="dxa" w:w="120"/>
            </w:tcMar>
          </w:tcPr>
          <w:p>
            <w:r>
              <w:rPr>
                <w:rFonts w:ascii="Calibri" w:cs="Calibri" w:eastAsia="Calibri" w:hAnsi="Calibri"/>
                <w:sz w:val="18"/>
                <w:szCs w:val="18"/>
              </w:rPr>
              <w:t xml:space="preserve">NOT COVERED specifically</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23A48" w:sz="6"/>
              <w:left w:val="single" w:color="B23A48" w:sz="18"/>
              <w:bottom w:val="single" w:color="B23A48" w:sz="6"/>
              <w:right w:val="single" w:color="B23A48" w:sz="6"/>
            </w:tcBorders>
            <w:shd w:fill="FFF1F1" w:color="auto" w:val="clear"/>
            <w:tcMar>
              <w:top w:type="dxa" w:w="160"/>
              <w:left w:type="dxa" w:w="220"/>
              <w:bottom w:type="dxa" w:w="160"/>
              <w:right w:type="dxa" w:w="220"/>
            </w:tcMar>
          </w:tcPr>
          <w:p>
            <w:pPr>
              <w:spacing w:after="80"/>
            </w:pPr>
            <w:r>
              <w:rPr>
                <w:rFonts w:ascii="Calibri" w:cs="Calibri" w:eastAsia="Calibri" w:hAnsi="Calibri"/>
                <w:b/>
                <w:bCs/>
                <w:color w:val="4A1226"/>
                <w:sz w:val="22"/>
                <w:szCs w:val="22"/>
              </w:rPr>
              <w:t xml:space="preserve">⚠ Methodological Caution</w:t>
            </w:r>
          </w:p>
          <w:p>
            <w:r>
              <w:rPr>
                <w:rFonts w:ascii="Calibri" w:cs="Calibri" w:eastAsia="Calibri" w:hAnsi="Calibri"/>
                <w:sz w:val="20"/>
                <w:szCs w:val="20"/>
              </w:rPr>
              <w:t xml:space="preserve">Because Global Women's Health Fellowship has no single centralized curriculum, 'Full' markings above reflect a GENERAL PATTERN across representative programs (including Brigham and Women's), not one universal syllabus.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Key Points</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A category of non-ACGME programs, varying by institution; ACOG's directory lists several (UNC, UIC, Boston Children's, and others).</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Full overlap with Books 12-13; does not address individual procedural clinical skills.</w:t>
            </w:r>
          </w:p>
        </w:tc>
      </w:tr>
    </w:tbl>
    <w:p>
      <w:pPr>
        <w:spacing w:after="100" w:before="200"/>
      </w:pPr>
      <w:r>
        <w:rPr>
          <w:rFonts w:ascii="Calibri" w:cs="Calibri" w:eastAsia="Calibri" w:hAnsi="Calibri"/>
          <w:b/>
          <w:bCs/>
          <w:color w:val="7A1F3D"/>
          <w:sz w:val="22"/>
          <w:szCs w:val="22"/>
        </w:rPr>
        <w:t xml:space="preserve">References</w:t>
      </w:r>
    </w:p>
    <w:p>
      <w:pPr>
        <w:spacing w:after="20"/>
      </w:pPr>
      <w:r>
        <w:rPr>
          <w:rFonts w:ascii="Calibri" w:cs="Calibri" w:eastAsia="Calibri" w:hAnsi="Calibri"/>
          <w:sz w:val="19"/>
          <w:szCs w:val="19"/>
        </w:rPr>
        <w:t xml:space="preserve">1. American College of Obstetricians and Gynecologists (ACOG). Global Women's Health Fellowships and Programs Directory.</w:t>
      </w:r>
    </w:p>
    <w:p>
      <w:pPr>
        <w:spacing w:after="100"/>
      </w:pPr>
      <w:r>
        <w:rPr>
          <w:rFonts w:ascii="Calibri" w:cs="Calibri" w:eastAsia="Calibri" w:hAnsi="Calibri"/>
          <w:i/>
          <w:iCs/>
          <w:sz w:val="17"/>
          <w:szCs w:val="17"/>
        </w:rPr>
        <w:t xml:space="preserve">     Link: </w:t>
      </w:r>
      <w:hyperlink w:history="1" r:id="rIdctnou_negouq2gpak58at">
        <w:r>
          <w:rPr>
            <w:rStyle w:val="Hyperlink"/>
            <w:rFonts w:ascii="Calibri" w:cs="Calibri" w:eastAsia="Calibri" w:hAnsi="Calibri"/>
            <w:sz w:val="17"/>
            <w:szCs w:val="17"/>
          </w:rPr>
          <w:t xml:space="preserve">https://www.acog.org/programs/global-womens-health/information-center/fellowships-and-programs</w:t>
        </w:r>
      </w:hyperlink>
    </w:p>
    <w:p>
      <w:pPr>
        <w:spacing w:after="20"/>
      </w:pPr>
      <w:r>
        <w:rPr>
          <w:rFonts w:ascii="Calibri" w:cs="Calibri" w:eastAsia="Calibri" w:hAnsi="Calibri"/>
          <w:sz w:val="19"/>
          <w:szCs w:val="19"/>
        </w:rPr>
        <w:t xml:space="preserve">2. Brigham and Women's Hospital. Global Women's Health/Obstetrics &amp; Gynecology Fellowship Training Program.</w:t>
      </w:r>
    </w:p>
    <w:p>
      <w:pPr>
        <w:spacing w:after="100"/>
      </w:pPr>
      <w:r>
        <w:rPr>
          <w:rFonts w:ascii="Calibri" w:cs="Calibri" w:eastAsia="Calibri" w:hAnsi="Calibri"/>
          <w:i/>
          <w:iCs/>
          <w:sz w:val="17"/>
          <w:szCs w:val="17"/>
        </w:rPr>
        <w:t xml:space="preserve">     Link: </w:t>
      </w:r>
      <w:hyperlink w:history="1" r:id="rId2ve8yvg2c-ozmyhwr5rfw">
        <w:r>
          <w:rPr>
            <w:rStyle w:val="Hyperlink"/>
            <w:rFonts w:ascii="Calibri" w:cs="Calibri" w:eastAsia="Calibri" w:hAnsi="Calibri"/>
            <w:sz w:val="17"/>
            <w:szCs w:val="17"/>
          </w:rPr>
          <w:t xml:space="preserve">https://www.brighamandwomens.org/obgyn/for-medical-professionals/global-obgyn-fellowship</w:t>
        </w:r>
      </w:hyperlink>
    </w:p>
    <w:p>
      <w:pPr>
        <w:spacing w:after="20"/>
      </w:pPr>
      <w:r>
        <w:rPr>
          <w:rFonts w:ascii="Calibri" w:cs="Calibri" w:eastAsia="Calibri" w:hAnsi="Calibri"/>
          <w:sz w:val="19"/>
          <w:szCs w:val="19"/>
        </w:rPr>
        <w:t xml:space="preserve">3. Duke Global Health Institute. Global Health Obstetrics and Gynecology Fellowship.</w:t>
      </w:r>
    </w:p>
    <w:p>
      <w:pPr>
        <w:spacing w:after="100"/>
      </w:pPr>
      <w:r>
        <w:rPr>
          <w:rFonts w:ascii="Calibri" w:cs="Calibri" w:eastAsia="Calibri" w:hAnsi="Calibri"/>
          <w:i/>
          <w:iCs/>
          <w:sz w:val="17"/>
          <w:szCs w:val="17"/>
        </w:rPr>
        <w:t xml:space="preserve">     Link: </w:t>
      </w:r>
      <w:hyperlink w:history="1" r:id="rIdgbhmwbdkmlgmlfkv9le_y">
        <w:r>
          <w:rPr>
            <w:rStyle w:val="Hyperlink"/>
            <w:rFonts w:ascii="Calibri" w:cs="Calibri" w:eastAsia="Calibri" w:hAnsi="Calibri"/>
            <w:sz w:val="17"/>
            <w:szCs w:val="17"/>
          </w:rPr>
          <w:t xml:space="preserve">https://hyc.globalhealth.duke.edu/?p=191</w:t>
        </w:r>
      </w:hyperlink>
    </w:p>
    <w:p>
      <w:pPr>
        <w:pageBreakBefore/>
      </w:pPr>
      <w:r>
        <w:br/>
      </w:r>
    </w:p>
    <w:p>
      <w:pPr>
        <w:pStyle w:val="Heading1"/>
        <w:spacing w:after="200" w:before="400"/>
      </w:pPr>
      <w:r>
        <w:t xml:space="preserve">6. Track Four: WHO and FIGO as Standard-Setting (Not Certifying) Bodies</w:t>
      </w:r>
    </w:p>
    <w:p>
      <w:pPr>
        <w:spacing w:after="160"/>
        <w:jc w:val="both"/>
      </w:pPr>
      <w:r>
        <w:rPr>
          <w:rFonts w:ascii="Calibri" w:cs="Calibri" w:eastAsia="Calibri" w:hAnsi="Calibri"/>
          <w:b w:val="false"/>
          <w:bCs w:val="false"/>
          <w:i w:val="false"/>
          <w:iCs w:val="false"/>
          <w:sz w:val="22"/>
          <w:szCs w:val="22"/>
        </w:rPr>
        <w:t xml:space="preserve">The three preceding tracks share one trait: each CERTIFIES INDIVIDUALS through formal, staged training. The World Health Organization (WHO) and the International Federation of Gynecology and Obstetrics (FIGO) do neither — both are STANDARD-SETTING bodies whose guidance applies across countries without any individual certification mechanism. Yet their influence on Obginsos's clinical content is broader and deeper than any single training pathway, because WHO guidelines and FIGO statements underpin nearly all 14 thematic books in the Obginsos series, not merely a subset.</w:t>
      </w:r>
    </w:p>
    <w:p>
      <w:pPr>
        <w:spacing w:after="160"/>
        <w:jc w:val="both"/>
      </w:pPr>
      <w:r>
        <w:rPr>
          <w:rFonts w:ascii="Calibri" w:cs="Calibri" w:eastAsia="Calibri" w:hAnsi="Calibri"/>
          <w:b w:val="false"/>
          <w:bCs w:val="false"/>
          <w:i w:val="false"/>
          <w:iCs w:val="false"/>
          <w:sz w:val="22"/>
          <w:szCs w:val="22"/>
        </w:rPr>
        <w:t xml:space="preserve">The most consequential reference is the WHO Abortion Care Guideline, which anchors Books 2 and 3. Its first edition was published in March 2022; NOTABLY, WHO released a second edition in 2024 updating Recommendation 22 (concerning protection of access to and continuity of comprehensive abortion care against conscientious-objection barriers) — all Obginsos-derived documents citing this guideline should therefore reference the 2024 second edition, not the 2022 first edition.[1] WHO also publishes clinical and policy guidance on intimate partner and sexual violence, underpinning Book 6, and the Minimum Initial Service Package (MISP) framework for reproductive health in crisis settings, underpinning Book 13 and the corresponding community guidance document. FIGO, in turn, issues thematic statements on family planning, contraception, and safe motherhood that supplement Book 2 and the emergency-obstetrics sections of Books 1 and 11 — advocacy and policy positions rather than detailed clinical protocols.[2]</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Key Points</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WHO and FIGO set standards; they do not certify individual subspecialists — a fundamental contrast with Sections 3-5.</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Their combined influence spans more of the Obginsos curriculum than any single training pathway.</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WHO Abortion Care Guideline: cite the 2024 second edition, not the superseded 2022 first edition.</w:t>
            </w:r>
          </w:p>
        </w:tc>
      </w:tr>
    </w:tbl>
    <w:p>
      <w:pPr>
        <w:spacing w:after="100" w:before="200"/>
      </w:pPr>
      <w:r>
        <w:rPr>
          <w:rFonts w:ascii="Calibri" w:cs="Calibri" w:eastAsia="Calibri" w:hAnsi="Calibri"/>
          <w:b/>
          <w:bCs/>
          <w:color w:val="7A1F3D"/>
          <w:sz w:val="22"/>
          <w:szCs w:val="22"/>
        </w:rPr>
        <w:t xml:space="preserve">References</w:t>
      </w:r>
    </w:p>
    <w:p>
      <w:pPr>
        <w:spacing w:after="20"/>
      </w:pPr>
      <w:r>
        <w:rPr>
          <w:rFonts w:ascii="Calibri" w:cs="Calibri" w:eastAsia="Calibri" w:hAnsi="Calibri"/>
          <w:sz w:val="19"/>
          <w:szCs w:val="19"/>
        </w:rPr>
        <w:t xml:space="preserve">1. World Health Organization (WHO). Abortion Care Guideline, Second Edition. Geneva: WHO; 2024.</w:t>
      </w:r>
    </w:p>
    <w:p>
      <w:pPr>
        <w:spacing w:after="100"/>
      </w:pPr>
      <w:r>
        <w:rPr>
          <w:rFonts w:ascii="Calibri" w:cs="Calibri" w:eastAsia="Calibri" w:hAnsi="Calibri"/>
          <w:i/>
          <w:iCs/>
          <w:sz w:val="17"/>
          <w:szCs w:val="17"/>
        </w:rPr>
        <w:t xml:space="preserve">     Link: </w:t>
      </w:r>
      <w:hyperlink w:history="1" r:id="rIdoh5wiufjlnw9aq3xtrkvg">
        <w:r>
          <w:rPr>
            <w:rStyle w:val="Hyperlink"/>
            <w:rFonts w:ascii="Calibri" w:cs="Calibri" w:eastAsia="Calibri" w:hAnsi="Calibri"/>
            <w:sz w:val="17"/>
            <w:szCs w:val="17"/>
          </w:rPr>
          <w:t xml:space="preserve">https://www.ncbi.nlm.nih.gov/books/NBK617980/</w:t>
        </w:r>
      </w:hyperlink>
    </w:p>
    <w:p>
      <w:pPr>
        <w:spacing w:after="80"/>
      </w:pPr>
      <w:r>
        <w:rPr>
          <w:rFonts w:ascii="Calibri" w:cs="Calibri" w:eastAsia="Calibri" w:hAnsi="Calibri"/>
          <w:sz w:val="19"/>
          <w:szCs w:val="19"/>
        </w:rPr>
        <w:t xml:space="preserve">2. International Federation of Gynecology and Obstetrics (FIGO). FIGO Statements and Guidelines on Family Planning, Contraception, and Safe Motherhood.</w:t>
      </w:r>
    </w:p>
    <w:p>
      <w:pPr>
        <w:pageBreakBefore/>
      </w:pPr>
      <w:r>
        <w:br/>
      </w:r>
    </w:p>
    <w:p>
      <w:pPr>
        <w:pStyle w:val="Heading1"/>
        <w:spacing w:after="200" w:before="400"/>
      </w:pPr>
      <w:r>
        <w:t xml:space="preserve">7. Comprehensive Comparison Matrix: Mapping Four Tracks onto the 14 Obginsos Books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23A48" w:sz="6"/>
              <w:left w:val="single" w:color="B23A48" w:sz="18"/>
              <w:bottom w:val="single" w:color="B23A48" w:sz="6"/>
              <w:right w:val="single" w:color="B23A48" w:sz="6"/>
            </w:tcBorders>
            <w:shd w:fill="FFF1F1" w:color="auto" w:val="clear"/>
            <w:tcMar>
              <w:top w:type="dxa" w:w="160"/>
              <w:left w:type="dxa" w:w="220"/>
              <w:bottom w:type="dxa" w:w="160"/>
              <w:right w:type="dxa" w:w="220"/>
            </w:tcMar>
          </w:tcPr>
          <w:p>
            <w:pPr>
              <w:spacing w:after="80"/>
            </w:pPr>
            <w:r>
              <w:rPr>
                <w:rFonts w:ascii="Calibri" w:cs="Calibri" w:eastAsia="Calibri" w:hAnsi="Calibri"/>
                <w:b/>
                <w:bCs/>
                <w:color w:val="4A1226"/>
                <w:sz w:val="22"/>
                <w:szCs w:val="22"/>
              </w:rPr>
              <w:t xml:space="preserve">⚠ Nature of This Analysis — Read Before Proceeding</w:t>
            </w:r>
          </w:p>
          <w:p>
            <w:r>
              <w:rPr>
                <w:rFonts w:ascii="Calibri" w:cs="Calibri" w:eastAsia="Calibri" w:hAnsi="Calibri"/>
                <w:sz w:val="20"/>
                <w:szCs w:val="20"/>
              </w:rPr>
              <w:t xml:space="preserve">The matrix below is the AUTHOR'S COMPARATIVE ANALYSIS based on publicly reviewed curricula of the four tracks (Sections 3-6). It is NOT an official statement from ACGME, RCOG/CoSRH, any Global Women's Health Fellowship provider, WHO, or FIGO endorsing or equating Obginsos with their own programs. None of these five bodies has been asked for, or has granted, endorsement of this mapping.</w:t>
            </w:r>
          </w:p>
        </w:tc>
      </w:tr>
    </w:tbl>
    <w:p>
      <w:pPr>
        <w:pStyle w:val="Heading2"/>
        <w:spacing w:after="120" w:before="260"/>
      </w:pPr>
      <w:r>
        <w:t xml:space="preserve">7.1 The Matrix</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1450"/>
        <w:gridCol w:w="1450"/>
        <w:gridCol w:w="1450"/>
        <w:gridCol w:w="1276"/>
      </w:tblGrid>
      <w:tr>
        <w:trPr>
          <w:tblHeader/>
        </w:trPr>
        <w:tc>
          <w:tcPr>
            <w:tcW w:type="dxa" w:w="3400"/>
            <w:shd w:fill="7A1F3D" w:color="auto" w:val="clear"/>
            <w:tcMar>
              <w:top w:type="dxa" w:w="100"/>
              <w:left w:type="dxa" w:w="100"/>
              <w:bottom w:type="dxa" w:w="100"/>
              <w:right w:type="dxa" w:w="100"/>
            </w:tcMar>
          </w:tcPr>
          <w:p>
            <w:pPr>
              <w:jc w:val="center"/>
            </w:pPr>
            <w:r>
              <w:rPr>
                <w:rFonts w:ascii="Calibri" w:cs="Calibri" w:eastAsia="Calibri" w:hAnsi="Calibri"/>
                <w:b/>
                <w:bCs/>
                <w:color w:val="FFFFFF"/>
                <w:sz w:val="16"/>
                <w:szCs w:val="16"/>
              </w:rPr>
              <w:t xml:space="preserve">Book (Obginsos Series)</w:t>
            </w:r>
          </w:p>
        </w:tc>
        <w:tc>
          <w:tcPr>
            <w:tcW w:type="dxa" w:w="1450"/>
            <w:shd w:fill="7A1F3D" w:color="auto" w:val="clear"/>
            <w:tcMar>
              <w:top w:type="dxa" w:w="100"/>
              <w:left w:type="dxa" w:w="100"/>
              <w:bottom w:type="dxa" w:w="100"/>
              <w:right w:type="dxa" w:w="100"/>
            </w:tcMar>
          </w:tcPr>
          <w:p>
            <w:pPr>
              <w:jc w:val="center"/>
            </w:pPr>
            <w:r>
              <w:rPr>
                <w:rFonts w:ascii="Calibri" w:cs="Calibri" w:eastAsia="Calibri" w:hAnsi="Calibri"/>
                <w:b/>
                <w:bCs/>
                <w:color w:val="FFFFFF"/>
                <w:sz w:val="16"/>
                <w:szCs w:val="16"/>
              </w:rPr>
              <w:t xml:space="preserve">Complex Family Planning</w:t>
            </w:r>
          </w:p>
        </w:tc>
        <w:tc>
          <w:tcPr>
            <w:tcW w:type="dxa" w:w="1450"/>
            <w:shd w:fill="7A1F3D" w:color="auto" w:val="clear"/>
            <w:tcMar>
              <w:top w:type="dxa" w:w="100"/>
              <w:left w:type="dxa" w:w="100"/>
              <w:bottom w:type="dxa" w:w="100"/>
              <w:right w:type="dxa" w:w="100"/>
            </w:tcMar>
          </w:tcPr>
          <w:p>
            <w:pPr>
              <w:jc w:val="center"/>
            </w:pPr>
            <w:r>
              <w:rPr>
                <w:rFonts w:ascii="Calibri" w:cs="Calibri" w:eastAsia="Calibri" w:hAnsi="Calibri"/>
                <w:b/>
                <w:bCs/>
                <w:color w:val="FFFFFF"/>
                <w:sz w:val="16"/>
                <w:szCs w:val="16"/>
              </w:rPr>
              <w:t xml:space="preserve">CSRH (RCOG/CoSRH)</w:t>
            </w:r>
          </w:p>
        </w:tc>
        <w:tc>
          <w:tcPr>
            <w:tcW w:type="dxa" w:w="1450"/>
            <w:shd w:fill="7A1F3D" w:color="auto" w:val="clear"/>
            <w:tcMar>
              <w:top w:type="dxa" w:w="100"/>
              <w:left w:type="dxa" w:w="100"/>
              <w:bottom w:type="dxa" w:w="100"/>
              <w:right w:type="dxa" w:w="100"/>
            </w:tcMar>
          </w:tcPr>
          <w:p>
            <w:pPr>
              <w:jc w:val="center"/>
            </w:pPr>
            <w:r>
              <w:rPr>
                <w:rFonts w:ascii="Calibri" w:cs="Calibri" w:eastAsia="Calibri" w:hAnsi="Calibri"/>
                <w:b/>
                <w:bCs/>
                <w:color w:val="FFFFFF"/>
                <w:sz w:val="16"/>
                <w:szCs w:val="16"/>
              </w:rPr>
              <w:t xml:space="preserve">Global Women's Health</w:t>
            </w:r>
          </w:p>
        </w:tc>
        <w:tc>
          <w:tcPr>
            <w:tcW w:type="dxa" w:w="1276"/>
            <w:shd w:fill="7A1F3D" w:color="auto" w:val="clear"/>
            <w:tcMar>
              <w:top w:type="dxa" w:w="100"/>
              <w:left w:type="dxa" w:w="100"/>
              <w:bottom w:type="dxa" w:w="100"/>
              <w:right w:type="dxa" w:w="100"/>
            </w:tcMar>
          </w:tcPr>
          <w:p>
            <w:pPr>
              <w:jc w:val="center"/>
            </w:pPr>
            <w:r>
              <w:rPr>
                <w:rFonts w:ascii="Calibri" w:cs="Calibri" w:eastAsia="Calibri" w:hAnsi="Calibri"/>
                <w:b/>
                <w:bCs/>
                <w:color w:val="FFFFFF"/>
                <w:sz w:val="16"/>
                <w:szCs w:val="16"/>
              </w:rPr>
              <w:t xml:space="preserve">WHO / FIGO</w:t>
            </w:r>
          </w:p>
        </w:tc>
      </w:tr>
      <w:tr>
        <w:tc>
          <w:tcPr>
            <w:tcW w:type="dxa" w:w="3400"/>
            <w:shd w:fill="FFFFFF" w:color="auto" w:val="clear"/>
            <w:tcMar>
              <w:top w:type="dxa" w:w="80"/>
              <w:left w:type="dxa" w:w="100"/>
              <w:bottom w:type="dxa" w:w="80"/>
              <w:right w:type="dxa" w:w="100"/>
            </w:tcMar>
          </w:tcPr>
          <w:p>
            <w:pPr>
              <w:jc w:val="left"/>
            </w:pPr>
            <w:r>
              <w:rPr>
                <w:rFonts w:ascii="Calibri" w:cs="Calibri" w:eastAsia="Calibri" w:hAnsi="Calibri"/>
                <w:b w:val="false"/>
                <w:bCs w:val="false"/>
                <w:sz w:val="16"/>
                <w:szCs w:val="16"/>
              </w:rPr>
              <w:t xml:space="preserve">Core Book — Overview</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c>
          <w:tcPr>
            <w:tcW w:type="dxa" w:w="1276"/>
            <w:shd w:fill="E4F3E8"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Full</w:t>
            </w:r>
          </w:p>
        </w:tc>
      </w:tr>
      <w:tr>
        <w:tc>
          <w:tcPr>
            <w:tcW w:type="dxa" w:w="3400"/>
            <w:shd w:fill="FBF3F6" w:color="auto" w:val="clear"/>
            <w:tcMar>
              <w:top w:type="dxa" w:w="80"/>
              <w:left w:type="dxa" w:w="100"/>
              <w:bottom w:type="dxa" w:w="80"/>
              <w:right w:type="dxa" w:w="100"/>
            </w:tcMar>
          </w:tcPr>
          <w:p>
            <w:pPr>
              <w:jc w:val="left"/>
            </w:pPr>
            <w:r>
              <w:rPr>
                <w:rFonts w:ascii="Calibri" w:cs="Calibri" w:eastAsia="Calibri" w:hAnsi="Calibri"/>
                <w:b w:val="false"/>
                <w:bCs w:val="false"/>
                <w:sz w:val="16"/>
                <w:szCs w:val="16"/>
              </w:rPr>
              <w:t xml:space="preserve">Book 1 — Psychosocial Pregnancy &amp; Postpartum</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r>
      <w:tr>
        <w:tc>
          <w:tcPr>
            <w:tcW w:type="dxa" w:w="3400"/>
            <w:shd w:fill="FFFFFF" w:color="auto" w:val="clear"/>
            <w:tcMar>
              <w:top w:type="dxa" w:w="80"/>
              <w:left w:type="dxa" w:w="100"/>
              <w:bottom w:type="dxa" w:w="80"/>
              <w:right w:type="dxa" w:w="100"/>
            </w:tcMar>
          </w:tcPr>
          <w:p>
            <w:pPr>
              <w:jc w:val="left"/>
            </w:pPr>
            <w:r>
              <w:rPr>
                <w:rFonts w:ascii="Calibri" w:cs="Calibri" w:eastAsia="Calibri" w:hAnsi="Calibri"/>
                <w:b w:val="false"/>
                <w:bCs w:val="false"/>
                <w:sz w:val="16"/>
                <w:szCs w:val="16"/>
              </w:rPr>
              <w:t xml:space="preserve">Book 2 — Complex-Comorbidity Contraception</w:t>
            </w:r>
          </w:p>
        </w:tc>
        <w:tc>
          <w:tcPr>
            <w:tcW w:type="dxa" w:w="1450"/>
            <w:shd w:fill="E4F3E8"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Full</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r>
      <w:tr>
        <w:tc>
          <w:tcPr>
            <w:tcW w:type="dxa" w:w="3400"/>
            <w:shd w:fill="FBF3F6" w:color="auto" w:val="clear"/>
            <w:tcMar>
              <w:top w:type="dxa" w:w="80"/>
              <w:left w:type="dxa" w:w="100"/>
              <w:bottom w:type="dxa" w:w="80"/>
              <w:right w:type="dxa" w:w="100"/>
            </w:tcMar>
          </w:tcPr>
          <w:p>
            <w:pPr>
              <w:jc w:val="left"/>
            </w:pPr>
            <w:r>
              <w:rPr>
                <w:rFonts w:ascii="Calibri" w:cs="Calibri" w:eastAsia="Calibri" w:hAnsi="Calibri"/>
                <w:b w:val="false"/>
                <w:bCs w:val="false"/>
                <w:sz w:val="16"/>
                <w:szCs w:val="16"/>
              </w:rPr>
              <w:t xml:space="preserve">Book 3 — Adolescent Pregnancy &amp; Unintended Pregnancy</w:t>
            </w:r>
          </w:p>
        </w:tc>
        <w:tc>
          <w:tcPr>
            <w:tcW w:type="dxa" w:w="1450"/>
            <w:shd w:fill="E4F3E8"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Full</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r>
      <w:tr>
        <w:tc>
          <w:tcPr>
            <w:tcW w:type="dxa" w:w="3400"/>
            <w:shd w:fill="FFFFFF" w:color="auto" w:val="clear"/>
            <w:tcMar>
              <w:top w:type="dxa" w:w="80"/>
              <w:left w:type="dxa" w:w="100"/>
              <w:bottom w:type="dxa" w:w="80"/>
              <w:right w:type="dxa" w:w="100"/>
            </w:tcMar>
          </w:tcPr>
          <w:p>
            <w:pPr>
              <w:jc w:val="left"/>
            </w:pPr>
            <w:r>
              <w:rPr>
                <w:rFonts w:ascii="Calibri" w:cs="Calibri" w:eastAsia="Calibri" w:hAnsi="Calibri"/>
                <w:b w:val="false"/>
                <w:bCs w:val="false"/>
                <w:sz w:val="16"/>
                <w:szCs w:val="16"/>
              </w:rPr>
              <w:t xml:space="preserve">Book 4 — Perinatal Mental Health</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r>
      <w:tr>
        <w:tc>
          <w:tcPr>
            <w:tcW w:type="dxa" w:w="3400"/>
            <w:shd w:fill="FBF3F6" w:color="auto" w:val="clear"/>
            <w:tcMar>
              <w:top w:type="dxa" w:w="80"/>
              <w:left w:type="dxa" w:w="100"/>
              <w:bottom w:type="dxa" w:w="80"/>
              <w:right w:type="dxa" w:w="100"/>
            </w:tcMar>
          </w:tcPr>
          <w:p>
            <w:pPr>
              <w:jc w:val="left"/>
            </w:pPr>
            <w:r>
              <w:rPr>
                <w:rFonts w:ascii="Calibri" w:cs="Calibri" w:eastAsia="Calibri" w:hAnsi="Calibri"/>
                <w:b w:val="false"/>
                <w:bCs w:val="false"/>
                <w:sz w:val="16"/>
                <w:szCs w:val="16"/>
              </w:rPr>
              <w:t xml:space="preserve">Book 5 — Reproductive Nutrition</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r>
      <w:tr>
        <w:tc>
          <w:tcPr>
            <w:tcW w:type="dxa" w:w="3400"/>
            <w:shd w:fill="FFFFFF" w:color="auto" w:val="clear"/>
            <w:tcMar>
              <w:top w:type="dxa" w:w="80"/>
              <w:left w:type="dxa" w:w="100"/>
              <w:bottom w:type="dxa" w:w="80"/>
              <w:right w:type="dxa" w:w="100"/>
            </w:tcMar>
          </w:tcPr>
          <w:p>
            <w:pPr>
              <w:jc w:val="left"/>
            </w:pPr>
            <w:r>
              <w:rPr>
                <w:rFonts w:ascii="Calibri" w:cs="Calibri" w:eastAsia="Calibri" w:hAnsi="Calibri"/>
                <w:b w:val="false"/>
                <w:bCs w:val="false"/>
                <w:sz w:val="16"/>
                <w:szCs w:val="16"/>
              </w:rPr>
              <w:t xml:space="preserve">Book 6 — Gender-Based Violence &amp; Medicolegal</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450"/>
            <w:shd w:fill="E4F3E8"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Full</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c>
          <w:tcPr>
            <w:tcW w:type="dxa" w:w="1276"/>
            <w:shd w:fill="E4F3E8"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Full</w:t>
            </w:r>
          </w:p>
        </w:tc>
      </w:tr>
      <w:tr>
        <w:tc>
          <w:tcPr>
            <w:tcW w:type="dxa" w:w="3400"/>
            <w:shd w:fill="FBF3F6" w:color="auto" w:val="clear"/>
            <w:tcMar>
              <w:top w:type="dxa" w:w="80"/>
              <w:left w:type="dxa" w:w="100"/>
              <w:bottom w:type="dxa" w:w="80"/>
              <w:right w:type="dxa" w:w="100"/>
            </w:tcMar>
          </w:tcPr>
          <w:p>
            <w:pPr>
              <w:jc w:val="left"/>
            </w:pPr>
            <w:r>
              <w:rPr>
                <w:rFonts w:ascii="Calibri" w:cs="Calibri" w:eastAsia="Calibri" w:hAnsi="Calibri"/>
                <w:b w:val="false"/>
                <w:bCs w:val="false"/>
                <w:sz w:val="16"/>
                <w:szCs w:val="16"/>
              </w:rPr>
              <w:t xml:space="preserve">Book 7 — Adolescent Reproductive Health</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c>
          <w:tcPr>
            <w:tcW w:type="dxa" w:w="1450"/>
            <w:shd w:fill="E4F3E8"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Full</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r>
      <w:tr>
        <w:tc>
          <w:tcPr>
            <w:tcW w:type="dxa" w:w="3400"/>
            <w:shd w:fill="FFFFFF" w:color="auto" w:val="clear"/>
            <w:tcMar>
              <w:top w:type="dxa" w:w="80"/>
              <w:left w:type="dxa" w:w="100"/>
              <w:bottom w:type="dxa" w:w="80"/>
              <w:right w:type="dxa" w:w="100"/>
            </w:tcMar>
          </w:tcPr>
          <w:p>
            <w:pPr>
              <w:jc w:val="left"/>
            </w:pPr>
            <w:r>
              <w:rPr>
                <w:rFonts w:ascii="Calibri" w:cs="Calibri" w:eastAsia="Calibri" w:hAnsi="Calibri"/>
                <w:b w:val="false"/>
                <w:bCs w:val="false"/>
                <w:sz w:val="16"/>
                <w:szCs w:val="16"/>
              </w:rPr>
              <w:t xml:space="preserve">Book 8 — STI &amp; Holistic Sexual Health</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c>
          <w:tcPr>
            <w:tcW w:type="dxa" w:w="1450"/>
            <w:shd w:fill="E4F3E8"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Full</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r>
      <w:tr>
        <w:tc>
          <w:tcPr>
            <w:tcW w:type="dxa" w:w="3400"/>
            <w:shd w:fill="FBF3F6" w:color="auto" w:val="clear"/>
            <w:tcMar>
              <w:top w:type="dxa" w:w="80"/>
              <w:left w:type="dxa" w:w="100"/>
              <w:bottom w:type="dxa" w:w="80"/>
              <w:right w:type="dxa" w:w="100"/>
            </w:tcMar>
          </w:tcPr>
          <w:p>
            <w:pPr>
              <w:jc w:val="left"/>
            </w:pPr>
            <w:r>
              <w:rPr>
                <w:rFonts w:ascii="Calibri" w:cs="Calibri" w:eastAsia="Calibri" w:hAnsi="Calibri"/>
                <w:b w:val="false"/>
                <w:bCs w:val="false"/>
                <w:sz w:val="16"/>
                <w:szCs w:val="16"/>
              </w:rPr>
              <w:t xml:space="preserve">Book 9 — Menopause</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276"/>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r>
      <w:tr>
        <w:tc>
          <w:tcPr>
            <w:tcW w:type="dxa" w:w="3400"/>
            <w:shd w:fill="FFFFFF" w:color="auto" w:val="clear"/>
            <w:tcMar>
              <w:top w:type="dxa" w:w="80"/>
              <w:left w:type="dxa" w:w="100"/>
              <w:bottom w:type="dxa" w:w="80"/>
              <w:right w:type="dxa" w:w="100"/>
            </w:tcMar>
          </w:tcPr>
          <w:p>
            <w:pPr>
              <w:jc w:val="left"/>
            </w:pPr>
            <w:r>
              <w:rPr>
                <w:rFonts w:ascii="Calibri" w:cs="Calibri" w:eastAsia="Calibri" w:hAnsi="Calibri"/>
                <w:b w:val="false"/>
                <w:bCs w:val="false"/>
                <w:sz w:val="16"/>
                <w:szCs w:val="16"/>
              </w:rPr>
              <w:t xml:space="preserve">Book 10 — Holistic Gynecologic Palliative Care</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r>
      <w:tr>
        <w:tc>
          <w:tcPr>
            <w:tcW w:type="dxa" w:w="3400"/>
            <w:shd w:fill="FBF3F6" w:color="auto" w:val="clear"/>
            <w:tcMar>
              <w:top w:type="dxa" w:w="80"/>
              <w:left w:type="dxa" w:w="100"/>
              <w:bottom w:type="dxa" w:w="80"/>
              <w:right w:type="dxa" w:w="100"/>
            </w:tcMar>
          </w:tcPr>
          <w:p>
            <w:pPr>
              <w:jc w:val="left"/>
            </w:pPr>
            <w:r>
              <w:rPr>
                <w:rFonts w:ascii="Calibri" w:cs="Calibri" w:eastAsia="Calibri" w:hAnsi="Calibri"/>
                <w:b w:val="false"/>
                <w:bCs w:val="false"/>
                <w:sz w:val="16"/>
                <w:szCs w:val="16"/>
              </w:rPr>
              <w:t xml:space="preserve">Book 11 — Hospital Quality Management</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450"/>
            <w:shd w:fill="E4F3E8"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Full</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r>
      <w:tr>
        <w:tc>
          <w:tcPr>
            <w:tcW w:type="dxa" w:w="3400"/>
            <w:shd w:fill="FFFFFF" w:color="auto" w:val="clear"/>
            <w:tcMar>
              <w:top w:type="dxa" w:w="80"/>
              <w:left w:type="dxa" w:w="100"/>
              <w:bottom w:type="dxa" w:w="80"/>
              <w:right w:type="dxa" w:w="100"/>
            </w:tcMar>
          </w:tcPr>
          <w:p>
            <w:pPr>
              <w:jc w:val="left"/>
            </w:pPr>
            <w:r>
              <w:rPr>
                <w:rFonts w:ascii="Calibri" w:cs="Calibri" w:eastAsia="Calibri" w:hAnsi="Calibri"/>
                <w:b w:val="false"/>
                <w:bCs w:val="false"/>
                <w:sz w:val="16"/>
                <w:szCs w:val="16"/>
              </w:rPr>
              <w:t xml:space="preserve">Book 12 — Clinical Education &amp; Trainer Development</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c>
          <w:tcPr>
            <w:tcW w:type="dxa" w:w="1450"/>
            <w:shd w:fill="E4F3E8"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Full</w:t>
            </w:r>
          </w:p>
        </w:tc>
        <w:tc>
          <w:tcPr>
            <w:tcW w:type="dxa" w:w="1276"/>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r>
      <w:tr>
        <w:tc>
          <w:tcPr>
            <w:tcW w:type="dxa" w:w="3400"/>
            <w:shd w:fill="FBF3F6" w:color="auto" w:val="clear"/>
            <w:tcMar>
              <w:top w:type="dxa" w:w="80"/>
              <w:left w:type="dxa" w:w="100"/>
              <w:bottom w:type="dxa" w:w="80"/>
              <w:right w:type="dxa" w:w="100"/>
            </w:tcMar>
          </w:tcPr>
          <w:p>
            <w:pPr>
              <w:jc w:val="left"/>
            </w:pPr>
            <w:r>
              <w:rPr>
                <w:rFonts w:ascii="Calibri" w:cs="Calibri" w:eastAsia="Calibri" w:hAnsi="Calibri"/>
                <w:b w:val="false"/>
                <w:bCs w:val="false"/>
                <w:sz w:val="16"/>
                <w:szCs w:val="16"/>
              </w:rPr>
              <w:t xml:space="preserve">Book 13 — Community Program, Data Systems &amp; Research</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None</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Partial</w:t>
            </w:r>
          </w:p>
        </w:tc>
        <w:tc>
          <w:tcPr>
            <w:tcW w:type="dxa" w:w="1450"/>
            <w:shd w:fill="E4F3E8"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Full</w:t>
            </w:r>
          </w:p>
        </w:tc>
        <w:tc>
          <w:tcPr>
            <w:tcW w:type="dxa" w:w="1276"/>
            <w:shd w:fill="E4F3E8" w:color="auto" w:val="clear"/>
            <w:tcMar>
              <w:top w:type="dxa" w:w="80"/>
              <w:left w:type="dxa" w:w="100"/>
              <w:bottom w:type="dxa" w:w="80"/>
              <w:right w:type="dxa" w:w="100"/>
            </w:tcMar>
          </w:tcPr>
          <w:p>
            <w:pPr>
              <w:jc w:val="center"/>
            </w:pPr>
            <w:r>
              <w:rPr>
                <w:rFonts w:ascii="Calibri" w:cs="Calibri" w:eastAsia="Calibri" w:hAnsi="Calibri"/>
                <w:b/>
                <w:bCs/>
                <w:sz w:val="16"/>
                <w:szCs w:val="16"/>
              </w:rPr>
              <w:t xml:space="preserve">Full</w:t>
            </w:r>
          </w:p>
        </w:tc>
      </w:tr>
    </w:tbl>
    <w:p>
      <w:pPr>
        <w:spacing w:after="160"/>
      </w:pPr>
    </w:p>
    <w:p>
      <w:pPr>
        <w:pStyle w:val="Heading2"/>
        <w:spacing w:after="120" w:before="260"/>
      </w:pPr>
      <w:r>
        <w:t xml:space="preserve">7.2 Reading the Pattern</w:t>
      </w:r>
    </w:p>
    <w:p>
      <w:pPr>
        <w:spacing w:after="160"/>
        <w:jc w:val="both"/>
      </w:pPr>
      <w:r>
        <w:rPr>
          <w:rFonts w:ascii="Calibri" w:cs="Calibri" w:eastAsia="Calibri" w:hAnsi="Calibri"/>
          <w:b w:val="false"/>
          <w:bCs w:val="false"/>
          <w:i w:val="false"/>
          <w:iCs w:val="false"/>
          <w:sz w:val="22"/>
          <w:szCs w:val="22"/>
        </w:rPr>
        <w:t xml:space="preserve">Three patterns stand out. First, the WHO/FIGO column carries the most 'Full' and 'Partial' marks — confirming Section 6's claim that standard-setting influence is more pervasive than any single training pathway. Second, no column marks 'Full' for Book 4 (Perinatal Mental Health), Book 9 (Menopause), or Book 10 (Palliative Care) — these three areas are consistently the most ORIGINAL contributions of the Indonesian Obginsos curriculum relative to the four comparators. Third, Book 1's core emergency-obstetric competencies overlap weakly with all four tracks, because conventional obstetric emergency care is not itself a distinguishing feature of Obginsos — it overlaps instead with general Ob-Gyn competency, not with these four social/population-oriented tracks.</w:t>
      </w:r>
    </w:p>
    <w:p>
      <w:pPr>
        <w:spacing w:after="160"/>
        <w:jc w:val="both"/>
      </w:pPr>
      <w:r>
        <w:rPr>
          <w:rFonts w:ascii="Calibri" w:cs="Calibri" w:eastAsia="Calibri" w:hAnsi="Calibri"/>
          <w:b w:val="false"/>
          <w:bCs w:val="false"/>
          <w:i w:val="false"/>
          <w:iCs w:val="false"/>
          <w:sz w:val="22"/>
          <w:szCs w:val="22"/>
        </w:rPr>
        <w:t xml:space="preserve">This is precisely the empirical evidence supporting the digest's central argument: Indonesia has developed genuine areas of competence not yet formalized elsewhere, which — rather than being a weakness — represents Indonesia's most credible basis for future contribution back to the global subspecialty conversation.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Key Points</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This matrix is the author's analysis, not an endorsement by any of the five comparator bodies.</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WHO/FIGO overlap most broadly; each training pathway covers only part of the curriculum.</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Books 4, 9, and 10 are Obginsos's most original, least-duplicated contributions internationally.</w:t>
            </w:r>
          </w:p>
        </w:tc>
      </w:tr>
    </w:tbl>
    <w:p>
      <w:pPr>
        <w:spacing w:after="100" w:before="200"/>
      </w:pPr>
      <w:r>
        <w:rPr>
          <w:rFonts w:ascii="Calibri" w:cs="Calibri" w:eastAsia="Calibri" w:hAnsi="Calibri"/>
          <w:b/>
          <w:bCs/>
          <w:color w:val="7A1F3D"/>
          <w:sz w:val="22"/>
          <w:szCs w:val="22"/>
        </w:rPr>
        <w:t xml:space="preserve">References</w:t>
      </w:r>
    </w:p>
    <w:p>
      <w:pPr>
        <w:spacing w:after="80"/>
      </w:pPr>
      <w:r>
        <w:rPr>
          <w:rFonts w:ascii="Calibri" w:cs="Calibri" w:eastAsia="Calibri" w:hAnsi="Calibri"/>
          <w:sz w:val="19"/>
          <w:szCs w:val="19"/>
        </w:rPr>
        <w:t xml:space="preserve">1. Summary citation of Sections 1-6 (see combined reference list).</w:t>
      </w:r>
    </w:p>
    <w:p>
      <w:pPr>
        <w:pageBreakBefore/>
      </w:pPr>
      <w:r>
        <w:br/>
      </w:r>
    </w:p>
    <w:p>
      <w:pPr>
        <w:pStyle w:val="Heading1"/>
        <w:spacing w:after="200" w:before="400"/>
      </w:pPr>
      <w:r>
        <w:t xml:space="preserve">Conclusion</w:t>
      </w:r>
    </w:p>
    <w:p>
      <w:pPr>
        <w:spacing w:after="160"/>
        <w:jc w:val="both"/>
      </w:pPr>
      <w:r>
        <w:rPr>
          <w:rFonts w:ascii="Calibri" w:cs="Calibri" w:eastAsia="Calibri" w:hAnsi="Calibri"/>
          <w:b w:val="false"/>
          <w:bCs w:val="false"/>
          <w:i w:val="false"/>
          <w:iCs w:val="false"/>
          <w:sz w:val="22"/>
          <w:szCs w:val="22"/>
        </w:rPr>
        <w:t xml:space="preserve">Obginsos is best understood not as a copy of any single foreign program, but as a genuine curricular synthesis — combining the strongest elements of Complex Family Planning, Community Sexual and Reproductive Health, Global Women's Health Fellowship, and the WHO/FIGO standard-setting framework, and extending them into areas — perinatal mental health, biopsychosocial menopause care, and holistic gynecologic palliative care — that remain comparatively unformalized elsewhere. The full 15-book Indonesian-language curriculum series (of which this digest summarizes Sections 1-7) additionally comprises hospital-level clinical practice guidelines and community-level program guidance documents that operationalize this synthesis for direct patient care and public-health practice. Readers interested in pursuing formal collaboration — student exchange, joint research, or partial credit recognition — are invited to contact the publisher for the complete Indonesian-language series.</w:t>
      </w:r>
    </w:p>
    <w:p>
      <w:pPr>
        <w:pageBreakBefore/>
      </w:pPr>
      <w:r>
        <w:br/>
      </w:r>
    </w:p>
    <w:p>
      <w:pPr>
        <w:pStyle w:val="Heading1"/>
        <w:spacing w:after="200" w:before="400"/>
      </w:pPr>
      <w:r>
        <w:t xml:space="preserve">Combined Reference List</w:t>
      </w:r>
    </w:p>
    <w:p>
      <w:pPr>
        <w:spacing w:after="20"/>
      </w:pPr>
      <w:r>
        <w:rPr>
          <w:rFonts w:ascii="Calibri" w:cs="Calibri" w:eastAsia="Calibri" w:hAnsi="Calibri"/>
          <w:sz w:val="21"/>
          <w:szCs w:val="21"/>
        </w:rPr>
        <w:t xml:space="preserve">1. Meyer L, Lindqvist PG, Zizzo G. EBCOG: European Board and College of Obstetrics and Gynaecology — Who Are We? What Do We Do? Where Do We Go?</w:t>
      </w:r>
    </w:p>
    <w:p>
      <w:pPr>
        <w:spacing w:after="120"/>
      </w:pPr>
      <w:r>
        <w:rPr>
          <w:rFonts w:ascii="Calibri" w:cs="Calibri" w:eastAsia="Calibri" w:hAnsi="Calibri"/>
          <w:i/>
          <w:iCs/>
          <w:sz w:val="19"/>
          <w:szCs w:val="19"/>
        </w:rPr>
        <w:t xml:space="preserve">     Link: </w:t>
      </w:r>
      <w:hyperlink w:history="1" r:id="rIdvrujbmttjbn_d-jlhls3p">
        <w:r>
          <w:rPr>
            <w:rStyle w:val="Hyperlink"/>
            <w:rFonts w:ascii="Calibri" w:cs="Calibri" w:eastAsia="Calibri" w:hAnsi="Calibri"/>
            <w:sz w:val="19"/>
            <w:szCs w:val="19"/>
          </w:rPr>
          <w:t xml:space="preserve">https://pmc.ncbi.nlm.nih.gov/articles/PMC4154338/</w:t>
        </w:r>
      </w:hyperlink>
    </w:p>
    <w:p>
      <w:pPr>
        <w:spacing w:after="20"/>
      </w:pPr>
      <w:r>
        <w:rPr>
          <w:rFonts w:ascii="Calibri" w:cs="Calibri" w:eastAsia="Calibri" w:hAnsi="Calibri"/>
          <w:sz w:val="21"/>
          <w:szCs w:val="21"/>
        </w:rPr>
        <w:t xml:space="preserve">2. European Board and College of Obstetrics and Gynaecology (EBCOG). EBCOG Annual Report 2023.</w:t>
      </w:r>
    </w:p>
    <w:p>
      <w:pPr>
        <w:spacing w:after="120"/>
      </w:pPr>
      <w:r>
        <w:rPr>
          <w:rFonts w:ascii="Calibri" w:cs="Calibri" w:eastAsia="Calibri" w:hAnsi="Calibri"/>
          <w:i/>
          <w:iCs/>
          <w:sz w:val="19"/>
          <w:szCs w:val="19"/>
        </w:rPr>
        <w:t xml:space="preserve">     Link: </w:t>
      </w:r>
      <w:hyperlink w:history="1" r:id="rIds91xv8wwxhrpzdbqv5ums">
        <w:r>
          <w:rPr>
            <w:rStyle w:val="Hyperlink"/>
            <w:rFonts w:ascii="Calibri" w:cs="Calibri" w:eastAsia="Calibri" w:hAnsi="Calibri"/>
            <w:sz w:val="19"/>
            <w:szCs w:val="19"/>
          </w:rPr>
          <w:t xml:space="preserve">https://ebcog.eu/wp-content/uploads/2024/04/EBCOG-Annual-Report-2023-FINAL.pdf</w:t>
        </w:r>
      </w:hyperlink>
    </w:p>
    <w:p>
      <w:pPr>
        <w:spacing w:after="20"/>
      </w:pPr>
      <w:r>
        <w:rPr>
          <w:rFonts w:ascii="Calibri" w:cs="Calibri" w:eastAsia="Calibri" w:hAnsi="Calibri"/>
          <w:sz w:val="21"/>
          <w:szCs w:val="21"/>
        </w:rPr>
        <w:t xml:space="preserve">3. Accreditation Council for Graduate Medical Education (ACGME). Obstetrics and Gynecology Overview.</w:t>
      </w:r>
    </w:p>
    <w:p>
      <w:pPr>
        <w:spacing w:after="120"/>
      </w:pPr>
      <w:r>
        <w:rPr>
          <w:rFonts w:ascii="Calibri" w:cs="Calibri" w:eastAsia="Calibri" w:hAnsi="Calibri"/>
          <w:i/>
          <w:iCs/>
          <w:sz w:val="19"/>
          <w:szCs w:val="19"/>
        </w:rPr>
        <w:t xml:space="preserve">     Link: </w:t>
      </w:r>
      <w:hyperlink w:history="1" r:id="rIdwbtloedyu0yqqxvoopvhp">
        <w:r>
          <w:rPr>
            <w:rStyle w:val="Hyperlink"/>
            <w:rFonts w:ascii="Calibri" w:cs="Calibri" w:eastAsia="Calibri" w:hAnsi="Calibri"/>
            <w:sz w:val="19"/>
            <w:szCs w:val="19"/>
          </w:rPr>
          <w:t xml:space="preserve">https://www.acgme.org/specialties/obstetrics-and-gynecology/overview/</w:t>
        </w:r>
      </w:hyperlink>
    </w:p>
    <w:p>
      <w:pPr>
        <w:spacing w:after="20"/>
      </w:pPr>
      <w:r>
        <w:rPr>
          <w:rFonts w:ascii="Calibri" w:cs="Calibri" w:eastAsia="Calibri" w:hAnsi="Calibri"/>
          <w:sz w:val="21"/>
          <w:szCs w:val="21"/>
        </w:rPr>
        <w:t xml:space="preserve">4. Royal College of Obstetricians and Gynaecologists (RCOG). Reproductive Medicine Subspecialty Training.</w:t>
      </w:r>
    </w:p>
    <w:p>
      <w:pPr>
        <w:spacing w:after="120"/>
      </w:pPr>
      <w:r>
        <w:rPr>
          <w:rFonts w:ascii="Calibri" w:cs="Calibri" w:eastAsia="Calibri" w:hAnsi="Calibri"/>
          <w:i/>
          <w:iCs/>
          <w:sz w:val="19"/>
          <w:szCs w:val="19"/>
        </w:rPr>
        <w:t xml:space="preserve">     Link: </w:t>
      </w:r>
      <w:hyperlink w:history="1" r:id="rIdmpdjptbmjszc2lrwtb0j2">
        <w:r>
          <w:rPr>
            <w:rStyle w:val="Hyperlink"/>
            <w:rFonts w:ascii="Calibri" w:cs="Calibri" w:eastAsia="Calibri" w:hAnsi="Calibri"/>
            <w:sz w:val="19"/>
            <w:szCs w:val="19"/>
          </w:rPr>
          <w:t xml:space="preserve">https://www.rcog.org.uk/careers-and-training/training/curriculum/subspecialty-training-curriculum/reproductive-medicine-subspecialty-training/</w:t>
        </w:r>
      </w:hyperlink>
    </w:p>
    <w:p>
      <w:pPr>
        <w:spacing w:after="20"/>
      </w:pPr>
      <w:r>
        <w:rPr>
          <w:rFonts w:ascii="Calibri" w:cs="Calibri" w:eastAsia="Calibri" w:hAnsi="Calibri"/>
          <w:sz w:val="21"/>
          <w:szCs w:val="21"/>
        </w:rPr>
        <w:t xml:space="preserve">5. Accreditation Council for Graduate Medical Education (ACGME). Complex Family Planning Letter of Intent and Proposal.</w:t>
      </w:r>
    </w:p>
    <w:p>
      <w:pPr>
        <w:spacing w:after="120"/>
      </w:pPr>
      <w:r>
        <w:rPr>
          <w:rFonts w:ascii="Calibri" w:cs="Calibri" w:eastAsia="Calibri" w:hAnsi="Calibri"/>
          <w:i/>
          <w:iCs/>
          <w:sz w:val="19"/>
          <w:szCs w:val="19"/>
        </w:rPr>
        <w:t xml:space="preserve">     Link: </w:t>
      </w:r>
      <w:hyperlink w:history="1" r:id="rIdmb29vdjfvavejgxebhd11">
        <w:r>
          <w:rPr>
            <w:rStyle w:val="Hyperlink"/>
            <w:rFonts w:ascii="Calibri" w:cs="Calibri" w:eastAsia="Calibri" w:hAnsi="Calibri"/>
            <w:sz w:val="19"/>
            <w:szCs w:val="19"/>
          </w:rPr>
          <w:t xml:space="preserve">https://www.acgme.org/globalassets/PFAssets/ProposalReviewandComment/Complex_Family_Planning_LOIandProposal.pdf</w:t>
        </w:r>
      </w:hyperlink>
    </w:p>
    <w:p>
      <w:pPr>
        <w:spacing w:after="20"/>
      </w:pPr>
      <w:r>
        <w:rPr>
          <w:rFonts w:ascii="Calibri" w:cs="Calibri" w:eastAsia="Calibri" w:hAnsi="Calibri"/>
          <w:sz w:val="21"/>
          <w:szCs w:val="21"/>
        </w:rPr>
        <w:t xml:space="preserve">6. Accreditation Council for Graduate Medical Education (ACGME). ACGME Program Requirements for Graduate Medical Education in Complex Family Planning (2025 Reformatted).</w:t>
      </w:r>
    </w:p>
    <w:p>
      <w:pPr>
        <w:spacing w:after="120"/>
      </w:pPr>
      <w:r>
        <w:rPr>
          <w:rFonts w:ascii="Calibri" w:cs="Calibri" w:eastAsia="Calibri" w:hAnsi="Calibri"/>
          <w:i/>
          <w:iCs/>
          <w:sz w:val="19"/>
          <w:szCs w:val="19"/>
        </w:rPr>
        <w:t xml:space="preserve">     Link: </w:t>
      </w:r>
      <w:hyperlink w:history="1" r:id="rIdpfmwa5kxjrhntcaz5ygmd">
        <w:r>
          <w:rPr>
            <w:rStyle w:val="Hyperlink"/>
            <w:rFonts w:ascii="Calibri" w:cs="Calibri" w:eastAsia="Calibri" w:hAnsi="Calibri"/>
            <w:sz w:val="19"/>
            <w:szCs w:val="19"/>
          </w:rPr>
          <w:t xml:space="preserve">https://www.acgme.org/globalassets/pfassets/programrequirements/2025-reformatted-requirements/236_complexfamilyplanning_2025_reformatted.pdf</w:t>
        </w:r>
      </w:hyperlink>
    </w:p>
    <w:p>
      <w:pPr>
        <w:spacing w:after="20"/>
      </w:pPr>
      <w:r>
        <w:rPr>
          <w:rFonts w:ascii="Calibri" w:cs="Calibri" w:eastAsia="Calibri" w:hAnsi="Calibri"/>
          <w:sz w:val="21"/>
          <w:szCs w:val="21"/>
        </w:rPr>
        <w:t xml:space="preserve">7. UCLA Health. Complex Family Planning Fellowship, Department of Obstetrics and Gynecology.</w:t>
      </w:r>
    </w:p>
    <w:p>
      <w:pPr>
        <w:spacing w:after="120"/>
      </w:pPr>
      <w:r>
        <w:rPr>
          <w:rFonts w:ascii="Calibri" w:cs="Calibri" w:eastAsia="Calibri" w:hAnsi="Calibri"/>
          <w:i/>
          <w:iCs/>
          <w:sz w:val="19"/>
          <w:szCs w:val="19"/>
        </w:rPr>
        <w:t xml:space="preserve">     Link: </w:t>
      </w:r>
      <w:hyperlink w:history="1" r:id="rIdqwdi1xf-bbc3c9zwcmxzi">
        <w:r>
          <w:rPr>
            <w:rStyle w:val="Hyperlink"/>
            <w:rFonts w:ascii="Calibri" w:cs="Calibri" w:eastAsia="Calibri" w:hAnsi="Calibri"/>
            <w:sz w:val="19"/>
            <w:szCs w:val="19"/>
          </w:rPr>
          <w:t xml:space="preserve">https://www.uclahealth.org/departments/obgyn/education/fellowship-programs/complex-family-planning-fellowship</w:t>
        </w:r>
      </w:hyperlink>
    </w:p>
    <w:p>
      <w:pPr>
        <w:spacing w:after="20"/>
      </w:pPr>
      <w:r>
        <w:rPr>
          <w:rFonts w:ascii="Calibri" w:cs="Calibri" w:eastAsia="Calibri" w:hAnsi="Calibri"/>
          <w:sz w:val="21"/>
          <w:szCs w:val="21"/>
        </w:rPr>
        <w:t xml:space="preserve">8. Wikipedia. College of Sexual and Reproductive Healthcare.</w:t>
      </w:r>
    </w:p>
    <w:p>
      <w:pPr>
        <w:spacing w:after="120"/>
      </w:pPr>
      <w:r>
        <w:rPr>
          <w:rFonts w:ascii="Calibri" w:cs="Calibri" w:eastAsia="Calibri" w:hAnsi="Calibri"/>
          <w:i/>
          <w:iCs/>
          <w:sz w:val="19"/>
          <w:szCs w:val="19"/>
        </w:rPr>
        <w:t xml:space="preserve">     Link: </w:t>
      </w:r>
      <w:hyperlink w:history="1" r:id="rIdhxxook7ccyi0rcnld6nob">
        <w:r>
          <w:rPr>
            <w:rStyle w:val="Hyperlink"/>
            <w:rFonts w:ascii="Calibri" w:cs="Calibri" w:eastAsia="Calibri" w:hAnsi="Calibri"/>
            <w:sz w:val="19"/>
            <w:szCs w:val="19"/>
          </w:rPr>
          <w:t xml:space="preserve">https://en.wikipedia.org/wiki/College_of_Sexual_and_Reproductive_Healthcare</w:t>
        </w:r>
      </w:hyperlink>
    </w:p>
    <w:p>
      <w:pPr>
        <w:spacing w:after="20"/>
      </w:pPr>
      <w:r>
        <w:rPr>
          <w:rFonts w:ascii="Calibri" w:cs="Calibri" w:eastAsia="Calibri" w:hAnsi="Calibri"/>
          <w:sz w:val="21"/>
          <w:szCs w:val="21"/>
        </w:rPr>
        <w:t xml:space="preserve">9. Severn Deanery/NHS. Community Sexual and Reproductive Health (CSRH) Training Programme.</w:t>
      </w:r>
    </w:p>
    <w:p>
      <w:pPr>
        <w:spacing w:after="120"/>
      </w:pPr>
      <w:r>
        <w:rPr>
          <w:rFonts w:ascii="Calibri" w:cs="Calibri" w:eastAsia="Calibri" w:hAnsi="Calibri"/>
          <w:i/>
          <w:iCs/>
          <w:sz w:val="19"/>
          <w:szCs w:val="19"/>
        </w:rPr>
        <w:t xml:space="preserve">     Link: </w:t>
      </w:r>
      <w:hyperlink w:history="1" r:id="rIdc21v_u3icwez940j_cd2x">
        <w:r>
          <w:rPr>
            <w:rStyle w:val="Hyperlink"/>
            <w:rFonts w:ascii="Calibri" w:cs="Calibri" w:eastAsia="Calibri" w:hAnsi="Calibri"/>
            <w:sz w:val="19"/>
            <w:szCs w:val="19"/>
          </w:rPr>
          <w:t xml:space="preserve">https://obsandgynae.severndeanery.nhs.uk/about-us/community-sexual-and-reproductive-health/</w:t>
        </w:r>
      </w:hyperlink>
    </w:p>
    <w:p>
      <w:pPr>
        <w:spacing w:after="20"/>
      </w:pPr>
      <w:r>
        <w:rPr>
          <w:rFonts w:ascii="Calibri" w:cs="Calibri" w:eastAsia="Calibri" w:hAnsi="Calibri"/>
          <w:sz w:val="21"/>
          <w:szCs w:val="21"/>
        </w:rPr>
        <w:t xml:space="preserve">10. College of Sexual and Reproductive Healthcare (CoSRH). Education &amp; Training.</w:t>
      </w:r>
    </w:p>
    <w:p>
      <w:pPr>
        <w:spacing w:after="120"/>
      </w:pPr>
      <w:r>
        <w:rPr>
          <w:rFonts w:ascii="Calibri" w:cs="Calibri" w:eastAsia="Calibri" w:hAnsi="Calibri"/>
          <w:i/>
          <w:iCs/>
          <w:sz w:val="19"/>
          <w:szCs w:val="19"/>
        </w:rPr>
        <w:t xml:space="preserve">     Link: </w:t>
      </w:r>
      <w:hyperlink w:history="1" r:id="rIdfuszmkmluamdw2b1gqc4g">
        <w:r>
          <w:rPr>
            <w:rStyle w:val="Hyperlink"/>
            <w:rFonts w:ascii="Calibri" w:cs="Calibri" w:eastAsia="Calibri" w:hAnsi="Calibri"/>
            <w:sz w:val="19"/>
            <w:szCs w:val="19"/>
          </w:rPr>
          <w:t xml:space="preserve">https://www.cosrh.org/Public/Public/education-training.aspx</w:t>
        </w:r>
      </w:hyperlink>
    </w:p>
    <w:p>
      <w:pPr>
        <w:spacing w:after="20"/>
      </w:pPr>
      <w:r>
        <w:rPr>
          <w:rFonts w:ascii="Calibri" w:cs="Calibri" w:eastAsia="Calibri" w:hAnsi="Calibri"/>
          <w:sz w:val="21"/>
          <w:szCs w:val="21"/>
        </w:rPr>
        <w:t xml:space="preserve">11. American College of Obstetricians and Gynecologists (ACOG). Global Women's Health Fellowships and Programs Directory.</w:t>
      </w:r>
    </w:p>
    <w:p>
      <w:pPr>
        <w:spacing w:after="120"/>
      </w:pPr>
      <w:r>
        <w:rPr>
          <w:rFonts w:ascii="Calibri" w:cs="Calibri" w:eastAsia="Calibri" w:hAnsi="Calibri"/>
          <w:i/>
          <w:iCs/>
          <w:sz w:val="19"/>
          <w:szCs w:val="19"/>
        </w:rPr>
        <w:t xml:space="preserve">     Link: </w:t>
      </w:r>
      <w:hyperlink w:history="1" r:id="rIdgdybnn7k2ijsnldok325y">
        <w:r>
          <w:rPr>
            <w:rStyle w:val="Hyperlink"/>
            <w:rFonts w:ascii="Calibri" w:cs="Calibri" w:eastAsia="Calibri" w:hAnsi="Calibri"/>
            <w:sz w:val="19"/>
            <w:szCs w:val="19"/>
          </w:rPr>
          <w:t xml:space="preserve">https://www.acog.org/programs/global-womens-health/information-center/fellowships-and-programs</w:t>
        </w:r>
      </w:hyperlink>
    </w:p>
    <w:p>
      <w:pPr>
        <w:spacing w:after="20"/>
      </w:pPr>
      <w:r>
        <w:rPr>
          <w:rFonts w:ascii="Calibri" w:cs="Calibri" w:eastAsia="Calibri" w:hAnsi="Calibri"/>
          <w:sz w:val="21"/>
          <w:szCs w:val="21"/>
        </w:rPr>
        <w:t xml:space="preserve">12. Brigham and Women's Hospital. Global Women's Health/Obstetrics &amp; Gynecology Fellowship Training Program.</w:t>
      </w:r>
    </w:p>
    <w:p>
      <w:pPr>
        <w:spacing w:after="120"/>
      </w:pPr>
      <w:r>
        <w:rPr>
          <w:rFonts w:ascii="Calibri" w:cs="Calibri" w:eastAsia="Calibri" w:hAnsi="Calibri"/>
          <w:i/>
          <w:iCs/>
          <w:sz w:val="19"/>
          <w:szCs w:val="19"/>
        </w:rPr>
        <w:t xml:space="preserve">     Link: </w:t>
      </w:r>
      <w:hyperlink w:history="1" r:id="rIdygefibik3hirig-jh6_uy">
        <w:r>
          <w:rPr>
            <w:rStyle w:val="Hyperlink"/>
            <w:rFonts w:ascii="Calibri" w:cs="Calibri" w:eastAsia="Calibri" w:hAnsi="Calibri"/>
            <w:sz w:val="19"/>
            <w:szCs w:val="19"/>
          </w:rPr>
          <w:t xml:space="preserve">https://www.brighamandwomens.org/obgyn/for-medical-professionals/global-obgyn-fellowship</w:t>
        </w:r>
      </w:hyperlink>
    </w:p>
    <w:p>
      <w:pPr>
        <w:spacing w:after="20"/>
      </w:pPr>
      <w:r>
        <w:rPr>
          <w:rFonts w:ascii="Calibri" w:cs="Calibri" w:eastAsia="Calibri" w:hAnsi="Calibri"/>
          <w:sz w:val="21"/>
          <w:szCs w:val="21"/>
        </w:rPr>
        <w:t xml:space="preserve">13. Duke Global Health Institute. Global Health Obstetrics and Gynecology Fellowship.</w:t>
      </w:r>
    </w:p>
    <w:p>
      <w:pPr>
        <w:spacing w:after="120"/>
      </w:pPr>
      <w:r>
        <w:rPr>
          <w:rFonts w:ascii="Calibri" w:cs="Calibri" w:eastAsia="Calibri" w:hAnsi="Calibri"/>
          <w:i/>
          <w:iCs/>
          <w:sz w:val="19"/>
          <w:szCs w:val="19"/>
        </w:rPr>
        <w:t xml:space="preserve">     Link: </w:t>
      </w:r>
      <w:hyperlink w:history="1" r:id="rIdrvrnz0tqrcc5ho0gz7mq7">
        <w:r>
          <w:rPr>
            <w:rStyle w:val="Hyperlink"/>
            <w:rFonts w:ascii="Calibri" w:cs="Calibri" w:eastAsia="Calibri" w:hAnsi="Calibri"/>
            <w:sz w:val="19"/>
            <w:szCs w:val="19"/>
          </w:rPr>
          <w:t xml:space="preserve">https://hyc.globalhealth.duke.edu/?p=191</w:t>
        </w:r>
      </w:hyperlink>
    </w:p>
    <w:p>
      <w:pPr>
        <w:spacing w:after="20"/>
      </w:pPr>
      <w:r>
        <w:rPr>
          <w:rFonts w:ascii="Calibri" w:cs="Calibri" w:eastAsia="Calibri" w:hAnsi="Calibri"/>
          <w:sz w:val="21"/>
          <w:szCs w:val="21"/>
        </w:rPr>
        <w:t xml:space="preserve">14. World Health Organization (WHO). Abortion Care Guideline, Second Edition. Geneva: WHO; 2024.</w:t>
      </w:r>
    </w:p>
    <w:p>
      <w:pPr>
        <w:spacing w:after="120"/>
      </w:pPr>
      <w:r>
        <w:rPr>
          <w:rFonts w:ascii="Calibri" w:cs="Calibri" w:eastAsia="Calibri" w:hAnsi="Calibri"/>
          <w:i/>
          <w:iCs/>
          <w:sz w:val="19"/>
          <w:szCs w:val="19"/>
        </w:rPr>
        <w:t xml:space="preserve">     Link: </w:t>
      </w:r>
      <w:hyperlink w:history="1" r:id="rIdvndvn1itjb1fn8djsop_g">
        <w:r>
          <w:rPr>
            <w:rStyle w:val="Hyperlink"/>
            <w:rFonts w:ascii="Calibri" w:cs="Calibri" w:eastAsia="Calibri" w:hAnsi="Calibri"/>
            <w:sz w:val="19"/>
            <w:szCs w:val="19"/>
          </w:rPr>
          <w:t xml:space="preserve">https://www.ncbi.nlm.nih.gov/books/NBK617980/</w:t>
        </w:r>
      </w:hyperlink>
    </w:p>
    <w:p>
      <w:pPr>
        <w:spacing w:after="100"/>
      </w:pPr>
      <w:r>
        <w:rPr>
          <w:rFonts w:ascii="Calibri" w:cs="Calibri" w:eastAsia="Calibri" w:hAnsi="Calibri"/>
          <w:sz w:val="21"/>
          <w:szCs w:val="21"/>
        </w:rPr>
        <w:t xml:space="preserve">15. International Federation of Gynecology and Obstetrics (FIGO). FIGO Statements and Guidelines on Family Planning, Contraception, and Safe Motherhood.</w:t>
      </w:r>
    </w:p>
    <w:p>
      <w:pPr>
        <w:spacing w:after="100"/>
      </w:pPr>
      <w:r>
        <w:rPr>
          <w:rFonts w:ascii="Calibri" w:cs="Calibri" w:eastAsia="Calibri" w:hAnsi="Calibri"/>
          <w:sz w:val="21"/>
          <w:szCs w:val="21"/>
        </w:rPr>
        <w:t xml:space="preserve">16. Konsil Kesehatan Indonesia. Decree of the Chair of Konsil Kesehatan Indonesia No. HK.01.02/KKI/1318/2026 on Competency Standards for Obstetrics and Gynecology Specialists and Subspecialists.</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99999"/>
        <w:sz w:val="16"/>
        <w:szCs w:val="16"/>
      </w:rPr>
      <w:t xml:space="preserve">Four Paths, One Direction  •  </w:t>
    </w:r>
    <w:r>
      <w:rPr>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60" w:before="300"/>
    </w:pPr>
    <w:rPr>
      <w:rFonts w:ascii="Calibri" w:cs="Calibri" w:eastAsia="Calibri" w:hAnsi="Calibri"/>
      <w:b/>
      <w:bCs/>
      <w:color w:val="7A1F3D"/>
      <w:sz w:val="32"/>
      <w:szCs w:val="32"/>
    </w:rPr>
  </w:style>
  <w:style w:type="paragraph" w:styleId="Heading2">
    <w:name w:val="Heading 2"/>
    <w:basedOn w:val="Normal"/>
    <w:next w:val="Normal"/>
    <w:qFormat/>
    <w:pPr>
      <w:spacing w:after="100" w:before="220"/>
    </w:pPr>
    <w:rPr>
      <w:rFonts w:ascii="Calibri" w:cs="Calibri" w:eastAsia="Calibri" w:hAnsi="Calibri"/>
      <w:b/>
      <w:bCs/>
      <w:color w:val="4A1226"/>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vp8e9kls_ty7z7otqohve" Type="http://schemas.openxmlformats.org/officeDocument/2006/relationships/hyperlink" Target="https://pmc.ncbi.nlm.nih.gov/articles/PMC4154338/" TargetMode="External"/><Relationship Id="rIdnbx0afcin4yganbvgp9bp" Type="http://schemas.openxmlformats.org/officeDocument/2006/relationships/hyperlink" Target="https://ebcog.eu/wp-content/uploads/2024/04/EBCOG-Annual-Report-2023-FINAL.pdf" TargetMode="External"/><Relationship Id="rIdavlp96qlgorki38dy_ylr" Type="http://schemas.openxmlformats.org/officeDocument/2006/relationships/hyperlink" Target="https://www.acgme.org/specialties/obstetrics-and-gynecology/overview/" TargetMode="External"/><Relationship Id="rIdv5nu7miksopszv4l7zecm" Type="http://schemas.openxmlformats.org/officeDocument/2006/relationships/hyperlink" Target="https://pmc.ncbi.nlm.nih.gov/articles/PMC4154338/" TargetMode="External"/><Relationship Id="rIdqvzxc6yqe5vyehgvfsp2d" Type="http://schemas.openxmlformats.org/officeDocument/2006/relationships/hyperlink" Target="https://www.rcog.org.uk/careers-and-training/training/curriculum/subspecialty-training-curriculum/reproductive-medicine-subspecialty-training/" TargetMode="External"/><Relationship Id="rIdwnqbxczoppuzljhrz5nsc" Type="http://schemas.openxmlformats.org/officeDocument/2006/relationships/hyperlink" Target="https://www.acgme.org/specialties/obstetrics-and-gynecology/overview/" TargetMode="External"/><Relationship Id="rIdflvzbamdksswv1pxett0t" Type="http://schemas.openxmlformats.org/officeDocument/2006/relationships/hyperlink" Target="https://www.acgme.org/globalassets/PFAssets/ProposalReviewandComment/Complex_Family_Planning_LOIandProposal.pdf" TargetMode="External"/><Relationship Id="rIduonecdhdknwd5swc8rklf" Type="http://schemas.openxmlformats.org/officeDocument/2006/relationships/hyperlink" Target="https://www.acgme.org/globalassets/pfassets/programrequirements/2025-reformatted-requirements/236_complexfamilyplanning_2025_reformatted.pdf" TargetMode="External"/><Relationship Id="rIdh3menunqnnfsv2nd05fia" Type="http://schemas.openxmlformats.org/officeDocument/2006/relationships/hyperlink" Target="https://www.uclahealth.org/departments/obgyn/education/fellowship-programs/complex-family-planning-fellowship" TargetMode="External"/><Relationship Id="rId9neeotjcqrf3-l9hxotgw" Type="http://schemas.openxmlformats.org/officeDocument/2006/relationships/hyperlink" Target="https://en.wikipedia.org/wiki/College_of_Sexual_and_Reproductive_Healthcare" TargetMode="External"/><Relationship Id="rIdgz9v79oxymyawzm297nuj" Type="http://schemas.openxmlformats.org/officeDocument/2006/relationships/hyperlink" Target="https://obsandgynae.severndeanery.nhs.uk/about-us/community-sexual-and-reproductive-health/" TargetMode="External"/><Relationship Id="rIdqb0qgs-2hmhvgwaotjxlz" Type="http://schemas.openxmlformats.org/officeDocument/2006/relationships/hyperlink" Target="https://www.cosrh.org/Public/Public/education-training.aspx" TargetMode="External"/><Relationship Id="rIdctnou_negouq2gpak58at" Type="http://schemas.openxmlformats.org/officeDocument/2006/relationships/hyperlink" Target="https://www.acog.org/programs/global-womens-health/information-center/fellowships-and-programs" TargetMode="External"/><Relationship Id="rId2ve8yvg2c-ozmyhwr5rfw" Type="http://schemas.openxmlformats.org/officeDocument/2006/relationships/hyperlink" Target="https://www.brighamandwomens.org/obgyn/for-medical-professionals/global-obgyn-fellowship" TargetMode="External"/><Relationship Id="rIdgbhmwbdkmlgmlfkv9le_y" Type="http://schemas.openxmlformats.org/officeDocument/2006/relationships/hyperlink" Target="https://hyc.globalhealth.duke.edu/?p=191" TargetMode="External"/><Relationship Id="rIdoh5wiufjlnw9aq3xtrkvg" Type="http://schemas.openxmlformats.org/officeDocument/2006/relationships/hyperlink" Target="https://www.ncbi.nlm.nih.gov/books/NBK617980/" TargetMode="External"/><Relationship Id="rIdvrujbmttjbn_d-jlhls3p" Type="http://schemas.openxmlformats.org/officeDocument/2006/relationships/hyperlink" Target="https://pmc.ncbi.nlm.nih.gov/articles/PMC4154338/" TargetMode="External"/><Relationship Id="rIds91xv8wwxhrpzdbqv5ums" Type="http://schemas.openxmlformats.org/officeDocument/2006/relationships/hyperlink" Target="https://ebcog.eu/wp-content/uploads/2024/04/EBCOG-Annual-Report-2023-FINAL.pdf" TargetMode="External"/><Relationship Id="rIdwbtloedyu0yqqxvoopvhp" Type="http://schemas.openxmlformats.org/officeDocument/2006/relationships/hyperlink" Target="https://www.acgme.org/specialties/obstetrics-and-gynecology/overview/" TargetMode="External"/><Relationship Id="rIdmpdjptbmjszc2lrwtb0j2" Type="http://schemas.openxmlformats.org/officeDocument/2006/relationships/hyperlink" Target="https://www.rcog.org.uk/careers-and-training/training/curriculum/subspecialty-training-curriculum/reproductive-medicine-subspecialty-training/" TargetMode="External"/><Relationship Id="rIdmb29vdjfvavejgxebhd11" Type="http://schemas.openxmlformats.org/officeDocument/2006/relationships/hyperlink" Target="https://www.acgme.org/globalassets/PFAssets/ProposalReviewandComment/Complex_Family_Planning_LOIandProposal.pdf" TargetMode="External"/><Relationship Id="rIdpfmwa5kxjrhntcaz5ygmd" Type="http://schemas.openxmlformats.org/officeDocument/2006/relationships/hyperlink" Target="https://www.acgme.org/globalassets/pfassets/programrequirements/2025-reformatted-requirements/236_complexfamilyplanning_2025_reformatted.pdf" TargetMode="External"/><Relationship Id="rIdqwdi1xf-bbc3c9zwcmxzi" Type="http://schemas.openxmlformats.org/officeDocument/2006/relationships/hyperlink" Target="https://www.uclahealth.org/departments/obgyn/education/fellowship-programs/complex-family-planning-fellowship" TargetMode="External"/><Relationship Id="rIdhxxook7ccyi0rcnld6nob" Type="http://schemas.openxmlformats.org/officeDocument/2006/relationships/hyperlink" Target="https://en.wikipedia.org/wiki/College_of_Sexual_and_Reproductive_Healthcare" TargetMode="External"/><Relationship Id="rIdc21v_u3icwez940j_cd2x" Type="http://schemas.openxmlformats.org/officeDocument/2006/relationships/hyperlink" Target="https://obsandgynae.severndeanery.nhs.uk/about-us/community-sexual-and-reproductive-health/" TargetMode="External"/><Relationship Id="rIdfuszmkmluamdw2b1gqc4g" Type="http://schemas.openxmlformats.org/officeDocument/2006/relationships/hyperlink" Target="https://www.cosrh.org/Public/Public/education-training.aspx" TargetMode="External"/><Relationship Id="rIdgdybnn7k2ijsnldok325y" Type="http://schemas.openxmlformats.org/officeDocument/2006/relationships/hyperlink" Target="https://www.acog.org/programs/global-womens-health/information-center/fellowships-and-programs" TargetMode="External"/><Relationship Id="rIdygefibik3hirig-jh6_uy" Type="http://schemas.openxmlformats.org/officeDocument/2006/relationships/hyperlink" Target="https://www.brighamandwomens.org/obgyn/for-medical-professionals/global-obgyn-fellowship" TargetMode="External"/><Relationship Id="rIdrvrnz0tqrcc5ho0gz7mq7" Type="http://schemas.openxmlformats.org/officeDocument/2006/relationships/hyperlink" Target="https://hyc.globalhealth.duke.edu/?p=191" TargetMode="External"/><Relationship Id="rIdvndvn1itjb1fn8djsop_g" Type="http://schemas.openxmlformats.org/officeDocument/2006/relationships/hyperlink" Target="https://www.ncbi.nlm.nih.gov/books/NBK617980/" TargetMode="External"/><Relationship Id="rId3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2026-08-02T08:27:31.319Z</dcterms:created>
  <dcterms:modified xsi:type="dcterms:W3CDTF">2026-08-02T08:27:31.320Z</dcterms:modified>
</cp:coreProperties>
</file>

<file path=docProps/custom.xml><?xml version="1.0" encoding="utf-8"?>
<Properties xmlns="http://schemas.openxmlformats.org/officeDocument/2006/custom-properties" xmlns:vt="http://schemas.openxmlformats.org/officeDocument/2006/docPropsVTypes"/>
</file>