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shd w:fill="7A1F3D" w:color="auto" w:val="clear"/>
            <w:tcMar>
              <w:top w:type="dxa" w:w="500"/>
              <w:left w:type="dxa" w:w="500"/>
              <w:bottom w:type="dxa" w:w="500"/>
              <w:right w:type="dxa" w:w="500"/>
            </w:tcMar>
            <w:vAlign w:val="center"/>
          </w:tcPr>
          <w:p>
            <w:pPr>
              <w:spacing w:after="160"/>
              <w:jc w:val="center"/>
            </w:pPr>
            <w:r>
              <w:rPr>
                <w:rFonts w:ascii="Calibri" w:cs="Calibri" w:eastAsia="Calibri" w:hAnsi="Calibri"/>
                <w:b/>
                <w:bCs/>
                <w:color w:val="F3D9E2"/>
                <w:sz w:val="18"/>
                <w:szCs w:val="18"/>
              </w:rPr>
              <w:t xml:space="preserve">SERI BUKU AJAR OBSTETRI GINEKOLOGI SOSIAL — BUKU 15 DARI 15</w:t>
            </w:r>
          </w:p>
          <w:p>
            <w:pPr>
              <w:spacing w:after="160"/>
              <w:jc w:val="center"/>
            </w:pPr>
            <w:r>
              <w:rPr>
                <w:rFonts w:ascii="Calibri" w:cs="Calibri" w:eastAsia="Calibri" w:hAnsi="Calibri"/>
                <w:b/>
                <w:bCs/>
                <w:color w:val="FFFFFF"/>
                <w:sz w:val="40"/>
                <w:szCs w:val="40"/>
              </w:rPr>
              <w:t xml:space="preserve">Empat Jejak, Satu Arah</w:t>
            </w:r>
          </w:p>
          <w:p>
            <w:pPr>
              <w:jc w:val="center"/>
            </w:pPr>
            <w:r>
              <w:rPr>
                <w:rFonts w:ascii="Calibri" w:cs="Calibri" w:eastAsia="Calibri" w:hAnsi="Calibri"/>
                <w:i/>
                <w:iCs/>
                <w:color w:val="F3D9E2"/>
                <w:sz w:val="22"/>
                <w:szCs w:val="22"/>
              </w:rPr>
              <w:t xml:space="preserve">Obstetri Ginekologi Sosial dalam Peta Subspesialisasi Dunia</w:t>
            </w:r>
          </w:p>
        </w:tc>
      </w:tr>
    </w:tbl>
    <w:p>
      <w:pPr>
        <w:spacing w:after="300"/>
      </w:pPr>
    </w:p>
    <w:p>
      <w:pPr>
        <w:spacing w:after="300"/>
        <w:jc w:val="center"/>
      </w:pPr>
      <w:r>
        <w:rPr>
          <w:rFonts w:ascii="Calibri" w:cs="Calibri" w:eastAsia="Calibri" w:hAnsi="Calibri"/>
          <w:i/>
          <w:iCs/>
          <w:color w:val="555555"/>
          <w:sz w:val="22"/>
          <w:szCs w:val="22"/>
        </w:rPr>
        <w:t xml:space="preserve">Menelusuri Complex Family Planning, Community Sexual and Reproductive Health, Global Women's Health Fellowship, dan Kerangka Standar WHO-FIGO sebagai Fondasi Internasional Obginsos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60"/>
              <w:jc w:val="center"/>
            </w:pPr>
            <w:r>
              <w:rPr>
                <w:rFonts w:ascii="Calibri" w:cs="Calibri" w:eastAsia="Calibri" w:hAnsi="Calibri"/>
                <w:b/>
                <w:bCs/>
                <w:color w:val="7A1F3D"/>
                <w:sz w:val="18"/>
                <w:szCs w:val="18"/>
              </w:rPr>
              <w:t xml:space="preserve">Penulis</w:t>
            </w:r>
            <w:r>
              <w:rPr>
                <w:rFonts w:ascii="Calibri" w:cs="Calibri" w:eastAsia="Calibri" w:hAnsi="Calibri"/>
                <w:sz w:val="20"/>
                <w:szCs w:val="20"/>
              </w:rPr>
              <w:t xml:space="preserve">  •  Dr.dr. Budi Siswanto, Sp.OG., Subsp.Obginsos., SH., S.Kom.</w:t>
            </w:r>
          </w:p>
          <w:p>
            <w:pPr>
              <w:spacing w:after="60"/>
              <w:jc w:val="center"/>
            </w:pPr>
            <w:r>
              <w:rPr>
                <w:rFonts w:ascii="Calibri" w:cs="Calibri" w:eastAsia="Calibri" w:hAnsi="Calibri"/>
                <w:b/>
                <w:bCs/>
                <w:color w:val="7A1F3D"/>
                <w:sz w:val="18"/>
                <w:szCs w:val="18"/>
              </w:rPr>
              <w:t xml:space="preserve">Penerbit</w:t>
            </w:r>
            <w:r>
              <w:rPr>
                <w:rFonts w:ascii="Calibri" w:cs="Calibri" w:eastAsia="Calibri" w:hAnsi="Calibri"/>
                <w:sz w:val="20"/>
                <w:szCs w:val="20"/>
              </w:rPr>
              <w:t xml:space="preserve">  •  Perpustakaan Digital ABBA</w:t>
            </w:r>
          </w:p>
          <w:p>
            <w:pPr>
              <w:spacing w:after="60"/>
              <w:jc w:val="center"/>
            </w:pPr>
            <w:r>
              <w:rPr>
                <w:rFonts w:ascii="Calibri" w:cs="Calibri" w:eastAsia="Calibri" w:hAnsi="Calibri"/>
                <w:b/>
                <w:bCs/>
                <w:color w:val="7A1F3D"/>
                <w:sz w:val="18"/>
                <w:szCs w:val="18"/>
              </w:rPr>
              <w:t xml:space="preserve">Alamat Penerbit</w:t>
            </w:r>
            <w:r>
              <w:rPr>
                <w:rFonts w:ascii="Calibri" w:cs="Calibri" w:eastAsia="Calibri" w:hAnsi="Calibri"/>
                <w:sz w:val="20"/>
                <w:szCs w:val="20"/>
              </w:rPr>
              <w:t xml:space="preserve">  •  Jl Danau Kerinci No 9 Malang</w:t>
            </w:r>
          </w:p>
          <w:p>
            <w:pPr>
              <w:jc w:val="center"/>
            </w:pPr>
            <w:r>
              <w:rPr>
                <w:rFonts w:ascii="Calibri" w:cs="Calibri" w:eastAsia="Calibri" w:hAnsi="Calibri"/>
                <w:b/>
                <w:bCs/>
                <w:color w:val="7A1F3D"/>
                <w:sz w:val="18"/>
                <w:szCs w:val="18"/>
              </w:rPr>
              <w:t xml:space="preserve">Edisi</w:t>
            </w:r>
            <w:r>
              <w:rPr>
                <w:rFonts w:ascii="Calibri" w:cs="Calibri" w:eastAsia="Calibri" w:hAnsi="Calibri"/>
                <w:sz w:val="20"/>
                <w:szCs w:val="20"/>
              </w:rPr>
              <w:t xml:space="preserve">  •  Edisi Revisi 1 — Juli 2026</w:t>
            </w:r>
          </w:p>
        </w:tc>
      </w:tr>
    </w:tbl>
    <w:p>
      <w:pPr>
        <w:spacing w:after="400"/>
      </w:pPr>
    </w:p>
    <w:p>
      <w:pPr>
        <w:jc w:val="center"/>
      </w:pPr>
      <w:r>
        <w:rPr>
          <w:rFonts w:ascii="Calibri" w:cs="Calibri" w:eastAsia="Calibri" w:hAnsi="Calibri"/>
          <w:i/>
          <w:iCs/>
          <w:sz w:val="20"/>
          <w:szCs w:val="20"/>
        </w:rPr>
        <w:t xml:space="preserve">Disusun untuk Program Pendidikan Dokter Subspesialis Obstetri Ginekologi Sosial</w:t>
      </w:r>
    </w:p>
    <w:p>
      <w:pPr>
        <w:pageBreakBefore/>
      </w:pPr>
      <w:r>
        <w:br/>
      </w:r>
    </w:p>
    <w:p>
      <w:pPr>
        <w:pStyle w:val="Heading1"/>
        <w:spacing w:after="200" w:before="400"/>
      </w:pPr>
      <w:r>
        <w:t xml:space="preserve">Kata Pengantar</w:t>
      </w:r>
    </w:p>
    <w:p>
      <w:pPr>
        <w:spacing w:after="160"/>
        <w:jc w:val="both"/>
      </w:pPr>
      <w:r>
        <w:rPr>
          <w:rFonts w:ascii="Calibri" w:cs="Calibri" w:eastAsia="Calibri" w:hAnsi="Calibri"/>
          <w:b w:val="false"/>
          <w:bCs w:val="false"/>
          <w:i w:val="false"/>
          <w:iCs w:val="false"/>
          <w:sz w:val="22"/>
          <w:szCs w:val="22"/>
        </w:rPr>
        <w:t xml:space="preserve">Buku ini lahir dari satu pertanyaan yang berulang kali diajukan peserta didik dan mitra internasional Program Pendidikan Dokter Subspesialis Obstetri Ginekologi Sosial (Obginsos): "Apa padanan subspesialisasi ini di negara lain?" Setelah penelusuran mendalam terhadap struktur subspesialisasi resmi Eropa, Inggris, dan Amerika Serikat, jawabannya ternyata tidak sederhana — dan justru ketidaksederhanaan itulah yang perlu dijelaskan secara eksplisit dan jujur kepada seluruh pemangku kepentingan Obginsos.</w:t>
      </w:r>
    </w:p>
    <w:p>
      <w:pPr>
        <w:spacing w:after="160"/>
        <w:jc w:val="both"/>
      </w:pPr>
      <w:r>
        <w:rPr>
          <w:rFonts w:ascii="Calibri" w:cs="Calibri" w:eastAsia="Calibri" w:hAnsi="Calibri"/>
          <w:b w:val="false"/>
          <w:bCs w:val="false"/>
          <w:i w:val="false"/>
          <w:iCs w:val="false"/>
          <w:sz w:val="22"/>
          <w:szCs w:val="22"/>
        </w:rPr>
        <w:t xml:space="preserve">Buku ke-15 dalam seri buku ajar Obginsos ini disusun bukan sebagai buku klinis, melainkan sebagai buku peta dan legitimasi ilmiah. Ia menempatkan Obginsos secara jujur di antara empat jejak internasional yang relevan, tanpa melebih-lebihkan maupun merendahkan posisi keilmuannya.</w:t>
      </w:r>
    </w:p>
    <w:p>
      <w:pPr>
        <w:spacing w:after="160"/>
        <w:jc w:val="both"/>
      </w:pPr>
      <w:r>
        <w:rPr>
          <w:rFonts w:ascii="Calibri" w:cs="Calibri" w:eastAsia="Calibri" w:hAnsi="Calibri"/>
          <w:b w:val="false"/>
          <w:bCs w:val="false"/>
          <w:i w:val="false"/>
          <w:iCs w:val="false"/>
          <w:sz w:val="22"/>
          <w:szCs w:val="22"/>
        </w:rPr>
        <w:t xml:space="preserve">Edisi ini (Edisi Revisi 1 — Juli 2026) merupakan hasil audit menyeluruh terhadap edisi sebelumnya: seluruh rujukan diverifikasi ulang validitasnya, sumber yang usang (termasuk rujukan EBCOG tahun 2003 dan WHO Abortion Care Guideline edisi pertama 2022) diperbarui ke sumber resmi terkini, dan penomoran sitasi per bab diperiksa ulang kesesuaiannya dengan daftar referensi. Semoga buku ini menjadi bekal bagi peserta didik untuk melangkah dengan kepercayaan diri akademik yang berbasis bukti.</w:t>
      </w:r>
    </w:p>
    <w:p>
      <w:pPr>
        <w:spacing w:before="300"/>
        <w:jc w:val="right"/>
      </w:pPr>
      <w:r>
        <w:rPr>
          <w:rFonts w:ascii="Calibri" w:cs="Calibri" w:eastAsia="Calibri" w:hAnsi="Calibri"/>
          <w:b/>
          <w:bCs/>
          <w:sz w:val="22"/>
          <w:szCs w:val="22"/>
        </w:rPr>
        <w:t xml:space="preserve">Dr.dr. Budi Siswanto, Sp.OG., Subsp.Obginsos., SH., S.Kom.</w:t>
      </w:r>
    </w:p>
    <w:p>
      <w:pPr>
        <w:pageBreakBefore/>
      </w:pPr>
      <w:r>
        <w:br/>
      </w:r>
    </w:p>
    <w:p>
      <w:pPr>
        <w:pStyle w:val="Heading1"/>
        <w:spacing w:after="200" w:before="400"/>
      </w:pPr>
      <w:r>
        <w:t xml:space="preserve">Daftar Isi</w:t>
      </w:r>
    </w:p>
    <w:p>
      <w:pPr>
        <w:tabs>
          <w:tab w:val="right" w:pos="9026" w:leader="dot"/>
        </w:tabs>
        <w:spacing w:after="120"/>
        <w:ind w:left="0"/>
      </w:pPr>
      <w:r>
        <w:rPr>
          <w:rFonts w:ascii="Calibri" w:cs="Calibri" w:eastAsia="Calibri" w:hAnsi="Calibri"/>
          <w:b/>
          <w:bCs/>
          <w:sz w:val="22"/>
          <w:szCs w:val="22"/>
        </w:rPr>
        <w:t xml:space="preserve">Kata Pengantar</w:t>
      </w:r>
      <w:r>
        <w:rPr>
          <w:sz w:val="22"/>
          <w:szCs w:val="22"/>
        </w:rPr>
        <w:t xml:space="preserve">	2</w:t>
      </w:r>
    </w:p>
    <w:p>
      <w:pPr>
        <w:tabs>
          <w:tab w:val="right" w:pos="9026" w:leader="dot"/>
        </w:tabs>
        <w:spacing w:after="120"/>
        <w:ind w:left="0"/>
      </w:pPr>
      <w:r>
        <w:rPr>
          <w:rFonts w:ascii="Calibri" w:cs="Calibri" w:eastAsia="Calibri" w:hAnsi="Calibri"/>
          <w:b/>
          <w:bCs/>
          <w:sz w:val="22"/>
          <w:szCs w:val="22"/>
        </w:rPr>
        <w:t xml:space="preserve">Daftar Singkatan</w:t>
      </w:r>
      <w:r>
        <w:rPr>
          <w:sz w:val="22"/>
          <w:szCs w:val="22"/>
        </w:rPr>
        <w:t xml:space="preserve">	4</w:t>
      </w:r>
    </w:p>
    <w:p>
      <w:pPr>
        <w:tabs>
          <w:tab w:val="right" w:pos="9026" w:leader="dot"/>
        </w:tabs>
        <w:spacing w:after="120"/>
        <w:ind w:left="0"/>
      </w:pPr>
      <w:r>
        <w:rPr>
          <w:rFonts w:ascii="Calibri" w:cs="Calibri" w:eastAsia="Calibri" w:hAnsi="Calibri"/>
          <w:b/>
          <w:bCs/>
          <w:sz w:val="22"/>
          <w:szCs w:val="22"/>
        </w:rPr>
        <w:t xml:space="preserve">Bab 1. Pendahuluan: Mengapa Obstetri Ginekologi Sosial Tidak Memiliki Padanan Tunggal di Dunia</w:t>
      </w:r>
      <w:r>
        <w:rPr>
          <w:sz w:val="22"/>
          <w:szCs w:val="22"/>
        </w:rPr>
        <w:t xml:space="preserve">	5</w:t>
      </w:r>
    </w:p>
    <w:p>
      <w:pPr>
        <w:tabs>
          <w:tab w:val="right" w:pos="9026" w:leader="dot"/>
        </w:tabs>
        <w:spacing w:after="120"/>
        <w:ind w:left="0"/>
      </w:pPr>
      <w:r>
        <w:rPr>
          <w:rFonts w:ascii="Calibri" w:cs="Calibri" w:eastAsia="Calibri" w:hAnsi="Calibri"/>
          <w:b/>
          <w:bCs/>
          <w:sz w:val="22"/>
          <w:szCs w:val="22"/>
        </w:rPr>
        <w:t xml:space="preserve">Bab 2. Peta Subspesialisasi Resmi Obstetri-Ginekologi Dunia (EBCOG, RCOG, ACGME/ABOG)</w:t>
      </w:r>
      <w:r>
        <w:rPr>
          <w:sz w:val="22"/>
          <w:szCs w:val="22"/>
        </w:rPr>
        <w:t xml:space="preserve">	8</w:t>
      </w:r>
    </w:p>
    <w:p>
      <w:pPr>
        <w:tabs>
          <w:tab w:val="right" w:pos="9026" w:leader="dot"/>
        </w:tabs>
        <w:spacing w:after="120"/>
        <w:ind w:left="0"/>
      </w:pPr>
      <w:r>
        <w:rPr>
          <w:rFonts w:ascii="Calibri" w:cs="Calibri" w:eastAsia="Calibri" w:hAnsi="Calibri"/>
          <w:b/>
          <w:bCs/>
          <w:sz w:val="22"/>
          <w:szCs w:val="22"/>
        </w:rPr>
        <w:t xml:space="preserve">Bab 3. Jejak Pertama: Complex Family Planning (Amerika Serikat)</w:t>
      </w:r>
      <w:r>
        <w:rPr>
          <w:sz w:val="22"/>
          <w:szCs w:val="22"/>
        </w:rPr>
        <w:t xml:space="preserve">	10</w:t>
      </w:r>
    </w:p>
    <w:p>
      <w:pPr>
        <w:tabs>
          <w:tab w:val="right" w:pos="9026" w:leader="dot"/>
        </w:tabs>
        <w:spacing w:after="120"/>
        <w:ind w:left="0"/>
      </w:pPr>
      <w:r>
        <w:rPr>
          <w:rFonts w:ascii="Calibri" w:cs="Calibri" w:eastAsia="Calibri" w:hAnsi="Calibri"/>
          <w:b/>
          <w:bCs/>
          <w:sz w:val="22"/>
          <w:szCs w:val="22"/>
        </w:rPr>
        <w:t xml:space="preserve">Bab 4. Jejak Kedua: Community Sexual and Reproductive Health (Inggris)</w:t>
      </w:r>
      <w:r>
        <w:rPr>
          <w:sz w:val="22"/>
          <w:szCs w:val="22"/>
        </w:rPr>
        <w:t xml:space="preserve">	12</w:t>
      </w:r>
    </w:p>
    <w:p>
      <w:pPr>
        <w:tabs>
          <w:tab w:val="right" w:pos="9026" w:leader="dot"/>
        </w:tabs>
        <w:spacing w:after="120"/>
        <w:ind w:left="0"/>
      </w:pPr>
      <w:r>
        <w:rPr>
          <w:rFonts w:ascii="Calibri" w:cs="Calibri" w:eastAsia="Calibri" w:hAnsi="Calibri"/>
          <w:b/>
          <w:bCs/>
          <w:sz w:val="22"/>
          <w:szCs w:val="22"/>
        </w:rPr>
        <w:t xml:space="preserve">Bab 5. Jejak Ketiga: Global Women's Health Fellowship (Lintas Negara)</w:t>
      </w:r>
      <w:r>
        <w:rPr>
          <w:sz w:val="22"/>
          <w:szCs w:val="22"/>
        </w:rPr>
        <w:t xml:space="preserve">	14</w:t>
      </w:r>
    </w:p>
    <w:p>
      <w:pPr>
        <w:tabs>
          <w:tab w:val="right" w:pos="9026" w:leader="dot"/>
        </w:tabs>
        <w:spacing w:after="120"/>
        <w:ind w:left="0"/>
      </w:pPr>
      <w:r>
        <w:rPr>
          <w:rFonts w:ascii="Calibri" w:cs="Calibri" w:eastAsia="Calibri" w:hAnsi="Calibri"/>
          <w:b/>
          <w:bCs/>
          <w:sz w:val="22"/>
          <w:szCs w:val="22"/>
        </w:rPr>
        <w:t xml:space="preserve">Bab 6. Jejak Keempat: WHO dan FIGO sebagai Badan Penyusun Standar</w:t>
      </w:r>
      <w:r>
        <w:rPr>
          <w:sz w:val="22"/>
          <w:szCs w:val="22"/>
        </w:rPr>
        <w:t xml:space="preserve">	16</w:t>
      </w:r>
    </w:p>
    <w:p>
      <w:pPr>
        <w:tabs>
          <w:tab w:val="right" w:pos="9026" w:leader="dot"/>
        </w:tabs>
        <w:spacing w:after="120"/>
        <w:ind w:left="0"/>
      </w:pPr>
      <w:r>
        <w:rPr>
          <w:rFonts w:ascii="Calibri" w:cs="Calibri" w:eastAsia="Calibri" w:hAnsi="Calibri"/>
          <w:b/>
          <w:bCs/>
          <w:sz w:val="22"/>
          <w:szCs w:val="22"/>
        </w:rPr>
        <w:t xml:space="preserve">Bab 7. Matriks Perbandingan Menyeluruh</w:t>
      </w:r>
      <w:r>
        <w:rPr>
          <w:sz w:val="22"/>
          <w:szCs w:val="22"/>
        </w:rPr>
        <w:t xml:space="preserve">	18</w:t>
      </w:r>
    </w:p>
    <w:p>
      <w:pPr>
        <w:tabs>
          <w:tab w:val="right" w:pos="9026" w:leader="dot"/>
        </w:tabs>
        <w:spacing w:after="120"/>
        <w:ind w:left="0"/>
      </w:pPr>
      <w:r>
        <w:rPr>
          <w:rFonts w:ascii="Calibri" w:cs="Calibri" w:eastAsia="Calibri" w:hAnsi="Calibri"/>
          <w:b/>
          <w:bCs/>
          <w:sz w:val="22"/>
          <w:szCs w:val="22"/>
        </w:rPr>
        <w:t xml:space="preserve">Bab 8. Implikasi bagi Pengembangan Kurikulum dan Pengakuan Internasional</w:t>
      </w:r>
      <w:r>
        <w:rPr>
          <w:sz w:val="22"/>
          <w:szCs w:val="22"/>
        </w:rPr>
        <w:t xml:space="preserve">	20</w:t>
      </w:r>
    </w:p>
    <w:p>
      <w:pPr>
        <w:tabs>
          <w:tab w:val="right" w:pos="9026" w:leader="dot"/>
        </w:tabs>
        <w:spacing w:after="120"/>
        <w:ind w:left="0"/>
      </w:pPr>
      <w:r>
        <w:rPr>
          <w:rFonts w:ascii="Calibri" w:cs="Calibri" w:eastAsia="Calibri" w:hAnsi="Calibri"/>
          <w:b/>
          <w:bCs/>
          <w:sz w:val="22"/>
          <w:szCs w:val="22"/>
        </w:rPr>
        <w:t xml:space="preserve">Bab 9. Rekomendasi Strategis: Jalan Menuju Pengakuan Global</w:t>
      </w:r>
      <w:r>
        <w:rPr>
          <w:sz w:val="22"/>
          <w:szCs w:val="22"/>
        </w:rPr>
        <w:t xml:space="preserve">	22</w:t>
      </w:r>
    </w:p>
    <w:p>
      <w:pPr>
        <w:tabs>
          <w:tab w:val="right" w:pos="9026" w:leader="dot"/>
        </w:tabs>
        <w:spacing w:after="120"/>
        <w:ind w:left="0"/>
      </w:pPr>
      <w:r>
        <w:rPr>
          <w:rFonts w:ascii="Calibri" w:cs="Calibri" w:eastAsia="Calibri" w:hAnsi="Calibri"/>
          <w:b/>
          <w:bCs/>
          <w:sz w:val="22"/>
          <w:szCs w:val="22"/>
        </w:rPr>
        <w:t xml:space="preserve">Glosarium</w:t>
      </w:r>
      <w:r>
        <w:rPr>
          <w:sz w:val="22"/>
          <w:szCs w:val="22"/>
        </w:rPr>
        <w:t xml:space="preserve">	24</w:t>
      </w:r>
    </w:p>
    <w:p>
      <w:pPr>
        <w:tabs>
          <w:tab w:val="right" w:pos="9026" w:leader="dot"/>
        </w:tabs>
        <w:spacing w:after="120"/>
        <w:ind w:left="0"/>
      </w:pPr>
      <w:r>
        <w:rPr>
          <w:rFonts w:ascii="Calibri" w:cs="Calibri" w:eastAsia="Calibri" w:hAnsi="Calibri"/>
          <w:b/>
          <w:bCs/>
          <w:sz w:val="22"/>
          <w:szCs w:val="22"/>
        </w:rPr>
        <w:t xml:space="preserve">Daftar Pustaka Gabungan</w:t>
      </w:r>
      <w:r>
        <w:rPr>
          <w:sz w:val="22"/>
          <w:szCs w:val="22"/>
        </w:rPr>
        <w:t xml:space="preserve">	25</w:t>
      </w:r>
    </w:p>
    <w:p>
      <w:pPr>
        <w:pageBreakBefore/>
      </w:pPr>
      <w:r>
        <w:br/>
      </w:r>
    </w:p>
    <w:p>
      <w:pPr>
        <w:pStyle w:val="Heading1"/>
        <w:spacing w:after="200" w:before="400"/>
      </w:pPr>
      <w:r>
        <w:t xml:space="preserve">Daftar Singkatan</w:t>
      </w:r>
    </w:p>
    <w:p>
      <w:pPr>
        <w:spacing w:after="70"/>
      </w:pPr>
      <w:r>
        <w:rPr>
          <w:rFonts w:ascii="Calibri" w:cs="Calibri" w:eastAsia="Calibri" w:hAnsi="Calibri"/>
          <w:b/>
          <w:bCs/>
          <w:sz w:val="21"/>
          <w:szCs w:val="21"/>
        </w:rPr>
        <w:t xml:space="preserve">ABOG — </w:t>
      </w:r>
      <w:r>
        <w:rPr>
          <w:rFonts w:ascii="Calibri" w:cs="Calibri" w:eastAsia="Calibri" w:hAnsi="Calibri"/>
          <w:sz w:val="21"/>
          <w:szCs w:val="21"/>
        </w:rPr>
        <w:t xml:space="preserve">American Board of Obstetrics and Gynecology</w:t>
      </w:r>
    </w:p>
    <w:p>
      <w:pPr>
        <w:spacing w:after="70"/>
      </w:pPr>
      <w:r>
        <w:rPr>
          <w:rFonts w:ascii="Calibri" w:cs="Calibri" w:eastAsia="Calibri" w:hAnsi="Calibri"/>
          <w:b/>
          <w:bCs/>
          <w:sz w:val="21"/>
          <w:szCs w:val="21"/>
        </w:rPr>
        <w:t xml:space="preserve">ACGME — </w:t>
      </w:r>
      <w:r>
        <w:rPr>
          <w:rFonts w:ascii="Calibri" w:cs="Calibri" w:eastAsia="Calibri" w:hAnsi="Calibri"/>
          <w:sz w:val="21"/>
          <w:szCs w:val="21"/>
        </w:rPr>
        <w:t xml:space="preserve">Accreditation Council for Graduate Medical Education</w:t>
      </w:r>
    </w:p>
    <w:p>
      <w:pPr>
        <w:spacing w:after="70"/>
      </w:pPr>
      <w:r>
        <w:rPr>
          <w:rFonts w:ascii="Calibri" w:cs="Calibri" w:eastAsia="Calibri" w:hAnsi="Calibri"/>
          <w:b/>
          <w:bCs/>
          <w:sz w:val="21"/>
          <w:szCs w:val="21"/>
        </w:rPr>
        <w:t xml:space="preserve">ACOG — </w:t>
      </w:r>
      <w:r>
        <w:rPr>
          <w:rFonts w:ascii="Calibri" w:cs="Calibri" w:eastAsia="Calibri" w:hAnsi="Calibri"/>
          <w:sz w:val="21"/>
          <w:szCs w:val="21"/>
        </w:rPr>
        <w:t xml:space="preserve">American College of Obstetricians and Gynecologists</w:t>
      </w:r>
    </w:p>
    <w:p>
      <w:pPr>
        <w:spacing w:after="70"/>
      </w:pPr>
      <w:r>
        <w:rPr>
          <w:rFonts w:ascii="Calibri" w:cs="Calibri" w:eastAsia="Calibri" w:hAnsi="Calibri"/>
          <w:b/>
          <w:bCs/>
          <w:sz w:val="21"/>
          <w:szCs w:val="21"/>
        </w:rPr>
        <w:t xml:space="preserve">CFP — </w:t>
      </w:r>
      <w:r>
        <w:rPr>
          <w:rFonts w:ascii="Calibri" w:cs="Calibri" w:eastAsia="Calibri" w:hAnsi="Calibri"/>
          <w:sz w:val="21"/>
          <w:szCs w:val="21"/>
        </w:rPr>
        <w:t xml:space="preserve">Complex Family Planning</w:t>
      </w:r>
    </w:p>
    <w:p>
      <w:pPr>
        <w:spacing w:after="70"/>
      </w:pPr>
      <w:r>
        <w:rPr>
          <w:rFonts w:ascii="Calibri" w:cs="Calibri" w:eastAsia="Calibri" w:hAnsi="Calibri"/>
          <w:b/>
          <w:bCs/>
          <w:sz w:val="21"/>
          <w:szCs w:val="21"/>
        </w:rPr>
        <w:t xml:space="preserve">CoSRH — </w:t>
      </w:r>
      <w:r>
        <w:rPr>
          <w:rFonts w:ascii="Calibri" w:cs="Calibri" w:eastAsia="Calibri" w:hAnsi="Calibri"/>
          <w:sz w:val="21"/>
          <w:szCs w:val="21"/>
        </w:rPr>
        <w:t xml:space="preserve">College of Sexual and Reproductive Healthcare</w:t>
      </w:r>
    </w:p>
    <w:p>
      <w:pPr>
        <w:spacing w:after="70"/>
      </w:pPr>
      <w:r>
        <w:rPr>
          <w:rFonts w:ascii="Calibri" w:cs="Calibri" w:eastAsia="Calibri" w:hAnsi="Calibri"/>
          <w:b/>
          <w:bCs/>
          <w:sz w:val="21"/>
          <w:szCs w:val="21"/>
        </w:rPr>
        <w:t xml:space="preserve">CSRH — </w:t>
      </w:r>
      <w:r>
        <w:rPr>
          <w:rFonts w:ascii="Calibri" w:cs="Calibri" w:eastAsia="Calibri" w:hAnsi="Calibri"/>
          <w:sz w:val="21"/>
          <w:szCs w:val="21"/>
        </w:rPr>
        <w:t xml:space="preserve">Community Sexual and Reproductive Health</w:t>
      </w:r>
    </w:p>
    <w:p>
      <w:pPr>
        <w:spacing w:after="70"/>
      </w:pPr>
      <w:r>
        <w:rPr>
          <w:rFonts w:ascii="Calibri" w:cs="Calibri" w:eastAsia="Calibri" w:hAnsi="Calibri"/>
          <w:b/>
          <w:bCs/>
          <w:sz w:val="21"/>
          <w:szCs w:val="21"/>
        </w:rPr>
        <w:t xml:space="preserve">EBCOG — </w:t>
      </w:r>
      <w:r>
        <w:rPr>
          <w:rFonts w:ascii="Calibri" w:cs="Calibri" w:eastAsia="Calibri" w:hAnsi="Calibri"/>
          <w:sz w:val="21"/>
          <w:szCs w:val="21"/>
        </w:rPr>
        <w:t xml:space="preserve">European Board and College of Obstetrics and Gynaecology</w:t>
      </w:r>
    </w:p>
    <w:p>
      <w:pPr>
        <w:spacing w:after="70"/>
      </w:pPr>
      <w:r>
        <w:rPr>
          <w:rFonts w:ascii="Calibri" w:cs="Calibri" w:eastAsia="Calibri" w:hAnsi="Calibri"/>
          <w:b/>
          <w:bCs/>
          <w:sz w:val="21"/>
          <w:szCs w:val="21"/>
        </w:rPr>
        <w:t xml:space="preserve">FIGO — </w:t>
      </w:r>
      <w:r>
        <w:rPr>
          <w:rFonts w:ascii="Calibri" w:cs="Calibri" w:eastAsia="Calibri" w:hAnsi="Calibri"/>
          <w:sz w:val="21"/>
          <w:szCs w:val="21"/>
        </w:rPr>
        <w:t xml:space="preserve">International Federation of Gynecology and Obstetrics</w:t>
      </w:r>
    </w:p>
    <w:p>
      <w:pPr>
        <w:spacing w:after="70"/>
      </w:pPr>
      <w:r>
        <w:rPr>
          <w:rFonts w:ascii="Calibri" w:cs="Calibri" w:eastAsia="Calibri" w:hAnsi="Calibri"/>
          <w:b/>
          <w:bCs/>
          <w:sz w:val="21"/>
          <w:szCs w:val="21"/>
        </w:rPr>
        <w:t xml:space="preserve">FSRH — </w:t>
      </w:r>
      <w:r>
        <w:rPr>
          <w:rFonts w:ascii="Calibri" w:cs="Calibri" w:eastAsia="Calibri" w:hAnsi="Calibri"/>
          <w:sz w:val="21"/>
          <w:szCs w:val="21"/>
        </w:rPr>
        <w:t xml:space="preserve">Faculty of Sexual &amp; Reproductive Healthcare (nama historis CoSRH)</w:t>
      </w:r>
    </w:p>
    <w:p>
      <w:pPr>
        <w:spacing w:after="70"/>
      </w:pPr>
      <w:r>
        <w:rPr>
          <w:rFonts w:ascii="Calibri" w:cs="Calibri" w:eastAsia="Calibri" w:hAnsi="Calibri"/>
          <w:b/>
          <w:bCs/>
          <w:sz w:val="21"/>
          <w:szCs w:val="21"/>
        </w:rPr>
        <w:t xml:space="preserve">GMC — </w:t>
      </w:r>
      <w:r>
        <w:rPr>
          <w:rFonts w:ascii="Calibri" w:cs="Calibri" w:eastAsia="Calibri" w:hAnsi="Calibri"/>
          <w:sz w:val="21"/>
          <w:szCs w:val="21"/>
        </w:rPr>
        <w:t xml:space="preserve">General Medical Council (Inggris)</w:t>
      </w:r>
    </w:p>
    <w:p>
      <w:pPr>
        <w:spacing w:after="70"/>
      </w:pPr>
      <w:r>
        <w:rPr>
          <w:rFonts w:ascii="Calibri" w:cs="Calibri" w:eastAsia="Calibri" w:hAnsi="Calibri"/>
          <w:b/>
          <w:bCs/>
          <w:sz w:val="21"/>
          <w:szCs w:val="21"/>
        </w:rPr>
        <w:t xml:space="preserve">MISP — </w:t>
      </w:r>
      <w:r>
        <w:rPr>
          <w:rFonts w:ascii="Calibri" w:cs="Calibri" w:eastAsia="Calibri" w:hAnsi="Calibri"/>
          <w:sz w:val="21"/>
          <w:szCs w:val="21"/>
        </w:rPr>
        <w:t xml:space="preserve">Minimum Initial Service Package</w:t>
      </w:r>
    </w:p>
    <w:p>
      <w:pPr>
        <w:spacing w:after="70"/>
      </w:pPr>
      <w:r>
        <w:rPr>
          <w:rFonts w:ascii="Calibri" w:cs="Calibri" w:eastAsia="Calibri" w:hAnsi="Calibri"/>
          <w:b/>
          <w:bCs/>
          <w:sz w:val="21"/>
          <w:szCs w:val="21"/>
        </w:rPr>
        <w:t xml:space="preserve">MPH — </w:t>
      </w:r>
      <w:r>
        <w:rPr>
          <w:rFonts w:ascii="Calibri" w:cs="Calibri" w:eastAsia="Calibri" w:hAnsi="Calibri"/>
          <w:sz w:val="21"/>
          <w:szCs w:val="21"/>
        </w:rPr>
        <w:t xml:space="preserve">Master of Public Health</w:t>
      </w:r>
    </w:p>
    <w:p>
      <w:pPr>
        <w:spacing w:after="70"/>
      </w:pPr>
      <w:r>
        <w:rPr>
          <w:rFonts w:ascii="Calibri" w:cs="Calibri" w:eastAsia="Calibri" w:hAnsi="Calibri"/>
          <w:b/>
          <w:bCs/>
          <w:sz w:val="21"/>
          <w:szCs w:val="21"/>
        </w:rPr>
        <w:t xml:space="preserve">Obginsos — </w:t>
      </w:r>
      <w:r>
        <w:rPr>
          <w:rFonts w:ascii="Calibri" w:cs="Calibri" w:eastAsia="Calibri" w:hAnsi="Calibri"/>
          <w:sz w:val="21"/>
          <w:szCs w:val="21"/>
        </w:rPr>
        <w:t xml:space="preserve">Obstetri Ginekologi Sosial</w:t>
      </w:r>
    </w:p>
    <w:p>
      <w:pPr>
        <w:spacing w:after="70"/>
      </w:pPr>
      <w:r>
        <w:rPr>
          <w:rFonts w:ascii="Calibri" w:cs="Calibri" w:eastAsia="Calibri" w:hAnsi="Calibri"/>
          <w:b/>
          <w:bCs/>
          <w:sz w:val="21"/>
          <w:szCs w:val="21"/>
        </w:rPr>
        <w:t xml:space="preserve">RCOG — </w:t>
      </w:r>
      <w:r>
        <w:rPr>
          <w:rFonts w:ascii="Calibri" w:cs="Calibri" w:eastAsia="Calibri" w:hAnsi="Calibri"/>
          <w:sz w:val="21"/>
          <w:szCs w:val="21"/>
        </w:rPr>
        <w:t xml:space="preserve">Royal College of Obstetricians and Gynaecologists</w:t>
      </w:r>
    </w:p>
    <w:p>
      <w:pPr>
        <w:spacing w:after="70"/>
      </w:pPr>
      <w:r>
        <w:rPr>
          <w:rFonts w:ascii="Calibri" w:cs="Calibri" w:eastAsia="Calibri" w:hAnsi="Calibri"/>
          <w:b/>
          <w:bCs/>
          <w:sz w:val="21"/>
          <w:szCs w:val="21"/>
        </w:rPr>
        <w:t xml:space="preserve">SRH — </w:t>
      </w:r>
      <w:r>
        <w:rPr>
          <w:rFonts w:ascii="Calibri" w:cs="Calibri" w:eastAsia="Calibri" w:hAnsi="Calibri"/>
          <w:sz w:val="21"/>
          <w:szCs w:val="21"/>
        </w:rPr>
        <w:t xml:space="preserve">Sexual and Reproductive Health</w:t>
      </w:r>
    </w:p>
    <w:p>
      <w:pPr>
        <w:spacing w:after="70"/>
      </w:pPr>
      <w:r>
        <w:rPr>
          <w:rFonts w:ascii="Calibri" w:cs="Calibri" w:eastAsia="Calibri" w:hAnsi="Calibri"/>
          <w:b/>
          <w:bCs/>
          <w:sz w:val="21"/>
          <w:szCs w:val="21"/>
        </w:rPr>
        <w:t xml:space="preserve">SRHR — </w:t>
      </w:r>
      <w:r>
        <w:rPr>
          <w:rFonts w:ascii="Calibri" w:cs="Calibri" w:eastAsia="Calibri" w:hAnsi="Calibri"/>
          <w:sz w:val="21"/>
          <w:szCs w:val="21"/>
        </w:rPr>
        <w:t xml:space="preserve">Sexual and Reproductive Health and Rights</w:t>
      </w:r>
    </w:p>
    <w:p>
      <w:pPr>
        <w:spacing w:after="70"/>
      </w:pPr>
      <w:r>
        <w:rPr>
          <w:rFonts w:ascii="Calibri" w:cs="Calibri" w:eastAsia="Calibri" w:hAnsi="Calibri"/>
          <w:b/>
          <w:bCs/>
          <w:sz w:val="21"/>
          <w:szCs w:val="21"/>
        </w:rPr>
        <w:t xml:space="preserve">WHO — </w:t>
      </w:r>
      <w:r>
        <w:rPr>
          <w:rFonts w:ascii="Calibri" w:cs="Calibri" w:eastAsia="Calibri" w:hAnsi="Calibri"/>
          <w:sz w:val="21"/>
          <w:szCs w:val="21"/>
        </w:rPr>
        <w:t xml:space="preserve">World Health Organization</w:t>
      </w:r>
    </w:p>
    <w:p>
      <w:pPr>
        <w:pageBreakBefore/>
      </w:pPr>
      <w:r>
        <w:br/>
      </w:r>
    </w:p>
    <w:p>
      <w:pPr>
        <w:pStyle w:val="Heading1"/>
        <w:spacing w:after="200" w:before="400"/>
      </w:pPr>
      <w:r>
        <w:t xml:space="preserve">Bab 1. Pendahuluan: Mengapa Obstetri Ginekologi Sosial Tidak Memiliki Padanan Tunggal di Dunia</w:t>
      </w:r>
    </w:p>
    <w:tbl>
      <w:tblPr>
        <w:tblW w:type="dxa" w:w="3200"/>
        <w:tblBorders>
          <w:top w:val="single" w:color="auto" w:sz="4"/>
          <w:left w:val="single" w:color="auto" w:sz="4"/>
          <w:bottom w:val="single" w:color="auto" w:sz="4"/>
          <w:right w:val="single" w:color="auto" w:sz="4"/>
          <w:insideH w:val="single" w:color="auto" w:sz="4"/>
          <w:insideV w:val="single" w:color="auto" w:sz="4"/>
        </w:tblBorders>
      </w:tblPr>
      <w:tblGrid>
        <w:gridCol w:w="3200"/>
      </w:tblGrid>
      <w:tr>
        <w:tc>
          <w:tcPr>
            <w:tcW w:type="dxa" w:w="3200"/>
            <w:shd w:fill="7A1F3D" w:color="auto" w:val="clear"/>
            <w:tcMar>
              <w:top w:type="dxa" w:w="80"/>
              <w:left w:type="dxa" w:w="180"/>
              <w:bottom w:type="dxa" w:w="80"/>
              <w:right w:type="dxa" w:w="180"/>
            </w:tcMar>
          </w:tcPr>
          <w:p>
            <w:pPr>
              <w:jc w:val="center"/>
            </w:pPr>
            <w:r>
              <w:rPr>
                <w:rFonts w:ascii="Calibri" w:cs="Calibri" w:eastAsia="Calibri" w:hAnsi="Calibri"/>
                <w:b/>
                <w:bCs/>
                <w:color w:val="FFFFFF"/>
                <w:sz w:val="18"/>
                <w:szCs w:val="18"/>
              </w:rPr>
              <w:t xml:space="preserve">MODUL PETA GLOBAL</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Menjelaskan mengapa pencarian 'padanan internasional Obginsos' tidak dapat dijawab dengan satu nama subspesialisasi tunggal.</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Memahami perbedaan mendasar antara badan pensertifikasi subspesialis dan badan penyusun standar klinis.</w:t>
            </w:r>
          </w:p>
          <w:p>
            <w:pPr>
              <w:spacing w:after="60"/>
            </w:pPr>
            <w:r>
              <w:rPr>
                <w:rFonts w:ascii="Calibri" w:cs="Calibri" w:eastAsia="Calibri" w:hAnsi="Calibri"/>
                <w:b/>
                <w:bCs/>
                <w:color w:val="7A1F3D"/>
                <w:sz w:val="20"/>
                <w:szCs w:val="20"/>
              </w:rPr>
              <w:t xml:space="preserve">3. </w:t>
            </w:r>
            <w:r>
              <w:rPr>
                <w:rFonts w:ascii="Calibri" w:cs="Calibri" w:eastAsia="Calibri" w:hAnsi="Calibri"/>
                <w:sz w:val="20"/>
                <w:szCs w:val="20"/>
              </w:rPr>
              <w:t xml:space="preserve">Mengenali tesis utama buku ini sebagai kerangka berpikir untuk delapan bab berikutnya.</w:t>
            </w:r>
          </w:p>
        </w:tc>
      </w:tr>
    </w:tbl>
    <w:p>
      <w:pPr>
        <w:spacing w:after="120"/>
      </w:pPr>
    </w:p>
    <w:p>
      <w:pPr>
        <w:spacing w:after="160"/>
        <w:jc w:val="both"/>
      </w:pPr>
      <w:r>
        <w:rPr>
          <w:rFonts w:ascii="Calibri" w:cs="Calibri" w:eastAsia="Calibri" w:hAnsi="Calibri"/>
          <w:b w:val="false"/>
          <w:bCs w:val="false"/>
          <w:i w:val="false"/>
          <w:iCs w:val="false"/>
          <w:sz w:val="22"/>
          <w:szCs w:val="22"/>
        </w:rPr>
        <w:t xml:space="preserve">Ketika seorang dokter subspesialis Obstetri Ginekologi Sosial (Obginsos) ditanya oleh koleganya dari luar negeri, "apa padanan subspesialisasi Anda di negara saya?", jawaban yang jujur bukanlah menyebut satu nama, melainkan menjelaskan bahwa pertanyaan itu sendiri keliru premis. Obginsos, sebagaimana didefinisikan oleh Keputusan Ketua Konsil Kesehatan Indonesia Nomor HK.01.02/KKI/1318/2026, adalah konstruksi keilmuan yang lahir dari kebutuhan spesifik sistem kesehatan Indonesia: mengintegrasikan tata laksana klinis kasus kompleks bermuatan sosial (kehamilan remaja, kekerasan berbasis gender, kesehatan mental perinatal) dengan kompetensi manajerial rumah sakit dan kompetensi perencanaan program berbasis populasi, dalam satu jenjang pendidikan tunggal berdurasi 2,5 tahun.</w:t>
      </w:r>
    </w:p>
    <w:p>
      <w:pPr>
        <w:spacing w:after="160"/>
        <w:jc w:val="both"/>
      </w:pPr>
      <w:r>
        <w:rPr>
          <w:rFonts w:ascii="Calibri" w:cs="Calibri" w:eastAsia="Calibri" w:hAnsi="Calibri"/>
          <w:b w:val="false"/>
          <w:bCs w:val="false"/>
          <w:i w:val="false"/>
          <w:iCs w:val="false"/>
          <w:sz w:val="22"/>
          <w:szCs w:val="22"/>
        </w:rPr>
        <w:t xml:space="preserve">Struktur semacam ini — klinis, manajerial, dan populasi tergabung dalam satu subspesialisasi — TIDAK ditemukan sebagai satu paket utuh pada sistem pendidikan kedokteran negara mana pun yang ditelusuri untuk buku ini. Yang ditemukan adalah beberapa jalur pendidikan lanjut yang secara terpisah masing-masing mengambil salah satu dimensi tersebut secara mendalam, dikembangkan oleh badan yang berbeda, di negara yang berbeda, dengan sejarah yang berbeda pula.</w:t>
      </w:r>
    </w:p>
    <w:p>
      <w:pPr>
        <w:pStyle w:val="Heading2"/>
        <w:spacing w:after="120" w:before="260"/>
      </w:pPr>
      <w:r>
        <w:t xml:space="preserve">1.1 Batas yang Ditarik oleh Badan Subspesialisasi Resmi Dunia</w:t>
      </w:r>
    </w:p>
    <w:p>
      <w:pPr>
        <w:spacing w:after="160"/>
        <w:jc w:val="both"/>
      </w:pPr>
      <w:r>
        <w:rPr>
          <w:rFonts w:ascii="Calibri" w:cs="Calibri" w:eastAsia="Calibri" w:hAnsi="Calibri"/>
          <w:b w:val="false"/>
          <w:bCs w:val="false"/>
          <w:i w:val="false"/>
          <w:iCs w:val="false"/>
          <w:sz w:val="22"/>
          <w:szCs w:val="22"/>
        </w:rPr>
        <w:t xml:space="preserve">European Board and College of Obstetrics and Gynaecology (EBCOG) — badan resmi Section Obstetrics and Gynaecology di bawah Union Européenne des Médecins Spécialistes (UEMS), yang membawahkan hampir seluruh perhimpunan nasional Obstetri-Ginekologi Eropa — hanya mengakui empat subspesialisasi resmi. Pengakuan ini memiliki jejak historis yang presisi: pada 27 November 1999 di Roma, EBCOG bersama Section menyepakati pengakuan tiga subspesialisasi pertama — Onkologi Ginekologi (bermitra dengan European Society of Gynaecological Oncology/ESGO), Kedokteran Maternal-Fetal dan Perinatal (bermitra dengan European Association of Perinatal Medicine/EAPM), dan Kedokteran Reproduksi (bermitra dengan European Society of Human Reproduction and Embryology/ESHRE). Subspesialisasi keempat, Urogynaecology, menyusul diakui pada 25 Mei 2002 bermitra dengan European Urogynaecological Association (EUGA).[1] Status ini dikonfirmasi tetap berlaku hingga laporan tahunan EBCOG paling akhir yang tersedia bagi buku ini, EBCOG Annual Report 2023, yang secara eksplisit masih menyebut kerja sama dengan keempat mitra subspesialisasi yang sama.[2] Tidak ada kategori kelima bernama "social obstetrics and gynaecology", "community obstetrics", atau istilah sejenis dalam nomenklatur resmi EBCOG hingga saat penyusunan buku ini.</w:t>
      </w:r>
    </w:p>
    <w:p>
      <w:pPr>
        <w:spacing w:after="160"/>
        <w:jc w:val="both"/>
      </w:pPr>
      <w:r>
        <w:rPr>
          <w:rFonts w:ascii="Calibri" w:cs="Calibri" w:eastAsia="Calibri" w:hAnsi="Calibri"/>
          <w:b w:val="false"/>
          <w:bCs w:val="false"/>
          <w:i w:val="false"/>
          <w:iCs w:val="false"/>
          <w:sz w:val="22"/>
          <w:szCs w:val="22"/>
        </w:rPr>
        <w:t xml:space="preserve">Pola serupa berulang pada badan akreditasi Amerika Serikat, Accreditation Council for Graduate Medical Education (ACGME), yang mengakreditasi fellowship subspesialistik Obstetri-Ginekologi hanya pada kategori Maternal-Fetal Medicine, Gynecologic Oncology, Reproductive Endocrinology and Infertility, dan Female Pelvic Medicine and Reconstructive Surgery.[3]</w:t>
      </w:r>
    </w:p>
    <w:p>
      <w:pPr>
        <w:spacing w:after="160"/>
        <w:jc w:val="both"/>
      </w:pPr>
      <w:r>
        <w:rPr>
          <w:rFonts w:ascii="Calibri" w:cs="Calibri" w:eastAsia="Calibri" w:hAnsi="Calibri"/>
          <w:b w:val="false"/>
          <w:bCs w:val="false"/>
          <w:i w:val="false"/>
          <w:iCs w:val="false"/>
          <w:sz w:val="22"/>
          <w:szCs w:val="22"/>
        </w:rPr>
        <w:t xml:space="preserve">Fakta ini bukan berarti dunia internasional mengabaikan dimensi sosial kesehatan reproduksi — sebaliknya, sebagaimana akan ditunjukkan pada Bab 3 hingga 6, perhatian terhadap dimensi tersebut sangat besar, hanya saja disalurkan melalui jalur kelembagaan yang berbeda dari jalur subspesialisasi klinis konvensional ini.</w:t>
      </w:r>
    </w:p>
    <w:p>
      <w:pPr>
        <w:pStyle w:val="Heading2"/>
        <w:spacing w:after="120" w:before="260"/>
      </w:pPr>
      <w:r>
        <w:t xml:space="preserve">1.2 Tesis Utama Buku Ini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r>
              <w:rPr>
                <w:rFonts w:ascii="Calibri" w:cs="Calibri" w:eastAsia="Calibri" w:hAnsi="Calibri"/>
                <w:b/>
                <w:bCs/>
                <w:color w:val="4A1226"/>
                <w:sz w:val="23"/>
                <w:szCs w:val="23"/>
              </w:rPr>
              <w:t xml:space="preserve">Obstetri Ginekologi Sosial adalah SINTESIS Indonesia dari empat jejak internasional yang berkembang secara independen, bukan TERJEMAHAN dari satu subspesialisasi tunggal yang sudah ada di negara lain.</w:t>
            </w:r>
          </w:p>
        </w:tc>
      </w:tr>
    </w:tbl>
    <w:p>
      <w:pPr>
        <w:spacing w:after="160"/>
      </w:pPr>
    </w:p>
    <w:p>
      <w:pPr>
        <w:spacing w:after="160"/>
        <w:jc w:val="both"/>
      </w:pPr>
      <w:r>
        <w:rPr>
          <w:rFonts w:ascii="Calibri" w:cs="Calibri" w:eastAsia="Calibri" w:hAnsi="Calibri"/>
          <w:b w:val="false"/>
          <w:bCs w:val="false"/>
          <w:i w:val="false"/>
          <w:iCs w:val="false"/>
          <w:sz w:val="22"/>
          <w:szCs w:val="22"/>
        </w:rPr>
        <w:t xml:space="preserve">Empat jejak yang dimaksud, dan akan dibahas satu demi satu pada Bab 3 hingga Bab 6, adalah: (1) Complex Family Planning di Amerika Serikat yang menangani kontrasepsi kompleks dan aborsi; (2) Community Sexual and Reproductive Health di Inggris yang menangani layanan reproduksi berbasis komunitas; (3) Global Women's Health Fellowship yang menangani sistem kesehatan global dan riset epidemiologi; serta (4) kerangka standar klinis WHO dan FIGO yang menjadi rujukan lintas-negara tanpa mensertifikasi individu. Bab 7 akan menyusun satu matriks besar yang memetakan secara eksplisit bagaimana keempat jejak ini beririsan dengan 14 buku Obginsos lainnya dalam seri ini — dan di mana pula Obginsos melangkah lebih jauh daripada keempatnya.</w:t>
      </w:r>
    </w:p>
    <w:p>
      <w:pPr>
        <w:pStyle w:val="Heading2"/>
        <w:spacing w:after="120" w:before="260"/>
      </w:pPr>
      <w:r>
        <w:t xml:space="preserve">1.3 Mengapa Pemetaan Ini Penting bagi Pendidikan dan Pengakuan Obginsos</w:t>
      </w:r>
    </w:p>
    <w:p>
      <w:pPr>
        <w:spacing w:after="160"/>
        <w:jc w:val="both"/>
      </w:pPr>
      <w:r>
        <w:rPr>
          <w:rFonts w:ascii="Calibri" w:cs="Calibri" w:eastAsia="Calibri" w:hAnsi="Calibri"/>
          <w:b w:val="false"/>
          <w:bCs w:val="false"/>
          <w:i w:val="false"/>
          <w:iCs w:val="false"/>
          <w:sz w:val="22"/>
          <w:szCs w:val="22"/>
        </w:rPr>
        <w:t xml:space="preserve">Kejelasan posisi ini memiliki tiga manfaat praktis. Pertama, bagi peserta didik, pemahaman ini mencegah kekeliruan berasumsi bahwa Obginsos "setara" dengan satu fellowship tertentu di luar negeri, sesuatu yang bisa menyesatkan ketika berdiskusi dengan mitra internasional. Kedua, bagi pengelola program pendidikan, pemetaan ini membuka peluang kerja sama spesifik dan realistis — misalnya pertukaran modul dengan program Complex Family Planning untuk memperkuat Buku 2, bukan mengklaim ekuivalensi penuh. Ketiga, bagi pengembangan kebijakan jangka panjang, pemetaan ini menjadi dasar argumentasi bahwa Indonesia telah merintis model subspesialisasi integratif yang justru dapat ditawarkan sebagai kontribusi balik ke forum internasional (dibahas lebih jauh pada Bab 8 dan 9).</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1</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EBCOG hanya mengakui 4 subspesialisasi resmi; Obginsos bukan salah satunya.</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ACGME/ABOG di Amerika Serikat juga tidak mengenal kategori 'social obstetrics and gynecology'.</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Tesis buku: Obginsos adalah sintesis Indonesia dari empat jejak internasional yang terpisah, bukan terjemahan satu program tunggal.</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Empat jejak tersebut: Complex Family Planning, Community Sexual and Reproductive Health, Global Women's Health Fellowship, dan kerangka standar WHO/FIGO.</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Pemetaan yang jujur membuka peluang kerja sama realistis, bukan klaim ekuivalensi yang berlebihan.</w:t>
            </w:r>
          </w:p>
        </w:tc>
      </w:tr>
    </w:tbl>
    <w:p>
      <w:pPr>
        <w:spacing w:after="100" w:before="200"/>
      </w:pPr>
      <w:r>
        <w:rPr>
          <w:rFonts w:ascii="Calibri" w:cs="Calibri" w:eastAsia="Calibri" w:hAnsi="Calibri"/>
          <w:b/>
          <w:bCs/>
          <w:color w:val="7A1F3D"/>
          <w:sz w:val="22"/>
          <w:szCs w:val="22"/>
        </w:rPr>
        <w:t xml:space="preserve">Referensi Bab 1</w:t>
      </w:r>
    </w:p>
    <w:p>
      <w:pPr>
        <w:spacing w:after="20"/>
      </w:pPr>
      <w:r>
        <w:rPr>
          <w:rFonts w:ascii="Calibri" w:cs="Calibri" w:eastAsia="Calibri" w:hAnsi="Calibri"/>
          <w:sz w:val="19"/>
          <w:szCs w:val="19"/>
        </w:rPr>
        <w:t xml:space="preserve">1. Meyer L, Lindqvist PG, Zizzo G. EBCOG: European Board and College of Obstetrics and Gynaecology — Who Are We? What Do We Do? Where Do We Go?</w:t>
      </w:r>
    </w:p>
    <w:p>
      <w:pPr>
        <w:spacing w:after="100"/>
      </w:pPr>
      <w:r>
        <w:rPr>
          <w:rFonts w:ascii="Calibri" w:cs="Calibri" w:eastAsia="Calibri" w:hAnsi="Calibri"/>
          <w:i/>
          <w:iCs/>
          <w:sz w:val="17"/>
          <w:szCs w:val="17"/>
        </w:rPr>
        <w:t xml:space="preserve">     Tautan: </w:t>
      </w:r>
      <w:hyperlink w:history="1" r:id="rIdo3mx9xsnwkjmghuoshujl">
        <w:r>
          <w:rPr>
            <w:rStyle w:val="Hyperlink"/>
            <w:rFonts w:ascii="Calibri" w:cs="Calibri" w:eastAsia="Calibri" w:hAnsi="Calibri"/>
            <w:sz w:val="17"/>
            <w:szCs w:val="17"/>
          </w:rPr>
          <w:t xml:space="preserve">https://pmc.ncbi.nlm.nih.gov/articles/PMC4154338/</w:t>
        </w:r>
      </w:hyperlink>
    </w:p>
    <w:p>
      <w:pPr>
        <w:spacing w:after="20"/>
      </w:pPr>
      <w:r>
        <w:rPr>
          <w:rFonts w:ascii="Calibri" w:cs="Calibri" w:eastAsia="Calibri" w:hAnsi="Calibri"/>
          <w:sz w:val="19"/>
          <w:szCs w:val="19"/>
        </w:rPr>
        <w:t xml:space="preserve">2. European Board and College of Obstetrics and Gynaecology (EBCOG). EBCOG Annual Report 2023.</w:t>
      </w:r>
    </w:p>
    <w:p>
      <w:pPr>
        <w:spacing w:after="100"/>
      </w:pPr>
      <w:r>
        <w:rPr>
          <w:rFonts w:ascii="Calibri" w:cs="Calibri" w:eastAsia="Calibri" w:hAnsi="Calibri"/>
          <w:i/>
          <w:iCs/>
          <w:sz w:val="17"/>
          <w:szCs w:val="17"/>
        </w:rPr>
        <w:t xml:space="preserve">     Tautan: </w:t>
      </w:r>
      <w:hyperlink w:history="1" r:id="rIdfiku_k79xc-sncuxgatp8">
        <w:r>
          <w:rPr>
            <w:rStyle w:val="Hyperlink"/>
            <w:rFonts w:ascii="Calibri" w:cs="Calibri" w:eastAsia="Calibri" w:hAnsi="Calibri"/>
            <w:sz w:val="17"/>
            <w:szCs w:val="17"/>
          </w:rPr>
          <w:t xml:space="preserve">https://ebcog.eu/wp-content/uploads/2024/04/EBCOG-Annual-Report-2023-FINAL.pdf</w:t>
        </w:r>
      </w:hyperlink>
    </w:p>
    <w:p>
      <w:pPr>
        <w:spacing w:after="20"/>
      </w:pPr>
      <w:r>
        <w:rPr>
          <w:rFonts w:ascii="Calibri" w:cs="Calibri" w:eastAsia="Calibri" w:hAnsi="Calibri"/>
          <w:sz w:val="19"/>
          <w:szCs w:val="19"/>
        </w:rPr>
        <w:t xml:space="preserve">3. Accreditation Council for Graduate Medical Education (ACGME). Obstetrics and Gynecology Overview.</w:t>
      </w:r>
    </w:p>
    <w:p>
      <w:pPr>
        <w:spacing w:after="100"/>
      </w:pPr>
      <w:r>
        <w:rPr>
          <w:rFonts w:ascii="Calibri" w:cs="Calibri" w:eastAsia="Calibri" w:hAnsi="Calibri"/>
          <w:i/>
          <w:iCs/>
          <w:sz w:val="17"/>
          <w:szCs w:val="17"/>
        </w:rPr>
        <w:t xml:space="preserve">     Tautan: </w:t>
      </w:r>
      <w:hyperlink w:history="1" r:id="rIdeqhlz3vcgnimfuo8-8oft">
        <w:r>
          <w:rPr>
            <w:rStyle w:val="Hyperlink"/>
            <w:rFonts w:ascii="Calibri" w:cs="Calibri" w:eastAsia="Calibri" w:hAnsi="Calibri"/>
            <w:sz w:val="17"/>
            <w:szCs w:val="17"/>
          </w:rPr>
          <w:t xml:space="preserve">https://www.acgme.org/specialties/obstetrics-and-gynecology/overview/</w:t>
        </w:r>
      </w:hyperlink>
    </w:p>
    <w:p>
      <w:pPr>
        <w:pageBreakBefore/>
      </w:pPr>
      <w:r>
        <w:br/>
      </w:r>
    </w:p>
    <w:p>
      <w:pPr>
        <w:pStyle w:val="Heading1"/>
        <w:spacing w:after="200" w:before="400"/>
      </w:pPr>
      <w:r>
        <w:t xml:space="preserve">Bab 2. Peta Subspesialisasi Resmi Obstetri-Ginekologi Dunia (EBCOG, RCOG, ACGME/ABOG)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Memetakan struktur subspesialisasi resmi yang diakui EBCOG, RCOG, dan ACGME/ABOG sebagai garis dasar (baseline) pembanding.</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Memahami bahwa keempat subspesialisasi baseline ini murni klinis-prosedural, berbeda karakter dari Obginsos yang klinis-manajerial-populasi.</w:t>
            </w:r>
          </w:p>
        </w:tc>
      </w:tr>
    </w:tbl>
    <w:p>
      <w:pPr>
        <w:spacing w:after="120"/>
      </w:pPr>
    </w:p>
    <w:p>
      <w:pPr>
        <w:spacing w:after="160"/>
        <w:jc w:val="both"/>
      </w:pPr>
      <w:r>
        <w:rPr>
          <w:rFonts w:ascii="Calibri" w:cs="Calibri" w:eastAsia="Calibri" w:hAnsi="Calibri"/>
          <w:b w:val="false"/>
          <w:bCs w:val="false"/>
          <w:i w:val="false"/>
          <w:iCs w:val="false"/>
          <w:sz w:val="22"/>
          <w:szCs w:val="22"/>
        </w:rPr>
        <w:t xml:space="preserve">Sebelum menelusuri empat jejak yang relevan dengan Obginsos pada Bab 3-6, bab ini terlebih dahulu memetakan lanskap subspesialisasi Obstetri-Ginekologi yang SUDAH diakui secara resmi oleh tiga badan rujukan dunia, sebagai garis dasar pembanding. Tabel 2.1 merangkum ketiganya.</w:t>
      </w:r>
    </w:p>
    <w:p>
      <w:pPr>
        <w:pStyle w:val="Heading2"/>
        <w:spacing w:after="120" w:before="260"/>
      </w:pPr>
      <w:r>
        <w:t xml:space="preserve">2.1 Tabel Baseline: Subspesialisasi Resmi yang Diakui</w:t>
      </w:r>
    </w:p>
    <w:p>
      <w:pPr>
        <w:spacing w:after="160"/>
        <w:jc w:val="both"/>
      </w:pPr>
      <w:r>
        <w:rPr>
          <w:rFonts w:ascii="Calibri" w:cs="Calibri" w:eastAsia="Calibri" w:hAnsi="Calibri"/>
          <w:b w:val="false"/>
          <w:bCs w:val="false"/>
          <w:i w:val="false"/>
          <w:iCs w:val="false"/>
          <w:sz w:val="22"/>
          <w:szCs w:val="22"/>
        </w:rPr>
        <w:t xml:space="preserve">Tabel 2.1 merangkum ketiga badan tersebut berikut tahun pengakuan resminya bila tersedia dari sumber yang ditelusuri.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trPr>
        <w:tc>
          <w:tcPr>
            <w:tcW w:type="dxa" w:w="3000"/>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Badan / Wilayah</w:t>
            </w:r>
          </w:p>
        </w:tc>
        <w:tc>
          <w:tcPr>
            <w:tcW w:type="dxa" w:w="6026"/>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Subspesialisasi yang Diakui Resmi (Tahun Pengakuan bila Diketahui)</w:t>
            </w:r>
          </w:p>
        </w:tc>
      </w:tr>
      <w:tr>
        <w:tc>
          <w:tcPr>
            <w:tcW w:type="dxa" w:w="3000"/>
            <w:shd w:fill="FFFFFF" w:color="auto" w:val="clear"/>
            <w:tcMar>
              <w:top w:type="dxa" w:w="90"/>
              <w:left w:type="dxa" w:w="120"/>
              <w:bottom w:type="dxa" w:w="90"/>
              <w:right w:type="dxa" w:w="120"/>
            </w:tcMar>
          </w:tcPr>
          <w:p>
            <w:r>
              <w:rPr>
                <w:rFonts w:ascii="Calibri" w:cs="Calibri" w:eastAsia="Calibri" w:hAnsi="Calibri"/>
                <w:sz w:val="18"/>
                <w:szCs w:val="18"/>
              </w:rPr>
              <w:t xml:space="preserve">EBCOG (Eropa)</w:t>
            </w:r>
          </w:p>
        </w:tc>
        <w:tc>
          <w:tcPr>
            <w:tcW w:type="dxa" w:w="6026"/>
            <w:shd w:fill="FFFFFF" w:color="auto" w:val="clear"/>
            <w:tcMar>
              <w:top w:type="dxa" w:w="90"/>
              <w:left w:type="dxa" w:w="120"/>
              <w:bottom w:type="dxa" w:w="90"/>
              <w:right w:type="dxa" w:w="120"/>
            </w:tcMar>
          </w:tcPr>
          <w:p>
            <w:r>
              <w:rPr>
                <w:rFonts w:ascii="Calibri" w:cs="Calibri" w:eastAsia="Calibri" w:hAnsi="Calibri"/>
                <w:sz w:val="18"/>
                <w:szCs w:val="18"/>
              </w:rPr>
              <w:t xml:space="preserve">Onkologi Ginekologi, Kedokteran Maternal-Fetal, Kedokteran Reproduksi -- diakui 1999; Urogynaecology -- diakui 2002</w:t>
            </w:r>
          </w:p>
        </w:tc>
      </w:tr>
      <w:tr>
        <w:tc>
          <w:tcPr>
            <w:tcW w:type="dxa" w:w="3000"/>
            <w:shd w:fill="FBF3F6" w:color="auto" w:val="clear"/>
            <w:tcMar>
              <w:top w:type="dxa" w:w="90"/>
              <w:left w:type="dxa" w:w="120"/>
              <w:bottom w:type="dxa" w:w="90"/>
              <w:right w:type="dxa" w:w="120"/>
            </w:tcMar>
          </w:tcPr>
          <w:p>
            <w:r>
              <w:rPr>
                <w:rFonts w:ascii="Calibri" w:cs="Calibri" w:eastAsia="Calibri" w:hAnsi="Calibri"/>
                <w:sz w:val="18"/>
                <w:szCs w:val="18"/>
              </w:rPr>
              <w:t xml:space="preserve">RCOG (Inggris)</w:t>
            </w:r>
          </w:p>
        </w:tc>
        <w:tc>
          <w:tcPr>
            <w:tcW w:type="dxa" w:w="6026"/>
            <w:shd w:fill="FBF3F6" w:color="auto" w:val="clear"/>
            <w:tcMar>
              <w:top w:type="dxa" w:w="90"/>
              <w:left w:type="dxa" w:w="120"/>
              <w:bottom w:type="dxa" w:w="90"/>
              <w:right w:type="dxa" w:w="120"/>
            </w:tcMar>
          </w:tcPr>
          <w:p>
            <w:r>
              <w:rPr>
                <w:rFonts w:ascii="Calibri" w:cs="Calibri" w:eastAsia="Calibri" w:hAnsi="Calibri"/>
                <w:sz w:val="18"/>
                <w:szCs w:val="18"/>
              </w:rPr>
              <w:t xml:space="preserve">Maternal &amp; Fetal Medicine; Gynaecological Oncology; Reproductive Medicine; Urogynaecology</w:t>
            </w:r>
          </w:p>
        </w:tc>
      </w:tr>
      <w:tr>
        <w:tc>
          <w:tcPr>
            <w:tcW w:type="dxa" w:w="3000"/>
            <w:shd w:fill="FFFFFF" w:color="auto" w:val="clear"/>
            <w:tcMar>
              <w:top w:type="dxa" w:w="90"/>
              <w:left w:type="dxa" w:w="120"/>
              <w:bottom w:type="dxa" w:w="90"/>
              <w:right w:type="dxa" w:w="120"/>
            </w:tcMar>
          </w:tcPr>
          <w:p>
            <w:r>
              <w:rPr>
                <w:rFonts w:ascii="Calibri" w:cs="Calibri" w:eastAsia="Calibri" w:hAnsi="Calibri"/>
                <w:sz w:val="18"/>
                <w:szCs w:val="18"/>
              </w:rPr>
              <w:t xml:space="preserve">ACGME/ABOG (Amerika Serikat)</w:t>
            </w:r>
          </w:p>
        </w:tc>
        <w:tc>
          <w:tcPr>
            <w:tcW w:type="dxa" w:w="6026"/>
            <w:shd w:fill="FFFFFF" w:color="auto" w:val="clear"/>
            <w:tcMar>
              <w:top w:type="dxa" w:w="90"/>
              <w:left w:type="dxa" w:w="120"/>
              <w:bottom w:type="dxa" w:w="90"/>
              <w:right w:type="dxa" w:w="120"/>
            </w:tcMar>
          </w:tcPr>
          <w:p>
            <w:r>
              <w:rPr>
                <w:rFonts w:ascii="Calibri" w:cs="Calibri" w:eastAsia="Calibri" w:hAnsi="Calibri"/>
                <w:sz w:val="18"/>
                <w:szCs w:val="18"/>
              </w:rPr>
              <w:t xml:space="preserve">Maternal-Fetal Medicine; Gynecologic Oncology; Reproductive Endocrinology and Infertility; Female Pelvic Medicine and Reconstructive Surgery</w:t>
            </w:r>
          </w:p>
        </w:tc>
      </w:tr>
    </w:tbl>
    <w:p>
      <w:pPr>
        <w:spacing w:after="160"/>
      </w:pPr>
    </w:p>
    <w:p>
      <w:pPr>
        <w:spacing w:after="160"/>
        <w:jc w:val="both"/>
      </w:pPr>
      <w:r>
        <w:rPr>
          <w:rFonts w:ascii="Calibri" w:cs="Calibri" w:eastAsia="Calibri" w:hAnsi="Calibri"/>
          <w:b w:val="false"/>
          <w:bCs w:val="false"/>
          <w:i w:val="false"/>
          <w:iCs w:val="false"/>
          <w:sz w:val="22"/>
          <w:szCs w:val="22"/>
        </w:rPr>
        <w:t xml:space="preserve">Rujukan untuk struktur RCOG diambil dari kurikulum pelatihan subspesialisasi Reproductive Medicine RCOG yang dipublikasikan resmi,[3] sementara struktur EBCOG dan ACGME masing-masing mengacu pada referensi Bab 1.[1,2,4]</w:t>
      </w:r>
    </w:p>
    <w:p>
      <w:pPr>
        <w:pStyle w:val="Heading2"/>
        <w:spacing w:after="120" w:before="260"/>
      </w:pPr>
      <w:r>
        <w:t xml:space="preserve">2.2 Karakter Bersama Keempat Subspesialisasi Baseline</w:t>
      </w:r>
    </w:p>
    <w:p>
      <w:pPr>
        <w:spacing w:after="160"/>
        <w:jc w:val="both"/>
      </w:pPr>
      <w:r>
        <w:rPr>
          <w:rFonts w:ascii="Calibri" w:cs="Calibri" w:eastAsia="Calibri" w:hAnsi="Calibri"/>
          <w:b w:val="false"/>
          <w:bCs w:val="false"/>
          <w:i w:val="false"/>
          <w:iCs w:val="false"/>
          <w:sz w:val="22"/>
          <w:szCs w:val="22"/>
        </w:rPr>
        <w:t xml:space="preserve">Empat subspesialisasi pada Tabel 2.1 memiliki tiga kesamaan karakter yang penting untuk dipahami sebagai kontras terhadap Obginsos. Pertama, seluruhnya berpusat pada satu domain prosedural-klinis yang sempit dan dalam (mis. onkologi ginekologi berfokus tuntas pada keganasan ginekologi). Kedua, seluruhnya disertifikasi melalui jalur ujian dan logbook prosedur yang sangat terstandardisasi lintas negara dalam satu kawasan. Ketiga — dan ini yang paling relevan bagi buku ini — tidak satu pun dari keempatnya memuat komponen manajerial rumah sakit (audit mutu, tata kelola rujukan) atau komponen perencanaan program berbasis populasi/komunitas sebagai bagian formal kurikulum inti.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23A48" w:sz="6"/>
              <w:left w:val="single" w:color="B23A48" w:sz="18"/>
              <w:bottom w:val="single" w:color="B23A48" w:sz="6"/>
              <w:right w:val="single" w:color="B23A48" w:sz="6"/>
            </w:tcBorders>
            <w:shd w:fill="FFF1F1" w:color="auto" w:val="clear"/>
            <w:tcMar>
              <w:top w:type="dxa" w:w="160"/>
              <w:left w:type="dxa" w:w="220"/>
              <w:bottom w:type="dxa" w:w="160"/>
              <w:right w:type="dxa" w:w="220"/>
            </w:tcMar>
          </w:tcPr>
          <w:p>
            <w:pPr>
              <w:spacing w:after="80"/>
            </w:pPr>
            <w:r>
              <w:rPr>
                <w:rFonts w:ascii="Calibri" w:cs="Calibri" w:eastAsia="Calibri" w:hAnsi="Calibri"/>
                <w:b/>
                <w:bCs/>
                <w:color w:val="4A1226"/>
                <w:sz w:val="22"/>
                <w:szCs w:val="22"/>
              </w:rPr>
              <w:t xml:space="preserve">⚠ Catatan Penting</w:t>
            </w:r>
          </w:p>
          <w:p>
            <w:r>
              <w:rPr>
                <w:rFonts w:ascii="Calibri" w:cs="Calibri" w:eastAsia="Calibri" w:hAnsi="Calibri"/>
                <w:sz w:val="20"/>
                <w:szCs w:val="20"/>
              </w:rPr>
              <w:t xml:space="preserve">Ketiadaan komponen manajerial dan populasi pada keempat subspesialisasi baseline ini BUKAN kelemahan mereka — itu memang bukan tujuan mereka. Absennya komponen tersebut justru menegaskan argumen Bab 1: kompetensi manajerial-populasi Obginsos harus dicari padanannya di tempat lain, yaitu pada tiga dari empat jejak yang dibahas Bab 3-6 (Community SRH dan Global Women's Health), bukan pada subspesialisasi klinis konvensional ini.</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2</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EBCOG, RCOG, dan ACGME/ABOG secara konsisten hanya mengakui 4 kategori subspesialisasi klinis-prosedural murni.</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Tidak satu pun memuat komponen manajerial RS atau perencanaan program populasi sebagai kurikulum inti.</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Kesimpulan bab: padanan Obginsos harus dicari di luar kategori subspesialisasi klinis konvensional ini.</w:t>
            </w:r>
          </w:p>
        </w:tc>
      </w:tr>
    </w:tbl>
    <w:p>
      <w:pPr>
        <w:spacing w:after="100" w:before="200"/>
      </w:pPr>
      <w:r>
        <w:rPr>
          <w:rFonts w:ascii="Calibri" w:cs="Calibri" w:eastAsia="Calibri" w:hAnsi="Calibri"/>
          <w:b/>
          <w:bCs/>
          <w:color w:val="7A1F3D"/>
          <w:sz w:val="22"/>
          <w:szCs w:val="22"/>
        </w:rPr>
        <w:t xml:space="preserve">Referensi Bab 2</w:t>
      </w:r>
    </w:p>
    <w:p>
      <w:pPr>
        <w:spacing w:after="20"/>
      </w:pPr>
      <w:r>
        <w:rPr>
          <w:rFonts w:ascii="Calibri" w:cs="Calibri" w:eastAsia="Calibri" w:hAnsi="Calibri"/>
          <w:sz w:val="19"/>
          <w:szCs w:val="19"/>
        </w:rPr>
        <w:t xml:space="preserve">1. Meyer L, Lindqvist PG, Zizzo G. EBCOG: European Board and College of Obstetrics and Gynaecology — Who Are We? What Do We Do? Where Do We Go?</w:t>
      </w:r>
    </w:p>
    <w:p>
      <w:pPr>
        <w:spacing w:after="100"/>
      </w:pPr>
      <w:r>
        <w:rPr>
          <w:rFonts w:ascii="Calibri" w:cs="Calibri" w:eastAsia="Calibri" w:hAnsi="Calibri"/>
          <w:i/>
          <w:iCs/>
          <w:sz w:val="17"/>
          <w:szCs w:val="17"/>
        </w:rPr>
        <w:t xml:space="preserve">     Tautan: </w:t>
      </w:r>
      <w:hyperlink w:history="1" r:id="rId646jq8urydf8u0x0dh0qc">
        <w:r>
          <w:rPr>
            <w:rStyle w:val="Hyperlink"/>
            <w:rFonts w:ascii="Calibri" w:cs="Calibri" w:eastAsia="Calibri" w:hAnsi="Calibri"/>
            <w:sz w:val="17"/>
            <w:szCs w:val="17"/>
          </w:rPr>
          <w:t xml:space="preserve">https://pmc.ncbi.nlm.nih.gov/articles/PMC4154338/</w:t>
        </w:r>
      </w:hyperlink>
    </w:p>
    <w:p>
      <w:pPr>
        <w:spacing w:after="20"/>
      </w:pPr>
      <w:r>
        <w:rPr>
          <w:rFonts w:ascii="Calibri" w:cs="Calibri" w:eastAsia="Calibri" w:hAnsi="Calibri"/>
          <w:sz w:val="19"/>
          <w:szCs w:val="19"/>
        </w:rPr>
        <w:t xml:space="preserve">2. European Board and College of Obstetrics and Gynaecology (EBCOG). EBCOG Annual Report 2023.</w:t>
      </w:r>
    </w:p>
    <w:p>
      <w:pPr>
        <w:spacing w:after="100"/>
      </w:pPr>
      <w:r>
        <w:rPr>
          <w:rFonts w:ascii="Calibri" w:cs="Calibri" w:eastAsia="Calibri" w:hAnsi="Calibri"/>
          <w:i/>
          <w:iCs/>
          <w:sz w:val="17"/>
          <w:szCs w:val="17"/>
        </w:rPr>
        <w:t xml:space="preserve">     Tautan: </w:t>
      </w:r>
      <w:hyperlink w:history="1" r:id="rIdu7-ynjnux7vdenmj_tj6j">
        <w:r>
          <w:rPr>
            <w:rStyle w:val="Hyperlink"/>
            <w:rFonts w:ascii="Calibri" w:cs="Calibri" w:eastAsia="Calibri" w:hAnsi="Calibri"/>
            <w:sz w:val="17"/>
            <w:szCs w:val="17"/>
          </w:rPr>
          <w:t xml:space="preserve">https://ebcog.eu/wp-content/uploads/2024/04/EBCOG-Annual-Report-2023-FINAL.pdf</w:t>
        </w:r>
      </w:hyperlink>
    </w:p>
    <w:p>
      <w:pPr>
        <w:spacing w:after="20"/>
      </w:pPr>
      <w:r>
        <w:rPr>
          <w:rFonts w:ascii="Calibri" w:cs="Calibri" w:eastAsia="Calibri" w:hAnsi="Calibri"/>
          <w:sz w:val="19"/>
          <w:szCs w:val="19"/>
        </w:rPr>
        <w:t xml:space="preserve">3. Royal College of Obstetricians and Gynaecologists (RCOG). Reproductive Medicine Subspecialty Training.</w:t>
      </w:r>
    </w:p>
    <w:p>
      <w:pPr>
        <w:spacing w:after="100"/>
      </w:pPr>
      <w:r>
        <w:rPr>
          <w:rFonts w:ascii="Calibri" w:cs="Calibri" w:eastAsia="Calibri" w:hAnsi="Calibri"/>
          <w:i/>
          <w:iCs/>
          <w:sz w:val="17"/>
          <w:szCs w:val="17"/>
        </w:rPr>
        <w:t xml:space="preserve">     Tautan: </w:t>
      </w:r>
      <w:hyperlink w:history="1" r:id="rIdd_byxegdvm2o8l-zflsxi">
        <w:r>
          <w:rPr>
            <w:rStyle w:val="Hyperlink"/>
            <w:rFonts w:ascii="Calibri" w:cs="Calibri" w:eastAsia="Calibri" w:hAnsi="Calibri"/>
            <w:sz w:val="17"/>
            <w:szCs w:val="17"/>
          </w:rPr>
          <w:t xml:space="preserve">https://www.rcog.org.uk/careers-and-training/training/curriculum/subspecialty-training-curriculum/reproductive-medicine-subspecialty-training/</w:t>
        </w:r>
      </w:hyperlink>
    </w:p>
    <w:p>
      <w:pPr>
        <w:spacing w:after="20"/>
      </w:pPr>
      <w:r>
        <w:rPr>
          <w:rFonts w:ascii="Calibri" w:cs="Calibri" w:eastAsia="Calibri" w:hAnsi="Calibri"/>
          <w:sz w:val="19"/>
          <w:szCs w:val="19"/>
        </w:rPr>
        <w:t xml:space="preserve">4. Accreditation Council for Graduate Medical Education (ACGME). Obstetrics and Gynecology Overview.</w:t>
      </w:r>
    </w:p>
    <w:p>
      <w:pPr>
        <w:spacing w:after="100"/>
      </w:pPr>
      <w:r>
        <w:rPr>
          <w:rFonts w:ascii="Calibri" w:cs="Calibri" w:eastAsia="Calibri" w:hAnsi="Calibri"/>
          <w:i/>
          <w:iCs/>
          <w:sz w:val="17"/>
          <w:szCs w:val="17"/>
        </w:rPr>
        <w:t xml:space="preserve">     Tautan: </w:t>
      </w:r>
      <w:hyperlink w:history="1" r:id="rIdraf17yo0z_ilepw6avdyy">
        <w:r>
          <w:rPr>
            <w:rStyle w:val="Hyperlink"/>
            <w:rFonts w:ascii="Calibri" w:cs="Calibri" w:eastAsia="Calibri" w:hAnsi="Calibri"/>
            <w:sz w:val="17"/>
            <w:szCs w:val="17"/>
          </w:rPr>
          <w:t xml:space="preserve">https://www.acgme.org/specialties/obstetrics-and-gynecology/overview/</w:t>
        </w:r>
      </w:hyperlink>
    </w:p>
    <w:p>
      <w:pPr>
        <w:pageBreakBefore/>
      </w:pPr>
      <w:r>
        <w:br/>
      </w:r>
    </w:p>
    <w:p>
      <w:pPr>
        <w:pStyle w:val="Heading1"/>
        <w:spacing w:after="200" w:before="400"/>
      </w:pPr>
      <w:r>
        <w:t xml:space="preserve">Bab 3. Jejak Pertama: Complex Family Planning (Amerika Serikat)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Menelusuri sejarah dan struktur Complex Family Planning sebagai fellowship subspesialistik resmi ACGME.</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Memetakan secara eksplisit bagian mana dari Complex Family Planning yang beririsan dengan Buku 2 dan Buku 3 Obginsos, dan bagian mana yang tidak.</w:t>
            </w:r>
          </w:p>
        </w:tc>
      </w:tr>
    </w:tbl>
    <w:p>
      <w:pPr>
        <w:spacing w:after="120"/>
      </w:pPr>
    </w:p>
    <w:p>
      <w:pPr>
        <w:pStyle w:val="Heading2"/>
        <w:spacing w:after="120" w:before="260"/>
      </w:pPr>
      <w:r>
        <w:t xml:space="preserve">3.1 Sejarah dan Kelembagaan</w:t>
      </w:r>
    </w:p>
    <w:p>
      <w:pPr>
        <w:spacing w:after="160"/>
        <w:jc w:val="both"/>
      </w:pPr>
      <w:r>
        <w:rPr>
          <w:rFonts w:ascii="Calibri" w:cs="Calibri" w:eastAsia="Calibri" w:hAnsi="Calibri"/>
          <w:b w:val="false"/>
          <w:bCs w:val="false"/>
          <w:i w:val="false"/>
          <w:iCs w:val="false"/>
          <w:sz w:val="22"/>
          <w:szCs w:val="22"/>
        </w:rPr>
        <w:t xml:space="preserve">Complex Family Planning (CFP) berakar dari Fellowship in Family Planning yang dirintis di University of California, San Francisco pada akhir 1990-an. Fellowship perintis ini melahirkan Kenneth J. Ryan Residency Training Program in Family Planning and Abortion (Ryan Program) pada 1999, sebuah inisiatif nasional untuk mengintegrasikan family planning ke kurikulum residensi Obgin di seluruh Amerika Serikat; per data yang dikutip dalam dokumen pengajuan resmi ke ACGME, 68 dari 93 Ryan Program yang pernah berjalan saat ini dipimpin oleh lulusan fellowship, dan lebih dari 5.500 residen Obgin telah dibekali kompetensi family planning dasar melalui jaringan ini.[2] Selama dua dekade berikutnya, jaringan fellowship informal ini tumbuh di puluhan pusat akademik sebelum akhirnya diformalkan sebagai fellowship subspesialistik dua tahun yang terakreditasi resmi oleh ACGME, dengan Program Requirements resmi yang terus diperbarui — versi terbaru yang ditelusuri untuk buku ini adalah revisi 2025.[3] Society of Family Planning saat ini berperan mengoordinasikan jaringan program fellowship CFP di berbagai institusi, termasuk mempublikasikan daftar program yang tersedia bagi calon peserta.[4]</w:t>
      </w:r>
    </w:p>
    <w:p>
      <w:pPr>
        <w:spacing w:after="160"/>
        <w:jc w:val="both"/>
      </w:pPr>
      <w:r>
        <w:rPr>
          <w:rFonts w:ascii="Calibri" w:cs="Calibri" w:eastAsia="Calibri" w:hAnsi="Calibri"/>
          <w:b w:val="false"/>
          <w:bCs w:val="false"/>
          <w:i w:val="false"/>
          <w:iCs w:val="false"/>
          <w:sz w:val="22"/>
          <w:szCs w:val="22"/>
        </w:rPr>
        <w:t xml:space="preserve">Program CFP kini tersedia di banyak pusat akademik, antara lain University of California, Los Angeles (UCLA), Johns Hopkins University, University of Pittsburgh, dan University of Connecticut — seluruhnya mensyaratkan pelamar merupakan lulusan residensi Obstetri-Ginekologi terakreditasi ACGME dan berkomitmen pada pelatihan intensif kontrasepsi kompleks, aborsi, riset klinis, serta pengajaran.[4,5]</w:t>
      </w:r>
    </w:p>
    <w:p>
      <w:pPr>
        <w:pStyle w:val="Heading2"/>
        <w:spacing w:after="120" w:before="260"/>
      </w:pPr>
      <w:r>
        <w:t xml:space="preserve">3.2 Cakupan Kurikulum Inti</w:t>
      </w:r>
    </w:p>
    <w:p>
      <w:pPr>
        <w:spacing w:after="160"/>
        <w:jc w:val="both"/>
      </w:pPr>
      <w:r>
        <w:rPr>
          <w:rFonts w:ascii="Calibri" w:cs="Calibri" w:eastAsia="Calibri" w:hAnsi="Calibri"/>
          <w:b w:val="false"/>
          <w:bCs w:val="false"/>
          <w:i w:val="false"/>
          <w:iCs w:val="false"/>
          <w:sz w:val="22"/>
          <w:szCs w:val="22"/>
        </w:rPr>
        <w:t xml:space="preserve">Kurikulum CFP berpusat pada tiga pilar: (1) tata laksana kontrasepsi pada pasien dengan komorbiditas medis kompleks, termasuk seluruh metode kontrasepsi reversibel jangka panjang (LARC); (2) layanan aborsi lintas trimester termasuk kasus-kasus sulit secara medis maupun sosial, dengan sebagian program secara eksplisit menyediakan paparan pada layanan family planning di lokasi dengan sumber daya terbatas; dan (3) kemampuan riset serta pengajaran tingkat lanjut di bidang family planning, termasuk pelatihan metodologi penelitian klinis dan statistik formal selama dua tahun program.[4] Berbeda dari residensi Obgin umum yang hanya menyentuh family planning secara dasar, CFP membentuk subspesialis yang mampu menjadi rujukan tersier untuk kasus kontrasepsi dan aborsi paling kompleks di institusinya.</w:t>
      </w:r>
    </w:p>
    <w:p>
      <w:pPr>
        <w:pStyle w:val="Heading2"/>
        <w:spacing w:after="120" w:before="260"/>
      </w:pPr>
      <w:r>
        <w:t xml:space="preserve">3.3 Peta Irisan dengan Buku 2 dan Buku 3 Obginsos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200"/>
        <w:gridCol w:w="4826"/>
      </w:tblGrid>
      <w:tr>
        <w:trPr>
          <w:tblHeader/>
        </w:trPr>
        <w:tc>
          <w:tcPr>
            <w:tcW w:type="dxa" w:w="4200"/>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Aspek</w:t>
            </w:r>
          </w:p>
        </w:tc>
        <w:tc>
          <w:tcPr>
            <w:tcW w:type="dxa" w:w="4826"/>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Status Irisan dengan CFP</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Konseling &amp; pemasangan kontrasepsi pada komorbiditas tinggi (Buku 2)</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BERIRISAN PENUH — inti kurikulum CFP</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Kontrasepsi darurat pada perkosaan/kegagalan kontrasepsi (Buku 2)</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BERIRISAN PENUH</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Dilatasi-evakuasi trimester lanjut &amp; komplikasi pasca-abortus (Buku 2)</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BERIRISAN PENUH — domain andalan CFP</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Kehamilan remaja, konseling nondirektif KTD (Buku 3)</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BERIRISAN SEBAGIAN — CFP kuat pada sisi prosedural, lebih tipis pada sisi psikososial remaja</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Kesehatan mental perinatal (Buku 4)</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TIDAK DICAKUP CFP</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Manajemen mutu &amp; audit maternal RS (Buku 11)</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TIDAK DICAKUP CFP</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Perencanaan program kesehatan reproduksi masyarakat (Buku 13)</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TIDAK DICAKUP CFP — CFP berbasis fasilitas, bukan program populasi</w:t>
            </w:r>
          </w:p>
        </w:tc>
      </w:tr>
    </w:tbl>
    <w:p>
      <w:pPr>
        <w:spacing w:after="160"/>
      </w:pPr>
    </w:p>
    <w:p>
      <w:pPr>
        <w:spacing w:after="160"/>
        <w:jc w:val="both"/>
      </w:pPr>
      <w:r>
        <w:rPr>
          <w:rFonts w:ascii="Calibri" w:cs="Calibri" w:eastAsia="Calibri" w:hAnsi="Calibri"/>
          <w:b w:val="false"/>
          <w:bCs w:val="false"/>
          <w:i w:val="false"/>
          <w:iCs w:val="false"/>
          <w:sz w:val="22"/>
          <w:szCs w:val="22"/>
        </w:rPr>
        <w:t xml:space="preserve">Kesimpulannya, CFP adalah padanan internasional TERDEKAT untuk irisan prosedural Buku 2, tetapi sama sekali tidak menyentuh dimensi manajerial dan populasi yang menjadi ciri khas Obginsos.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3</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CFP berakar dari Ryan Program (1999), kini fellowship 2 tahun terakreditasi ACGME.</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Fokus utama: kontrasepsi kompleks, aborsi lintas trimester, riset dan pengajaran family planning.</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Beririsan penuh dengan sebagian besar Buku 2 Obginsos, beririsan sebagian dengan Buku 3.</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Sama sekali tidak mencakup kesehatan mental perinatal, manajemen mutu RS, atau program populasi.</w:t>
            </w:r>
          </w:p>
        </w:tc>
      </w:tr>
    </w:tbl>
    <w:p>
      <w:pPr>
        <w:spacing w:after="100" w:before="200"/>
      </w:pPr>
      <w:r>
        <w:rPr>
          <w:rFonts w:ascii="Calibri" w:cs="Calibri" w:eastAsia="Calibri" w:hAnsi="Calibri"/>
          <w:b/>
          <w:bCs/>
          <w:color w:val="7A1F3D"/>
          <w:sz w:val="22"/>
          <w:szCs w:val="22"/>
        </w:rPr>
        <w:t xml:space="preserve">Referensi Bab 3</w:t>
      </w:r>
    </w:p>
    <w:p>
      <w:pPr>
        <w:spacing w:after="20"/>
      </w:pPr>
      <w:r>
        <w:rPr>
          <w:rFonts w:ascii="Calibri" w:cs="Calibri" w:eastAsia="Calibri" w:hAnsi="Calibri"/>
          <w:sz w:val="19"/>
          <w:szCs w:val="19"/>
        </w:rPr>
        <w:t xml:space="preserve">1. Society of Family Planning. Complex Family Planning Fellowship.</w:t>
      </w:r>
    </w:p>
    <w:p>
      <w:pPr>
        <w:spacing w:after="100"/>
      </w:pPr>
      <w:r>
        <w:rPr>
          <w:rFonts w:ascii="Calibri" w:cs="Calibri" w:eastAsia="Calibri" w:hAnsi="Calibri"/>
          <w:i/>
          <w:iCs/>
          <w:sz w:val="17"/>
          <w:szCs w:val="17"/>
        </w:rPr>
        <w:t xml:space="preserve">     Tautan: </w:t>
      </w:r>
      <w:hyperlink w:history="1" r:id="rIdj28yaklelez2ulloz2rwg">
        <w:r>
          <w:rPr>
            <w:rStyle w:val="Hyperlink"/>
            <w:rFonts w:ascii="Calibri" w:cs="Calibri" w:eastAsia="Calibri" w:hAnsi="Calibri"/>
            <w:sz w:val="17"/>
            <w:szCs w:val="17"/>
          </w:rPr>
          <w:t xml:space="preserve">https://societyfp.org/fellowship/</w:t>
        </w:r>
      </w:hyperlink>
    </w:p>
    <w:p>
      <w:pPr>
        <w:spacing w:after="20"/>
      </w:pPr>
      <w:r>
        <w:rPr>
          <w:rFonts w:ascii="Calibri" w:cs="Calibri" w:eastAsia="Calibri" w:hAnsi="Calibri"/>
          <w:sz w:val="19"/>
          <w:szCs w:val="19"/>
        </w:rPr>
        <w:t xml:space="preserve">2. Accreditation Council for Graduate Medical Education (ACGME). Complex Family Planning Letter of Intent and Proposal.</w:t>
      </w:r>
    </w:p>
    <w:p>
      <w:pPr>
        <w:spacing w:after="100"/>
      </w:pPr>
      <w:r>
        <w:rPr>
          <w:rFonts w:ascii="Calibri" w:cs="Calibri" w:eastAsia="Calibri" w:hAnsi="Calibri"/>
          <w:i/>
          <w:iCs/>
          <w:sz w:val="17"/>
          <w:szCs w:val="17"/>
        </w:rPr>
        <w:t xml:space="preserve">     Tautan: </w:t>
      </w:r>
      <w:hyperlink w:history="1" r:id="rIdudx_fnvoqallatbsgozpy">
        <w:r>
          <w:rPr>
            <w:rStyle w:val="Hyperlink"/>
            <w:rFonts w:ascii="Calibri" w:cs="Calibri" w:eastAsia="Calibri" w:hAnsi="Calibri"/>
            <w:sz w:val="17"/>
            <w:szCs w:val="17"/>
          </w:rPr>
          <w:t xml:space="preserve">https://www.acgme.org/globalassets/PFAssets/ProposalReviewandComment/Complex_Family_Planning_LOIandProposal.pdf</w:t>
        </w:r>
      </w:hyperlink>
    </w:p>
    <w:p>
      <w:pPr>
        <w:spacing w:after="20"/>
      </w:pPr>
      <w:r>
        <w:rPr>
          <w:rFonts w:ascii="Calibri" w:cs="Calibri" w:eastAsia="Calibri" w:hAnsi="Calibri"/>
          <w:sz w:val="19"/>
          <w:szCs w:val="19"/>
        </w:rPr>
        <w:t xml:space="preserve">3. Accreditation Council for Graduate Medical Education (ACGME). ACGME Program Requirements for Graduate Medical Education in Complex Family Planning (2025 Reformatted).</w:t>
      </w:r>
    </w:p>
    <w:p>
      <w:pPr>
        <w:spacing w:after="100"/>
      </w:pPr>
      <w:r>
        <w:rPr>
          <w:rFonts w:ascii="Calibri" w:cs="Calibri" w:eastAsia="Calibri" w:hAnsi="Calibri"/>
          <w:i/>
          <w:iCs/>
          <w:sz w:val="17"/>
          <w:szCs w:val="17"/>
        </w:rPr>
        <w:t xml:space="preserve">     Tautan: </w:t>
      </w:r>
      <w:hyperlink w:history="1" r:id="rIdvc62daivrv2aptabv5kzm">
        <w:r>
          <w:rPr>
            <w:rStyle w:val="Hyperlink"/>
            <w:rFonts w:ascii="Calibri" w:cs="Calibri" w:eastAsia="Calibri" w:hAnsi="Calibri"/>
            <w:sz w:val="17"/>
            <w:szCs w:val="17"/>
          </w:rPr>
          <w:t xml:space="preserve">https://www.acgme.org/globalassets/pfassets/programrequirements/2025-reformatted-requirements/236_complexfamilyplanning_2025_reformatted.pdf</w:t>
        </w:r>
      </w:hyperlink>
    </w:p>
    <w:p>
      <w:pPr>
        <w:spacing w:after="20"/>
      </w:pPr>
      <w:r>
        <w:rPr>
          <w:rFonts w:ascii="Calibri" w:cs="Calibri" w:eastAsia="Calibri" w:hAnsi="Calibri"/>
          <w:sz w:val="19"/>
          <w:szCs w:val="19"/>
        </w:rPr>
        <w:t xml:space="preserve">4. UCLA Health. Complex Family Planning Fellowship, Department of Obstetrics and Gynecology.</w:t>
      </w:r>
    </w:p>
    <w:p>
      <w:pPr>
        <w:spacing w:after="100"/>
      </w:pPr>
      <w:r>
        <w:rPr>
          <w:rFonts w:ascii="Calibri" w:cs="Calibri" w:eastAsia="Calibri" w:hAnsi="Calibri"/>
          <w:i/>
          <w:iCs/>
          <w:sz w:val="17"/>
          <w:szCs w:val="17"/>
        </w:rPr>
        <w:t xml:space="preserve">     Tautan: </w:t>
      </w:r>
      <w:hyperlink w:history="1" r:id="rIdqag6-cgvbnm5nnk0ml3rx">
        <w:r>
          <w:rPr>
            <w:rStyle w:val="Hyperlink"/>
            <w:rFonts w:ascii="Calibri" w:cs="Calibri" w:eastAsia="Calibri" w:hAnsi="Calibri"/>
            <w:sz w:val="17"/>
            <w:szCs w:val="17"/>
          </w:rPr>
          <w:t xml:space="preserve">https://www.uclahealth.org/departments/obgyn/education/fellowship-programs/complex-family-planning-fellowship</w:t>
        </w:r>
      </w:hyperlink>
    </w:p>
    <w:p>
      <w:pPr>
        <w:spacing w:after="20"/>
      </w:pPr>
      <w:r>
        <w:rPr>
          <w:rFonts w:ascii="Calibri" w:cs="Calibri" w:eastAsia="Calibri" w:hAnsi="Calibri"/>
          <w:sz w:val="19"/>
          <w:szCs w:val="19"/>
        </w:rPr>
        <w:t xml:space="preserve">5. Johns Hopkins Medicine. Family Planning Fellowship Program.</w:t>
      </w:r>
    </w:p>
    <w:p>
      <w:pPr>
        <w:spacing w:after="100"/>
      </w:pPr>
      <w:r>
        <w:rPr>
          <w:rFonts w:ascii="Calibri" w:cs="Calibri" w:eastAsia="Calibri" w:hAnsi="Calibri"/>
          <w:i/>
          <w:iCs/>
          <w:sz w:val="17"/>
          <w:szCs w:val="17"/>
        </w:rPr>
        <w:t xml:space="preserve">     Tautan: </w:t>
      </w:r>
      <w:hyperlink w:history="1" r:id="rIdzwumhh5h9k7kc9jes0436">
        <w:r>
          <w:rPr>
            <w:rStyle w:val="Hyperlink"/>
            <w:rFonts w:ascii="Calibri" w:cs="Calibri" w:eastAsia="Calibri" w:hAnsi="Calibri"/>
            <w:sz w:val="17"/>
            <w:szCs w:val="17"/>
          </w:rPr>
          <w:t xml:space="preserve">https://www.hopkinsmedicine.org/gynecology-obstetrics/education/fellowships/family-planning</w:t>
        </w:r>
      </w:hyperlink>
    </w:p>
    <w:p>
      <w:pPr>
        <w:pageBreakBefore/>
      </w:pPr>
      <w:r>
        <w:br/>
      </w:r>
    </w:p>
    <w:p>
      <w:pPr>
        <w:pStyle w:val="Heading1"/>
        <w:spacing w:after="200" w:before="400"/>
      </w:pPr>
      <w:r>
        <w:t xml:space="preserve">Bab 4. Jejak Kedua: Community Sexual and Reproductive Health (Inggris)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Menelusuri evolusi historis Community Gynaecology menjadi subspesialisasi SRH lalu menjadi program CSRH di Inggris.</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Memetakan irisan CSRH dengan Buku 6, Buku 7, dan lima Pedoman Masyarakat dalam seri Obginsos.</w:t>
            </w:r>
          </w:p>
        </w:tc>
      </w:tr>
    </w:tbl>
    <w:p>
      <w:pPr>
        <w:spacing w:after="120"/>
      </w:pPr>
    </w:p>
    <w:p>
      <w:pPr>
        <w:pStyle w:val="Heading2"/>
        <w:spacing w:after="120" w:before="260"/>
      </w:pPr>
      <w:r>
        <w:t xml:space="preserve">4.1 Evolusi Historis</w:t>
      </w:r>
    </w:p>
    <w:p>
      <w:pPr>
        <w:spacing w:after="160"/>
        <w:jc w:val="both"/>
      </w:pPr>
      <w:r>
        <w:rPr>
          <w:rFonts w:ascii="Calibri" w:cs="Calibri" w:eastAsia="Calibri" w:hAnsi="Calibri"/>
          <w:b w:val="false"/>
          <w:bCs w:val="false"/>
          <w:i w:val="false"/>
          <w:iCs w:val="false"/>
          <w:sz w:val="22"/>
          <w:szCs w:val="22"/>
        </w:rPr>
        <w:t xml:space="preserve">Jalur ini memiliki riwayat kelembagaan paling panjang dan paling relevan secara filosofis dengan Obginsos. Badan pengampunya kini bernama College of Sexual and Reproductive Healthcare (CoSRH), namun nama ini adalah hasil dua kali perubahan nama: didirikan pada 1993 dengan nama Faculty of Family Planning and Reproductive Health Care, kemudian berganti nama menjadi Faculty of Sexual &amp; Reproductive Healthcare (FSRH) yang lama dikenal sebagai bagian keluarga Royal College of Obstetricians and Gynaecologists (RCOG), dan paling akhir berganti nama menjadi College of Sexual and Reproductive Healthcare (CoSRH) yang kini beroperasi independen serta menaungi lebih dari 14.000 tenaga profesional.[1] Di atas fondasi kelembagaan ini berjalan program pelatihan Community Sexual and Reproductive Health (CSRH), sebuah program berbasis kompetensi berdurasi 6 tahun (dimulai dari jenjang ST1) yang disetujui oleh General Medical Council (GMC) Inggris dan memberikan gelar Certificate of Completion of Training (CCT); peserta menempuh ujian keanggotaan MCSRH Part I pada tahun ke-3 dan MCSRH Part II pada tahun ke-6.[2,3]</w:t>
      </w:r>
    </w:p>
    <w:p>
      <w:pPr>
        <w:pStyle w:val="Heading2"/>
        <w:spacing w:after="120" w:before="260"/>
      </w:pPr>
      <w:r>
        <w:t xml:space="preserve">4.2 Cakupan Kurikulum CSRH</w:t>
      </w:r>
    </w:p>
    <w:p>
      <w:pPr>
        <w:spacing w:after="160"/>
        <w:jc w:val="both"/>
      </w:pPr>
      <w:r>
        <w:rPr>
          <w:rFonts w:ascii="Calibri" w:cs="Calibri" w:eastAsia="Calibri" w:hAnsi="Calibri"/>
          <w:b w:val="false"/>
          <w:bCs w:val="false"/>
          <w:i w:val="false"/>
          <w:iCs w:val="false"/>
          <w:sz w:val="22"/>
          <w:szCs w:val="22"/>
        </w:rPr>
        <w:t xml:space="preserve">Berbeda dari CFP yang berbasis rumah sakit/fasilitas tersier, CSRH secara eksplisit berbasis KOMUNITAS — pelayanan kontrasepsi, kesehatan seksual, dan aspek reproduksi lain di luar tembok rumah sakit, termasuk di klinik komunitas, layanan remaja, dan program deteksi dini kekerasan berbasis gender. Karakter berbasis-komunitas inilah yang membuat CSRH menjadi padanan filosofis TERDEKAT dengan semangat 'sosial' pada nama Obginsos, dibandingkan tiga jejak lainnya.</w:t>
      </w:r>
    </w:p>
    <w:p>
      <w:pPr>
        <w:pStyle w:val="Heading2"/>
        <w:spacing w:after="120" w:before="260"/>
      </w:pPr>
      <w:r>
        <w:t xml:space="preserve">4.3 Peta Irisan dengan Buku 6, Buku 7, dan Pedoman Masyarakat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200"/>
        <w:gridCol w:w="4826"/>
      </w:tblGrid>
      <w:tr>
        <w:trPr>
          <w:tblHeader/>
        </w:trPr>
        <w:tc>
          <w:tcPr>
            <w:tcW w:type="dxa" w:w="4200"/>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Aspek</w:t>
            </w:r>
          </w:p>
        </w:tc>
        <w:tc>
          <w:tcPr>
            <w:tcW w:type="dxa" w:w="4826"/>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Status Irisan dengan CSRH</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Identifikasi &amp; rujukan korban KDRT/kekerasan seksual (Buku 6)</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BERIRISAN PENUH — komponen inti CSRH</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Kesehatan reproduksi &amp; seksualitas remaja (Buku 7)</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BERIRISAN PENUH</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Pedoman Deteksi Dini Berbasis Komunitas untuk Kekerasan Gender (Pedoman Masyarakat No. 4)</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BERIRISAN PENUH — inilah wilayah paling khas CSRH</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Pedoman Perencanaan Program Kespro Masyarakat (Pedoman Masyarakat No. 1)</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BERIRISAN SEBAGIAN</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Visum et repertum &amp; dokumentasi medikolegal (Buku 6)</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TIDAK DICAKUP CSRH — ranah forensik ini di Inggris ditangani jalur berbeda (forensic medical examiner)</w:t>
            </w:r>
          </w:p>
        </w:tc>
      </w:tr>
      <w:tr>
        <w:tc>
          <w:tcPr>
            <w:tcW w:type="dxa" w:w="4200"/>
            <w:shd w:fill="FBF3F6" w:color="auto" w:val="clear"/>
            <w:tcMar>
              <w:top w:type="dxa" w:w="90"/>
              <w:left w:type="dxa" w:w="120"/>
              <w:bottom w:type="dxa" w:w="90"/>
              <w:right w:type="dxa" w:w="120"/>
            </w:tcMar>
          </w:tcPr>
          <w:p>
            <w:r>
              <w:rPr>
                <w:rFonts w:ascii="Calibri" w:cs="Calibri" w:eastAsia="Calibri" w:hAnsi="Calibri"/>
                <w:sz w:val="18"/>
                <w:szCs w:val="18"/>
              </w:rPr>
              <w:t xml:space="preserve">Audit maternal-perinatal &amp; manajemen mutu RS (Buku 11)</w:t>
            </w:r>
          </w:p>
        </w:tc>
        <w:tc>
          <w:tcPr>
            <w:tcW w:type="dxa" w:w="4826"/>
            <w:shd w:fill="FBF3F6" w:color="auto" w:val="clear"/>
            <w:tcMar>
              <w:top w:type="dxa" w:w="90"/>
              <w:left w:type="dxa" w:w="120"/>
              <w:bottom w:type="dxa" w:w="90"/>
              <w:right w:type="dxa" w:w="120"/>
            </w:tcMar>
          </w:tcPr>
          <w:p>
            <w:r>
              <w:rPr>
                <w:rFonts w:ascii="Calibri" w:cs="Calibri" w:eastAsia="Calibri" w:hAnsi="Calibri"/>
                <w:sz w:val="18"/>
                <w:szCs w:val="18"/>
              </w:rPr>
              <w:t xml:space="preserve">TIDAK DICAKUP CSRH</w:t>
            </w:r>
          </w:p>
        </w:tc>
      </w:tr>
      <w:tr>
        <w:tc>
          <w:tcPr>
            <w:tcW w:type="dxa" w:w="4200"/>
            <w:shd w:fill="FFFFFF" w:color="auto" w:val="clear"/>
            <w:tcMar>
              <w:top w:type="dxa" w:w="90"/>
              <w:left w:type="dxa" w:w="120"/>
              <w:bottom w:type="dxa" w:w="90"/>
              <w:right w:type="dxa" w:w="120"/>
            </w:tcMar>
          </w:tcPr>
          <w:p>
            <w:r>
              <w:rPr>
                <w:rFonts w:ascii="Calibri" w:cs="Calibri" w:eastAsia="Calibri" w:hAnsi="Calibri"/>
                <w:sz w:val="18"/>
                <w:szCs w:val="18"/>
              </w:rPr>
              <w:t xml:space="preserve">Perawatan paliatif ginekologi holistik (Buku 10)</w:t>
            </w:r>
          </w:p>
        </w:tc>
        <w:tc>
          <w:tcPr>
            <w:tcW w:type="dxa" w:w="4826"/>
            <w:shd w:fill="FFFFFF" w:color="auto" w:val="clear"/>
            <w:tcMar>
              <w:top w:type="dxa" w:w="90"/>
              <w:left w:type="dxa" w:w="120"/>
              <w:bottom w:type="dxa" w:w="90"/>
              <w:right w:type="dxa" w:w="120"/>
            </w:tcMar>
          </w:tcPr>
          <w:p>
            <w:r>
              <w:rPr>
                <w:rFonts w:ascii="Calibri" w:cs="Calibri" w:eastAsia="Calibri" w:hAnsi="Calibri"/>
                <w:sz w:val="18"/>
                <w:szCs w:val="18"/>
              </w:rPr>
              <w:t xml:space="preserve">TIDAK DICAKUP CSRH</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4</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CSRH berevolusi dari Community Gynaecology → SRH subspecialty → CSRH, disetujui GMC, kini diampu CoSRH.</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Ciri khasnya berbasis komunitas, bukan fasilitas tersier — filosofis paling dekat dengan 'sosial' pada Obginsos.</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Beririsan penuh dengan Buku 6, Buku 7, dan Pedoman Masyarakat No. 4.</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Tidak mencakup visum et repertum, audit maternal RS, atau paliatif ginekologi.</w:t>
            </w:r>
          </w:p>
        </w:tc>
      </w:tr>
    </w:tbl>
    <w:p>
      <w:pPr>
        <w:spacing w:after="100" w:before="200"/>
      </w:pPr>
      <w:r>
        <w:rPr>
          <w:rFonts w:ascii="Calibri" w:cs="Calibri" w:eastAsia="Calibri" w:hAnsi="Calibri"/>
          <w:b/>
          <w:bCs/>
          <w:color w:val="7A1F3D"/>
          <w:sz w:val="22"/>
          <w:szCs w:val="22"/>
        </w:rPr>
        <w:t xml:space="preserve">Referensi Bab 4</w:t>
      </w:r>
    </w:p>
    <w:p>
      <w:pPr>
        <w:spacing w:after="20"/>
      </w:pPr>
      <w:r>
        <w:rPr>
          <w:rFonts w:ascii="Calibri" w:cs="Calibri" w:eastAsia="Calibri" w:hAnsi="Calibri"/>
          <w:sz w:val="19"/>
          <w:szCs w:val="19"/>
        </w:rPr>
        <w:t xml:space="preserve">1. Wikipedia. College of Sexual and Reproductive Healthcare.</w:t>
      </w:r>
    </w:p>
    <w:p>
      <w:pPr>
        <w:spacing w:after="100"/>
      </w:pPr>
      <w:r>
        <w:rPr>
          <w:rFonts w:ascii="Calibri" w:cs="Calibri" w:eastAsia="Calibri" w:hAnsi="Calibri"/>
          <w:i/>
          <w:iCs/>
          <w:sz w:val="17"/>
          <w:szCs w:val="17"/>
        </w:rPr>
        <w:t xml:space="preserve">     Tautan: </w:t>
      </w:r>
      <w:hyperlink w:history="1" r:id="rId1np4vko21wdjiuanx4cyn">
        <w:r>
          <w:rPr>
            <w:rStyle w:val="Hyperlink"/>
            <w:rFonts w:ascii="Calibri" w:cs="Calibri" w:eastAsia="Calibri" w:hAnsi="Calibri"/>
            <w:sz w:val="17"/>
            <w:szCs w:val="17"/>
          </w:rPr>
          <w:t xml:space="preserve">https://en.wikipedia.org/wiki/College_of_Sexual_and_Reproductive_Healthcare</w:t>
        </w:r>
      </w:hyperlink>
    </w:p>
    <w:p>
      <w:pPr>
        <w:spacing w:after="20"/>
      </w:pPr>
      <w:r>
        <w:rPr>
          <w:rFonts w:ascii="Calibri" w:cs="Calibri" w:eastAsia="Calibri" w:hAnsi="Calibri"/>
          <w:sz w:val="19"/>
          <w:szCs w:val="19"/>
        </w:rPr>
        <w:t xml:space="preserve">2. Severn Deanery/NHS. Community Sexual and Reproductive Health (CSRH) Training Programme.</w:t>
      </w:r>
    </w:p>
    <w:p>
      <w:pPr>
        <w:spacing w:after="100"/>
      </w:pPr>
      <w:r>
        <w:rPr>
          <w:rFonts w:ascii="Calibri" w:cs="Calibri" w:eastAsia="Calibri" w:hAnsi="Calibri"/>
          <w:i/>
          <w:iCs/>
          <w:sz w:val="17"/>
          <w:szCs w:val="17"/>
        </w:rPr>
        <w:t xml:space="preserve">     Tautan: </w:t>
      </w:r>
      <w:hyperlink w:history="1" r:id="rIdibm7f1hgt6ei3h6ju67xk">
        <w:r>
          <w:rPr>
            <w:rStyle w:val="Hyperlink"/>
            <w:rFonts w:ascii="Calibri" w:cs="Calibri" w:eastAsia="Calibri" w:hAnsi="Calibri"/>
            <w:sz w:val="17"/>
            <w:szCs w:val="17"/>
          </w:rPr>
          <w:t xml:space="preserve">https://obsandgynae.severndeanery.nhs.uk/about-us/community-sexual-and-reproductive-health/</w:t>
        </w:r>
      </w:hyperlink>
    </w:p>
    <w:p>
      <w:pPr>
        <w:spacing w:after="20"/>
      </w:pPr>
      <w:r>
        <w:rPr>
          <w:rFonts w:ascii="Calibri" w:cs="Calibri" w:eastAsia="Calibri" w:hAnsi="Calibri"/>
          <w:sz w:val="19"/>
          <w:szCs w:val="19"/>
        </w:rPr>
        <w:t xml:space="preserve">3. College of Sexual and Reproductive Healthcare (CoSRH). Education &amp; Training.</w:t>
      </w:r>
    </w:p>
    <w:p>
      <w:pPr>
        <w:spacing w:after="100"/>
      </w:pPr>
      <w:r>
        <w:rPr>
          <w:rFonts w:ascii="Calibri" w:cs="Calibri" w:eastAsia="Calibri" w:hAnsi="Calibri"/>
          <w:i/>
          <w:iCs/>
          <w:sz w:val="17"/>
          <w:szCs w:val="17"/>
        </w:rPr>
        <w:t xml:space="preserve">     Tautan: </w:t>
      </w:r>
      <w:hyperlink w:history="1" r:id="rIdf_3yjxcr9tymoj6q1mlab">
        <w:r>
          <w:rPr>
            <w:rStyle w:val="Hyperlink"/>
            <w:rFonts w:ascii="Calibri" w:cs="Calibri" w:eastAsia="Calibri" w:hAnsi="Calibri"/>
            <w:sz w:val="17"/>
            <w:szCs w:val="17"/>
          </w:rPr>
          <w:t xml:space="preserve">https://www.cosrh.org/Public/Public/education-training.aspx</w:t>
        </w:r>
      </w:hyperlink>
    </w:p>
    <w:p>
      <w:pPr>
        <w:spacing w:after="20"/>
      </w:pPr>
      <w:r>
        <w:rPr>
          <w:rFonts w:ascii="Calibri" w:cs="Calibri" w:eastAsia="Calibri" w:hAnsi="Calibri"/>
          <w:sz w:val="19"/>
          <w:szCs w:val="19"/>
        </w:rPr>
        <w:t xml:space="preserve">4. Royal College of Obstetricians and Gynaecologists (RCOG). Faculty of Sexual &amp; Reproductive Healthcare (FSRH) — arsip historis.</w:t>
      </w:r>
    </w:p>
    <w:p>
      <w:pPr>
        <w:spacing w:after="100"/>
      </w:pPr>
      <w:r>
        <w:rPr>
          <w:rFonts w:ascii="Calibri" w:cs="Calibri" w:eastAsia="Calibri" w:hAnsi="Calibri"/>
          <w:i/>
          <w:iCs/>
          <w:sz w:val="17"/>
          <w:szCs w:val="17"/>
        </w:rPr>
        <w:t xml:space="preserve">     Tautan: </w:t>
      </w:r>
      <w:hyperlink w:history="1" r:id="rIdwkngo9dkgsfhmdhufyvi5">
        <w:r>
          <w:rPr>
            <w:rStyle w:val="Hyperlink"/>
            <w:rFonts w:ascii="Calibri" w:cs="Calibri" w:eastAsia="Calibri" w:hAnsi="Calibri"/>
            <w:sz w:val="17"/>
            <w:szCs w:val="17"/>
          </w:rPr>
          <w:t xml:space="preserve">https://www.rcog.org.uk/about-us/groups-and-societies/faculty-of-sexual-reproductive-healthcare-fsrh/</w:t>
        </w:r>
      </w:hyperlink>
    </w:p>
    <w:p>
      <w:pPr>
        <w:pageBreakBefore/>
      </w:pPr>
      <w:r>
        <w:br/>
      </w:r>
    </w:p>
    <w:p>
      <w:pPr>
        <w:pStyle w:val="Heading1"/>
        <w:spacing w:after="200" w:before="400"/>
      </w:pPr>
      <w:r>
        <w:t xml:space="preserve">Bab 5. Jejak Ketiga: Global Women's Health Fellowship (Lintas Negara)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Memahami struktur Global Women's Health Fellowship sebagai jalur non-ACGME yang berbasis sistem kesehatan global.</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Memetakan irisan fellowship ini dengan Buku 11, 12, dan 13 Obginsos.</w:t>
            </w:r>
          </w:p>
        </w:tc>
      </w:tr>
    </w:tbl>
    <w:p>
      <w:pPr>
        <w:spacing w:after="120"/>
      </w:pPr>
    </w:p>
    <w:p>
      <w:pPr>
        <w:pStyle w:val="Heading2"/>
        <w:spacing w:after="120" w:before="260"/>
      </w:pPr>
      <w:r>
        <w:t xml:space="preserve">5.1 Karakter Kelembagaan</w:t>
      </w:r>
    </w:p>
    <w:p>
      <w:pPr>
        <w:spacing w:after="160"/>
        <w:jc w:val="both"/>
      </w:pPr>
      <w:r>
        <w:rPr>
          <w:rFonts w:ascii="Calibri" w:cs="Calibri" w:eastAsia="Calibri" w:hAnsi="Calibri"/>
          <w:b w:val="false"/>
          <w:bCs w:val="false"/>
          <w:i w:val="false"/>
          <w:iCs w:val="false"/>
          <w:sz w:val="22"/>
          <w:szCs w:val="22"/>
        </w:rPr>
        <w:t xml:space="preserve">Berbeda dari CFP (Bab 3) dan CSRH (Bab 4) yang merupakan program terakreditasi formal oleh badan nasional (ACGME dan GMC), Global Women's Health Fellowship adalah KATEGORI program non-ACGME yang diselenggarakan mandiri oleh masing-masing pusat akademik, bukan satu program tunggal. American College of Obstetricians and Gynecologists (ACOG) memelihara direktori resmi program-program semacam ini, mencantumkan antara lain program di University of North Carolina (bekerja sama dengan tiga institusi mitra di Afrika Selatan), University of Illinois Chicago, dan Boston Children's Hospital bekerja sama dengan Partners In Health.[1] Salah satu contoh paling representatif adalah program di Brigham and Women's Hospital, yang menawarkan fellowship berdurasi 24 bulan mencakup pelatihan klinis, penempatan kerja di lokasi mitra internasional selama total 12 bulan, dan penyelesaian gelar Master of Public Health (MPH) penuh yang didanai sepenuhnya sebagai bagian integral program.[2]</w:t>
      </w:r>
    </w:p>
    <w:p>
      <w:pPr>
        <w:spacing w:after="160"/>
        <w:jc w:val="both"/>
      </w:pPr>
      <w:r>
        <w:rPr>
          <w:rFonts w:ascii="Calibri" w:cs="Calibri" w:eastAsia="Calibri" w:hAnsi="Calibri"/>
          <w:b w:val="false"/>
          <w:bCs w:val="false"/>
          <w:i w:val="false"/>
          <w:iCs w:val="false"/>
          <w:sz w:val="22"/>
          <w:szCs w:val="22"/>
        </w:rPr>
        <w:t xml:space="preserve">Karena sifatnya yang tidak terpusat pada satu badan akreditasi tunggal, struktur dan durasi Global Women's Health Fellowship bervariasi antarinstitusi — bahkan sebagian program, seperti program serupa di Duke University, tercatat pernah dijeda penerimaan pesertanya pada tahun ajaran tertentu karena keterbatasan pendanaan atau kapasitas mitra internasional, mengindikasikan model ini memang lebih rentan terhadap fluktuasi dibanding program terakreditasi formal seperti CFP.[3] Meski demikian, pola umumnya tetap konsisten lintas program: kombinasi kerja klinis lapangan, pendidikan formal kesehatan masyarakat (MPH atau setara), dan orientasi riset sistem kesehatan global.</w:t>
      </w:r>
    </w:p>
    <w:p>
      <w:pPr>
        <w:pStyle w:val="Heading2"/>
        <w:spacing w:after="120" w:before="260"/>
      </w:pPr>
      <w:r>
        <w:t xml:space="preserve">5.2 Cakupan Kurikulum Inti</w:t>
      </w:r>
    </w:p>
    <w:p>
      <w:pPr>
        <w:spacing w:after="160"/>
        <w:jc w:val="both"/>
      </w:pPr>
      <w:r>
        <w:rPr>
          <w:rFonts w:ascii="Calibri" w:cs="Calibri" w:eastAsia="Calibri" w:hAnsi="Calibri"/>
          <w:b w:val="false"/>
          <w:bCs w:val="false"/>
          <w:i w:val="false"/>
          <w:iCs w:val="false"/>
          <w:sz w:val="22"/>
          <w:szCs w:val="22"/>
        </w:rPr>
        <w:t xml:space="preserve">Kurikulum berpusat pada tiga elemen: (1) manajemen sistem kesehatan dan penguatan kapasitas fasilitas di negara berpendapatan rendah-menengah; (2) metodologi riset epidemiologi dan kesehatan masyarakat formal melalui gelar MPH; dan (3) pengalaman klinis langsung di lokasi kerja sama internasional, sering kali di negara berkembang. Elemen kedua inilah yang membuat fellowship ini menjadi padanan TERDEKAT untuk dimensi riset-populasi Obginsos.</w:t>
      </w:r>
    </w:p>
    <w:p>
      <w:pPr>
        <w:pStyle w:val="Heading2"/>
        <w:spacing w:after="120" w:before="260"/>
      </w:pPr>
      <w:r>
        <w:t xml:space="preserve">5.3 Peta Irisan dengan Buku 11, 12, dan 13 Obginsos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400"/>
        <w:gridCol w:w="4626"/>
      </w:tblGrid>
      <w:tr>
        <w:trPr>
          <w:tblHeader/>
        </w:trPr>
        <w:tc>
          <w:tcPr>
            <w:tcW w:type="dxa" w:w="4400"/>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Aspek</w:t>
            </w:r>
          </w:p>
        </w:tc>
        <w:tc>
          <w:tcPr>
            <w:tcW w:type="dxa" w:w="4626"/>
            <w:shd w:fill="7A1F3D" w:color="auto" w:val="clear"/>
            <w:tcMar>
              <w:top w:type="dxa" w:w="100"/>
              <w:left w:type="dxa" w:w="120"/>
              <w:bottom w:type="dxa" w:w="100"/>
              <w:right w:type="dxa" w:w="120"/>
            </w:tcMar>
          </w:tcPr>
          <w:p>
            <w:r>
              <w:rPr>
                <w:rFonts w:ascii="Calibri" w:cs="Calibri" w:eastAsia="Calibri" w:hAnsi="Calibri"/>
                <w:b/>
                <w:bCs/>
                <w:color w:val="FFFFFF"/>
                <w:sz w:val="18"/>
                <w:szCs w:val="18"/>
              </w:rPr>
              <w:t xml:space="preserve">Status Irisan dengan Global Women's Health Fellowship</w:t>
            </w:r>
          </w:p>
        </w:tc>
      </w:tr>
      <w:tr>
        <w:tc>
          <w:tcPr>
            <w:tcW w:type="dxa" w:w="4400"/>
            <w:shd w:fill="FFFFFF" w:color="auto" w:val="clear"/>
            <w:tcMar>
              <w:top w:type="dxa" w:w="90"/>
              <w:left w:type="dxa" w:w="120"/>
              <w:bottom w:type="dxa" w:w="90"/>
              <w:right w:type="dxa" w:w="120"/>
            </w:tcMar>
          </w:tcPr>
          <w:p>
            <w:r>
              <w:rPr>
                <w:rFonts w:ascii="Calibri" w:cs="Calibri" w:eastAsia="Calibri" w:hAnsi="Calibri"/>
                <w:sz w:val="18"/>
                <w:szCs w:val="18"/>
              </w:rPr>
              <w:t xml:space="preserve">Perencanaan &amp; implementasi program kespro berbasis data epidemiologi (Buku 13)</w:t>
            </w:r>
          </w:p>
        </w:tc>
        <w:tc>
          <w:tcPr>
            <w:tcW w:type="dxa" w:w="4626"/>
            <w:shd w:fill="FFFFFF" w:color="auto" w:val="clear"/>
            <w:tcMar>
              <w:top w:type="dxa" w:w="90"/>
              <w:left w:type="dxa" w:w="120"/>
              <w:bottom w:type="dxa" w:w="90"/>
              <w:right w:type="dxa" w:w="120"/>
            </w:tcMar>
          </w:tcPr>
          <w:p>
            <w:r>
              <w:rPr>
                <w:rFonts w:ascii="Calibri" w:cs="Calibri" w:eastAsia="Calibri" w:hAnsi="Calibri"/>
                <w:sz w:val="18"/>
                <w:szCs w:val="18"/>
              </w:rPr>
              <w:t xml:space="preserve">BERIRISAN PENUH — inti fellowship melalui komponen MPH</w:t>
            </w:r>
          </w:p>
        </w:tc>
      </w:tr>
      <w:tr>
        <w:tc>
          <w:tcPr>
            <w:tcW w:type="dxa" w:w="4400"/>
            <w:shd w:fill="FBF3F6" w:color="auto" w:val="clear"/>
            <w:tcMar>
              <w:top w:type="dxa" w:w="90"/>
              <w:left w:type="dxa" w:w="120"/>
              <w:bottom w:type="dxa" w:w="90"/>
              <w:right w:type="dxa" w:w="120"/>
            </w:tcMar>
          </w:tcPr>
          <w:p>
            <w:r>
              <w:rPr>
                <w:rFonts w:ascii="Calibri" w:cs="Calibri" w:eastAsia="Calibri" w:hAnsi="Calibri"/>
                <w:sz w:val="18"/>
                <w:szCs w:val="18"/>
              </w:rPr>
              <w:t xml:space="preserve">Metodologi riset epidemiologi dan kesehatan reproduksi (Buku 13)</w:t>
            </w:r>
          </w:p>
        </w:tc>
        <w:tc>
          <w:tcPr>
            <w:tcW w:type="dxa" w:w="4626"/>
            <w:shd w:fill="FBF3F6" w:color="auto" w:val="clear"/>
            <w:tcMar>
              <w:top w:type="dxa" w:w="90"/>
              <w:left w:type="dxa" w:w="120"/>
              <w:bottom w:type="dxa" w:w="90"/>
              <w:right w:type="dxa" w:w="120"/>
            </w:tcMar>
          </w:tcPr>
          <w:p>
            <w:r>
              <w:rPr>
                <w:rFonts w:ascii="Calibri" w:cs="Calibri" w:eastAsia="Calibri" w:hAnsi="Calibri"/>
                <w:sz w:val="18"/>
                <w:szCs w:val="18"/>
              </w:rPr>
              <w:t xml:space="preserve">BERIRISAN PENUH</w:t>
            </w:r>
          </w:p>
        </w:tc>
      </w:tr>
      <w:tr>
        <w:tc>
          <w:tcPr>
            <w:tcW w:type="dxa" w:w="4400"/>
            <w:shd w:fill="FFFFFF" w:color="auto" w:val="clear"/>
            <w:tcMar>
              <w:top w:type="dxa" w:w="90"/>
              <w:left w:type="dxa" w:w="120"/>
              <w:bottom w:type="dxa" w:w="90"/>
              <w:right w:type="dxa" w:w="120"/>
            </w:tcMar>
          </w:tcPr>
          <w:p>
            <w:r>
              <w:rPr>
                <w:rFonts w:ascii="Calibri" w:cs="Calibri" w:eastAsia="Calibri" w:hAnsi="Calibri"/>
                <w:sz w:val="18"/>
                <w:szCs w:val="18"/>
              </w:rPr>
              <w:t xml:space="preserve">Pendidikan klinis &amp; pengembangan tenaga pelatih (Buku 12)</w:t>
            </w:r>
          </w:p>
        </w:tc>
        <w:tc>
          <w:tcPr>
            <w:tcW w:type="dxa" w:w="4626"/>
            <w:shd w:fill="FFFFFF" w:color="auto" w:val="clear"/>
            <w:tcMar>
              <w:top w:type="dxa" w:w="90"/>
              <w:left w:type="dxa" w:w="120"/>
              <w:bottom w:type="dxa" w:w="90"/>
              <w:right w:type="dxa" w:w="120"/>
            </w:tcMar>
          </w:tcPr>
          <w:p>
            <w:r>
              <w:rPr>
                <w:rFonts w:ascii="Calibri" w:cs="Calibri" w:eastAsia="Calibri" w:hAnsi="Calibri"/>
                <w:sz w:val="18"/>
                <w:szCs w:val="18"/>
              </w:rPr>
              <w:t xml:space="preserve">BERIRISAN PENUH — banyak fellowship menekankan capacity building tenaga lokal</w:t>
            </w:r>
          </w:p>
        </w:tc>
      </w:tr>
      <w:tr>
        <w:tc>
          <w:tcPr>
            <w:tcW w:type="dxa" w:w="4400"/>
            <w:shd w:fill="FBF3F6" w:color="auto" w:val="clear"/>
            <w:tcMar>
              <w:top w:type="dxa" w:w="90"/>
              <w:left w:type="dxa" w:w="120"/>
              <w:bottom w:type="dxa" w:w="90"/>
              <w:right w:type="dxa" w:w="120"/>
            </w:tcMar>
          </w:tcPr>
          <w:p>
            <w:r>
              <w:rPr>
                <w:rFonts w:ascii="Calibri" w:cs="Calibri" w:eastAsia="Calibri" w:hAnsi="Calibri"/>
                <w:sz w:val="18"/>
                <w:szCs w:val="18"/>
              </w:rPr>
              <w:t xml:space="preserve">Manajemen mutu &amp; audit maternal-perinatal RS (Buku 11)</w:t>
            </w:r>
          </w:p>
        </w:tc>
        <w:tc>
          <w:tcPr>
            <w:tcW w:type="dxa" w:w="4626"/>
            <w:shd w:fill="FBF3F6" w:color="auto" w:val="clear"/>
            <w:tcMar>
              <w:top w:type="dxa" w:w="90"/>
              <w:left w:type="dxa" w:w="120"/>
              <w:bottom w:type="dxa" w:w="90"/>
              <w:right w:type="dxa" w:w="120"/>
            </w:tcMar>
          </w:tcPr>
          <w:p>
            <w:r>
              <w:rPr>
                <w:rFonts w:ascii="Calibri" w:cs="Calibri" w:eastAsia="Calibri" w:hAnsi="Calibri"/>
                <w:sz w:val="18"/>
                <w:szCs w:val="18"/>
              </w:rPr>
              <w:t xml:space="preserve">BERIRISAN SEBAGIAN — sering dibahas dalam konteks penguatan sistem, bukan audit klinis rinci</w:t>
            </w:r>
          </w:p>
        </w:tc>
      </w:tr>
      <w:tr>
        <w:tc>
          <w:tcPr>
            <w:tcW w:type="dxa" w:w="4400"/>
            <w:shd w:fill="FFFFFF" w:color="auto" w:val="clear"/>
            <w:tcMar>
              <w:top w:type="dxa" w:w="90"/>
              <w:left w:type="dxa" w:w="120"/>
              <w:bottom w:type="dxa" w:w="90"/>
              <w:right w:type="dxa" w:w="120"/>
            </w:tcMar>
          </w:tcPr>
          <w:p>
            <w:r>
              <w:rPr>
                <w:rFonts w:ascii="Calibri" w:cs="Calibri" w:eastAsia="Calibri" w:hAnsi="Calibri"/>
                <w:sz w:val="18"/>
                <w:szCs w:val="18"/>
              </w:rPr>
              <w:t xml:space="preserve">Tata laksana klinis individual kekerasan seksual (Buku 6)</w:t>
            </w:r>
          </w:p>
        </w:tc>
        <w:tc>
          <w:tcPr>
            <w:tcW w:type="dxa" w:w="4626"/>
            <w:shd w:fill="FFFFFF" w:color="auto" w:val="clear"/>
            <w:tcMar>
              <w:top w:type="dxa" w:w="90"/>
              <w:left w:type="dxa" w:w="120"/>
              <w:bottom w:type="dxa" w:w="90"/>
              <w:right w:type="dxa" w:w="120"/>
            </w:tcMar>
          </w:tcPr>
          <w:p>
            <w:r>
              <w:rPr>
                <w:rFonts w:ascii="Calibri" w:cs="Calibri" w:eastAsia="Calibri" w:hAnsi="Calibri"/>
                <w:sz w:val="18"/>
                <w:szCs w:val="18"/>
              </w:rPr>
              <w:t xml:space="preserve">TIDAK DICAKUP secara khusus — bukan fokus utama</w:t>
            </w:r>
          </w:p>
        </w:tc>
      </w:tr>
      <w:tr>
        <w:tc>
          <w:tcPr>
            <w:tcW w:type="dxa" w:w="4400"/>
            <w:shd w:fill="FBF3F6" w:color="auto" w:val="clear"/>
            <w:tcMar>
              <w:top w:type="dxa" w:w="90"/>
              <w:left w:type="dxa" w:w="120"/>
              <w:bottom w:type="dxa" w:w="90"/>
              <w:right w:type="dxa" w:w="120"/>
            </w:tcMar>
          </w:tcPr>
          <w:p>
            <w:r>
              <w:rPr>
                <w:rFonts w:ascii="Calibri" w:cs="Calibri" w:eastAsia="Calibri" w:hAnsi="Calibri"/>
                <w:sz w:val="18"/>
                <w:szCs w:val="18"/>
              </w:rPr>
              <w:t xml:space="preserve">Prosedur klinis spesifik (kontrasepsi, D&amp;E) (Buku 2)</w:t>
            </w:r>
          </w:p>
        </w:tc>
        <w:tc>
          <w:tcPr>
            <w:tcW w:type="dxa" w:w="4626"/>
            <w:shd w:fill="FBF3F6" w:color="auto" w:val="clear"/>
            <w:tcMar>
              <w:top w:type="dxa" w:w="90"/>
              <w:left w:type="dxa" w:w="120"/>
              <w:bottom w:type="dxa" w:w="90"/>
              <w:right w:type="dxa" w:w="120"/>
            </w:tcMar>
          </w:tcPr>
          <w:p>
            <w:r>
              <w:rPr>
                <w:rFonts w:ascii="Calibri" w:cs="Calibri" w:eastAsia="Calibri" w:hAnsi="Calibri"/>
                <w:sz w:val="18"/>
                <w:szCs w:val="18"/>
              </w:rPr>
              <w:t xml:space="preserve">TIDAK DICAKUP — fellowship ini berorientasi sistem, bukan keterampilan prosedural</w:t>
            </w:r>
          </w:p>
        </w:tc>
      </w:tr>
    </w:tbl>
    <w:p>
      <w:pP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23A48" w:sz="6"/>
              <w:left w:val="single" w:color="B23A48" w:sz="18"/>
              <w:bottom w:val="single" w:color="B23A48" w:sz="6"/>
              <w:right w:val="single" w:color="B23A48" w:sz="6"/>
            </w:tcBorders>
            <w:shd w:fill="FFF1F1" w:color="auto" w:val="clear"/>
            <w:tcMar>
              <w:top w:type="dxa" w:w="160"/>
              <w:left w:type="dxa" w:w="220"/>
              <w:bottom w:type="dxa" w:w="160"/>
              <w:right w:type="dxa" w:w="220"/>
            </w:tcMar>
          </w:tcPr>
          <w:p>
            <w:pPr>
              <w:spacing w:after="80"/>
            </w:pPr>
            <w:r>
              <w:rPr>
                <w:rFonts w:ascii="Calibri" w:cs="Calibri" w:eastAsia="Calibri" w:hAnsi="Calibri"/>
                <w:b/>
                <w:bCs/>
                <w:color w:val="4A1226"/>
                <w:sz w:val="22"/>
                <w:szCs w:val="22"/>
              </w:rPr>
              <w:t xml:space="preserve">⚠ Perhatian Metodologis</w:t>
            </w:r>
          </w:p>
          <w:p>
            <w:r>
              <w:rPr>
                <w:rFonts w:ascii="Calibri" w:cs="Calibri" w:eastAsia="Calibri" w:hAnsi="Calibri"/>
                <w:sz w:val="20"/>
                <w:szCs w:val="20"/>
              </w:rPr>
              <w:t xml:space="preserve">Karena Global Women's Health Fellowship tidak memiliki kurikulum inti terpusat seperti CFP atau CSRH, penandaan 'Beririsan Penuh' pada tabel di atas merujuk pada POLA UMUM lintas beberapa program representatif (termasuk contoh Brigham and Women's Hospital), bukan satu kurikulum tunggal yang berlaku universal.</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5</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Global Women's Health Fellowship adalah program non-ACGME, bervariasi antarinstitusi, contoh representatif: Brigham and Women's Hospital (24 bulan + MPH).</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Tiga elemen inti: penguatan sistem kesehatan, riset epidemiologi/MPH, kerja klinis lapangan internasional.</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Beririsan penuh dengan Buku 12 dan 13 Obginsos; tidak menyentuh keterampilan prosedural klinis individual.</w:t>
            </w:r>
          </w:p>
        </w:tc>
      </w:tr>
    </w:tbl>
    <w:p>
      <w:pPr>
        <w:spacing w:after="100" w:before="200"/>
      </w:pPr>
      <w:r>
        <w:rPr>
          <w:rFonts w:ascii="Calibri" w:cs="Calibri" w:eastAsia="Calibri" w:hAnsi="Calibri"/>
          <w:b/>
          <w:bCs/>
          <w:color w:val="7A1F3D"/>
          <w:sz w:val="22"/>
          <w:szCs w:val="22"/>
        </w:rPr>
        <w:t xml:space="preserve">Referensi Bab 5</w:t>
      </w:r>
    </w:p>
    <w:p>
      <w:pPr>
        <w:spacing w:after="20"/>
      </w:pPr>
      <w:r>
        <w:rPr>
          <w:rFonts w:ascii="Calibri" w:cs="Calibri" w:eastAsia="Calibri" w:hAnsi="Calibri"/>
          <w:sz w:val="19"/>
          <w:szCs w:val="19"/>
        </w:rPr>
        <w:t xml:space="preserve">1. American College of Obstetricians and Gynecologists (ACOG). Global Women's Health Fellowships and Programs Directory.</w:t>
      </w:r>
    </w:p>
    <w:p>
      <w:pPr>
        <w:spacing w:after="100"/>
      </w:pPr>
      <w:r>
        <w:rPr>
          <w:rFonts w:ascii="Calibri" w:cs="Calibri" w:eastAsia="Calibri" w:hAnsi="Calibri"/>
          <w:i/>
          <w:iCs/>
          <w:sz w:val="17"/>
          <w:szCs w:val="17"/>
        </w:rPr>
        <w:t xml:space="preserve">     Tautan: </w:t>
      </w:r>
      <w:hyperlink w:history="1" r:id="rIdqcfeasmplnug3z1xcarzu">
        <w:r>
          <w:rPr>
            <w:rStyle w:val="Hyperlink"/>
            <w:rFonts w:ascii="Calibri" w:cs="Calibri" w:eastAsia="Calibri" w:hAnsi="Calibri"/>
            <w:sz w:val="17"/>
            <w:szCs w:val="17"/>
          </w:rPr>
          <w:t xml:space="preserve">https://www.acog.org/programs/global-womens-health/information-center/fellowships-and-programs</w:t>
        </w:r>
      </w:hyperlink>
    </w:p>
    <w:p>
      <w:pPr>
        <w:spacing w:after="20"/>
      </w:pPr>
      <w:r>
        <w:rPr>
          <w:rFonts w:ascii="Calibri" w:cs="Calibri" w:eastAsia="Calibri" w:hAnsi="Calibri"/>
          <w:sz w:val="19"/>
          <w:szCs w:val="19"/>
        </w:rPr>
        <w:t xml:space="preserve">2. Brigham and Women's Hospital. Global Women's Health/Obstetrics &amp; Gynecology Fellowship Training Program.</w:t>
      </w:r>
    </w:p>
    <w:p>
      <w:pPr>
        <w:spacing w:after="100"/>
      </w:pPr>
      <w:r>
        <w:rPr>
          <w:rFonts w:ascii="Calibri" w:cs="Calibri" w:eastAsia="Calibri" w:hAnsi="Calibri"/>
          <w:i/>
          <w:iCs/>
          <w:sz w:val="17"/>
          <w:szCs w:val="17"/>
        </w:rPr>
        <w:t xml:space="preserve">     Tautan: </w:t>
      </w:r>
      <w:hyperlink w:history="1" r:id="rIdzmlself-kylj4whoybjlq">
        <w:r>
          <w:rPr>
            <w:rStyle w:val="Hyperlink"/>
            <w:rFonts w:ascii="Calibri" w:cs="Calibri" w:eastAsia="Calibri" w:hAnsi="Calibri"/>
            <w:sz w:val="17"/>
            <w:szCs w:val="17"/>
          </w:rPr>
          <w:t xml:space="preserve">https://www.brighamandwomens.org/obgyn/for-medical-professionals/global-obgyn-fellowship</w:t>
        </w:r>
      </w:hyperlink>
    </w:p>
    <w:p>
      <w:pPr>
        <w:spacing w:after="20"/>
      </w:pPr>
      <w:r>
        <w:rPr>
          <w:rFonts w:ascii="Calibri" w:cs="Calibri" w:eastAsia="Calibri" w:hAnsi="Calibri"/>
          <w:sz w:val="19"/>
          <w:szCs w:val="19"/>
        </w:rPr>
        <w:t xml:space="preserve">3. Duke Global Health Institute. Global Health Obstetrics and Gynecology Fellowship.</w:t>
      </w:r>
    </w:p>
    <w:p>
      <w:pPr>
        <w:spacing w:after="100"/>
      </w:pPr>
      <w:r>
        <w:rPr>
          <w:rFonts w:ascii="Calibri" w:cs="Calibri" w:eastAsia="Calibri" w:hAnsi="Calibri"/>
          <w:i/>
          <w:iCs/>
          <w:sz w:val="17"/>
          <w:szCs w:val="17"/>
        </w:rPr>
        <w:t xml:space="preserve">     Tautan: </w:t>
      </w:r>
      <w:hyperlink w:history="1" r:id="rIdsbjvgr6uef_usllebfpik">
        <w:r>
          <w:rPr>
            <w:rStyle w:val="Hyperlink"/>
            <w:rFonts w:ascii="Calibri" w:cs="Calibri" w:eastAsia="Calibri" w:hAnsi="Calibri"/>
            <w:sz w:val="17"/>
            <w:szCs w:val="17"/>
          </w:rPr>
          <w:t xml:space="preserve">https://hyc.globalhealth.duke.edu/?p=191</w:t>
        </w:r>
      </w:hyperlink>
    </w:p>
    <w:p>
      <w:pPr>
        <w:pageBreakBefore/>
      </w:pPr>
      <w:r>
        <w:br/>
      </w:r>
    </w:p>
    <w:p>
      <w:pPr>
        <w:pStyle w:val="Heading1"/>
        <w:spacing w:after="200" w:before="400"/>
      </w:pPr>
      <w:r>
        <w:t xml:space="preserve">Bab 6. Jejak Keempat: WHO dan FIGO sebagai Badan Penyusun Standar (Bukan Badan Pendidikan)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Membedakan secara tegas peran badan penyusun standar klinis (WHO, FIGO) dari badan pensertifikasi subspesialis perorangan (Bab 3-5).</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Memahami mengapa WHO/FIGO tetap disebut 'jejak keempat' meski tidak mendidik atau mensertifikasi individu.</w:t>
            </w:r>
          </w:p>
        </w:tc>
      </w:tr>
    </w:tbl>
    <w:p>
      <w:pPr>
        <w:spacing w:after="120"/>
      </w:pPr>
    </w:p>
    <w:p>
      <w:pPr>
        <w:pStyle w:val="Heading2"/>
        <w:spacing w:after="120" w:before="260"/>
      </w:pPr>
      <w:r>
        <w:t xml:space="preserve">6.1 Perbedaan Mendasar dengan Tiga Jejak Sebelumnya</w:t>
      </w:r>
    </w:p>
    <w:p>
      <w:pPr>
        <w:spacing w:after="160"/>
        <w:jc w:val="both"/>
      </w:pPr>
      <w:r>
        <w:rPr>
          <w:rFonts w:ascii="Calibri" w:cs="Calibri" w:eastAsia="Calibri" w:hAnsi="Calibri"/>
          <w:b w:val="false"/>
          <w:bCs w:val="false"/>
          <w:i w:val="false"/>
          <w:iCs w:val="false"/>
          <w:sz w:val="22"/>
          <w:szCs w:val="22"/>
        </w:rPr>
        <w:t xml:space="preserve">Tiga jejak pada Bab 3-5 memiliki kesamaan penting: ketiganya MENSERTIFIKASI INDIVIDU melalui proses pendidikan formal berjenjang (fellowship, ujian, logbook). World Health Organization (WHO) dan International Federation of Gynecology and Obstetrics (FIGO) tidak melakukan hal ini sama sekali — keduanya adalah badan PENYUSUN STANDAR KLINIS dan KEBIJAKAN yang berlaku sebagai rujukan lintas-negara, tanpa mekanisme sertifikasi perorangan.</w:t>
      </w:r>
    </w:p>
    <w:p>
      <w:pPr>
        <w:spacing w:after="160"/>
        <w:jc w:val="both"/>
      </w:pPr>
      <w:r>
        <w:rPr>
          <w:rFonts w:ascii="Calibri" w:cs="Calibri" w:eastAsia="Calibri" w:hAnsi="Calibri"/>
          <w:b w:val="false"/>
          <w:bCs w:val="false"/>
          <w:i w:val="false"/>
          <w:iCs w:val="false"/>
          <w:sz w:val="22"/>
          <w:szCs w:val="22"/>
        </w:rPr>
        <w:t xml:space="preserve">Meski demikian, pengaruh keduanya terhadap konten klinis Obginsos jauh lebih luas dan lebih dalam dibandingkan tiga jejak pendidikan manapun, karena guideline WHO dan pernyataan FIGO menjadi rujukan utama HAMPIR SELURUH 14 buku tematik dalam seri Obginsos — bukan hanya sebagian seperti CFP, CSRH, atau Global Women's Health Fellowship.</w:t>
      </w:r>
    </w:p>
    <w:p>
      <w:pPr>
        <w:pStyle w:val="Heading2"/>
        <w:spacing w:after="120" w:before="260"/>
      </w:pPr>
      <w:r>
        <w:t xml:space="preserve">6.2 WHO: Kerangka Sexual and Reproductive Health and Rights (SRHR)</w:t>
      </w:r>
    </w:p>
    <w:p>
      <w:pPr>
        <w:spacing w:after="160"/>
        <w:jc w:val="both"/>
      </w:pPr>
      <w:r>
        <w:rPr>
          <w:rFonts w:ascii="Calibri" w:cs="Calibri" w:eastAsia="Calibri" w:hAnsi="Calibri"/>
          <w:b w:val="false"/>
          <w:bCs w:val="false"/>
          <w:i w:val="false"/>
          <w:iCs w:val="false"/>
          <w:sz w:val="22"/>
          <w:szCs w:val="22"/>
        </w:rPr>
        <w:t xml:space="preserve">WHO menerbitkan serangkaian guideline yang menjadi tulang punggung standar internasional untuk topik-topik inti Obginsos. Rujukan terpenting adalah Abortion Care Guideline, yang menjadi acuan utama Buku 2 dan Buku 3 Obginsos. Edisi pertama guideline ini terbit Maret 2022; PENTING UNTUK DIPERBARUI: WHO telah menerbitkan edisi kedua pada 2024 yang memuat pembaruan pada Rekomendasi 22 (terkait perlindungan akses dan kesinambungan layanan aborsi komprehensif dari hambatan penolakan berdasarkan keyakinan pribadi/conscientious objection), sehingga seluruh 39 dokumen turunan Obginsos yang mengutip guideline ini wajib merujuk edisi kedua (2024), bukan lagi edisi pertama (2022).[1] Selain itu, WHO menerbitkan pedoman klinis dan kebijakan penanganan kekerasan oleh pasangan intim dan kekerasan seksual yang menjadi rujukan utama Buku 6, serta kerangka Minimum Initial Service Package (MISP) untuk kesehatan reproduksi pada situasi krisis dan bencana yang menjadi rujukan utama Buku 13 dan Pedoman Masyarakat No. 5.</w:t>
      </w:r>
    </w:p>
    <w:p>
      <w:pPr>
        <w:pStyle w:val="Heading2"/>
        <w:spacing w:after="120" w:before="260"/>
      </w:pPr>
      <w:r>
        <w:t xml:space="preserve">6.3 FIGO: Pernyataan dan Komite Tematik</w:t>
      </w:r>
    </w:p>
    <w:p>
      <w:pPr>
        <w:spacing w:after="160"/>
        <w:jc w:val="both"/>
      </w:pPr>
      <w:r>
        <w:rPr>
          <w:rFonts w:ascii="Calibri" w:cs="Calibri" w:eastAsia="Calibri" w:hAnsi="Calibri"/>
          <w:b w:val="false"/>
          <w:bCs w:val="false"/>
          <w:i w:val="false"/>
          <w:iCs w:val="false"/>
          <w:sz w:val="22"/>
          <w:szCs w:val="22"/>
        </w:rPr>
        <w:t xml:space="preserve">FIGO menerbitkan berbagai pernyataan (statements) dan posisi resmi melalui komite tematiknya terkait keluarga berencana, kontrasepsi, dan keselamatan ibu (safe motherhood), yang menjadi rujukan pelengkap pada Buku 2 dan bab-bab kegawatdaruratan maternal di Buku 1 dan Buku 11.[2] Berbeda dari WHO yang menerbitkan guideline klinis rinci, kontribusi FIGO lebih banyak berupa pernyataan advokasi dan posisi kebijakan yang memperkuat legitimasi standar klinis di tingkat federasi profesi dunia.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6</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WHO dan FIGO adalah badan penyusun standar, BUKAN badan pensertifikasi subspesialis individu — berbeda fundamental dari Bab 3-5.</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Pengaruh WHO/FIGO terhadap konten klinis Obginsos lebih luas daripada ketiga jejak pendidikan manapun.</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WHO Abortion Care Guideline, VAW Guidelines, dan MISP masing-masing menjadi tulang punggung Buku 2/3, Buku 6, dan Buku 13.</w:t>
            </w:r>
          </w:p>
        </w:tc>
      </w:tr>
    </w:tbl>
    <w:p>
      <w:pPr>
        <w:spacing w:after="100" w:before="200"/>
      </w:pPr>
      <w:r>
        <w:rPr>
          <w:rFonts w:ascii="Calibri" w:cs="Calibri" w:eastAsia="Calibri" w:hAnsi="Calibri"/>
          <w:b/>
          <w:bCs/>
          <w:color w:val="7A1F3D"/>
          <w:sz w:val="22"/>
          <w:szCs w:val="22"/>
        </w:rPr>
        <w:t xml:space="preserve">Referensi Bab 6</w:t>
      </w:r>
    </w:p>
    <w:p>
      <w:pPr>
        <w:spacing w:after="20"/>
      </w:pPr>
      <w:r>
        <w:rPr>
          <w:rFonts w:ascii="Calibri" w:cs="Calibri" w:eastAsia="Calibri" w:hAnsi="Calibri"/>
          <w:sz w:val="19"/>
          <w:szCs w:val="19"/>
        </w:rPr>
        <w:t xml:space="preserve">1. World Health Organization (WHO). Abortion Care Guideline, Second Edition. Geneva: WHO; 2024.</w:t>
      </w:r>
    </w:p>
    <w:p>
      <w:pPr>
        <w:spacing w:after="100"/>
      </w:pPr>
      <w:r>
        <w:rPr>
          <w:rFonts w:ascii="Calibri" w:cs="Calibri" w:eastAsia="Calibri" w:hAnsi="Calibri"/>
          <w:i/>
          <w:iCs/>
          <w:sz w:val="17"/>
          <w:szCs w:val="17"/>
        </w:rPr>
        <w:t xml:space="preserve">     Tautan: </w:t>
      </w:r>
      <w:hyperlink w:history="1" r:id="rIdt9qcujo9izo9mp7ygepav">
        <w:r>
          <w:rPr>
            <w:rStyle w:val="Hyperlink"/>
            <w:rFonts w:ascii="Calibri" w:cs="Calibri" w:eastAsia="Calibri" w:hAnsi="Calibri"/>
            <w:sz w:val="17"/>
            <w:szCs w:val="17"/>
          </w:rPr>
          <w:t xml:space="preserve">https://www.ncbi.nlm.nih.gov/books/NBK617980/</w:t>
        </w:r>
      </w:hyperlink>
    </w:p>
    <w:p>
      <w:pPr>
        <w:spacing w:after="80"/>
      </w:pPr>
      <w:r>
        <w:rPr>
          <w:rFonts w:ascii="Calibri" w:cs="Calibri" w:eastAsia="Calibri" w:hAnsi="Calibri"/>
          <w:sz w:val="19"/>
          <w:szCs w:val="19"/>
        </w:rPr>
        <w:t xml:space="preserve">2. International Federation of Gynecology and Obstetrics (FIGO). FIGO Statements and Guidelines on Family Planning, Contraception, and Safe Motherhood.</w:t>
      </w:r>
    </w:p>
    <w:p>
      <w:pPr>
        <w:pageBreakBefore/>
      </w:pPr>
      <w:r>
        <w:br/>
      </w:r>
    </w:p>
    <w:p>
      <w:pPr>
        <w:pStyle w:val="Heading1"/>
        <w:spacing w:after="200" w:before="400"/>
      </w:pPr>
      <w:r>
        <w:t xml:space="preserve">Bab 7. Matriks Perbandingan Menyeluruh: Memetakan Empat Jejak ke 14 Buku Obginsos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Menyajikan satu matriks tunggal dan menyeluruh yang memetakan derajat irisan keempat jejak internasional terhadap seluruh 14 buku Obginsos.</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Menafsirkan pola yang muncul dari matriks tersebut sebagai bukti empiris tesis Bab 1.</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23A48" w:sz="6"/>
              <w:left w:val="single" w:color="B23A48" w:sz="18"/>
              <w:bottom w:val="single" w:color="B23A48" w:sz="6"/>
              <w:right w:val="single" w:color="B23A48" w:sz="6"/>
            </w:tcBorders>
            <w:shd w:fill="FFF1F1" w:color="auto" w:val="clear"/>
            <w:tcMar>
              <w:top w:type="dxa" w:w="160"/>
              <w:left w:type="dxa" w:w="220"/>
              <w:bottom w:type="dxa" w:w="160"/>
              <w:right w:type="dxa" w:w="220"/>
            </w:tcMar>
          </w:tcPr>
          <w:p>
            <w:pPr>
              <w:spacing w:after="80"/>
            </w:pPr>
            <w:r>
              <w:rPr>
                <w:rFonts w:ascii="Calibri" w:cs="Calibri" w:eastAsia="Calibri" w:hAnsi="Calibri"/>
                <w:b/>
                <w:bCs/>
                <w:color w:val="4A1226"/>
                <w:sz w:val="22"/>
                <w:szCs w:val="22"/>
              </w:rPr>
              <w:t xml:space="preserve">⚠ Sifat Analisis Bab Ini — Wajib Dibaca Sebelum Melanjutkan</w:t>
            </w:r>
          </w:p>
          <w:p>
            <w:r>
              <w:rPr>
                <w:rFonts w:ascii="Calibri" w:cs="Calibri" w:eastAsia="Calibri" w:hAnsi="Calibri"/>
                <w:sz w:val="20"/>
                <w:szCs w:val="20"/>
              </w:rPr>
              <w:t xml:space="preserve">Matriks pada bab ini adalah ANALISIS PERBANDINGAN yang disusun oleh penulis buku berdasarkan penelusuran kurikulum publik keempat jejak (Bab 3-6), BUKAN pernyataan resmi dari ACGME, RCOG/CoSRH, penyelenggara Global Women's Health Fellowship, WHO, maupun FIGO bahwa mereka menyetarakan atau mengesahkan Obginsos sebagai bagian dari program mereka. Tidak satu pun dari kelima badan tersebut telah diminta atau memberikan pengesahan atas pemetaan ini.</w:t>
            </w:r>
          </w:p>
        </w:tc>
      </w:tr>
    </w:tbl>
    <w:p>
      <w:pPr>
        <w:pStyle w:val="Heading2"/>
        <w:spacing w:after="120" w:before="260"/>
      </w:pPr>
      <w:r>
        <w:t xml:space="preserve">7.1 Matriks Utama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400"/>
        <w:gridCol w:w="1450"/>
        <w:gridCol w:w="1450"/>
        <w:gridCol w:w="1450"/>
        <w:gridCol w:w="1276"/>
      </w:tblGrid>
      <w:tr>
        <w:trPr>
          <w:tblHeader/>
        </w:trPr>
        <w:tc>
          <w:tcPr>
            <w:tcW w:type="dxa" w:w="3400"/>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7"/>
                <w:szCs w:val="17"/>
              </w:rPr>
              <w:t xml:space="preserve">Buku (Seri Obginsos)</w:t>
            </w:r>
          </w:p>
        </w:tc>
        <w:tc>
          <w:tcPr>
            <w:tcW w:type="dxa" w:w="1450"/>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7"/>
                <w:szCs w:val="17"/>
              </w:rPr>
              <w:t xml:space="preserve">Complex Family Planning</w:t>
            </w:r>
          </w:p>
        </w:tc>
        <w:tc>
          <w:tcPr>
            <w:tcW w:type="dxa" w:w="1450"/>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7"/>
                <w:szCs w:val="17"/>
              </w:rPr>
              <w:t xml:space="preserve">CSRH (RCOG)</w:t>
            </w:r>
          </w:p>
        </w:tc>
        <w:tc>
          <w:tcPr>
            <w:tcW w:type="dxa" w:w="1450"/>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7"/>
                <w:szCs w:val="17"/>
              </w:rPr>
              <w:t xml:space="preserve">Global Women's Health</w:t>
            </w:r>
          </w:p>
        </w:tc>
        <w:tc>
          <w:tcPr>
            <w:tcW w:type="dxa" w:w="1276"/>
            <w:shd w:fill="7A1F3D" w:color="auto" w:val="clear"/>
            <w:tcMar>
              <w:top w:type="dxa" w:w="100"/>
              <w:left w:type="dxa" w:w="100"/>
              <w:bottom w:type="dxa" w:w="100"/>
              <w:right w:type="dxa" w:w="100"/>
            </w:tcMar>
          </w:tcPr>
          <w:p>
            <w:pPr>
              <w:jc w:val="center"/>
            </w:pPr>
            <w:r>
              <w:rPr>
                <w:rFonts w:ascii="Calibri" w:cs="Calibri" w:eastAsia="Calibri" w:hAnsi="Calibri"/>
                <w:b/>
                <w:bCs/>
                <w:color w:val="FFFFFF"/>
                <w:sz w:val="17"/>
                <w:szCs w:val="17"/>
              </w:rPr>
              <w:t xml:space="preserve">WHO / FIGO</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Utama</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276"/>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1 — Kehamilan-Nifas Biopsikososial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2 — Kontrasepsi Komorbid</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3 — Kehamilan Remaja &amp; KTD</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4 — Kesehatan Mental Perinatal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5 — Gizi Reproduksi</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6 — Kekerasan Gender &amp; Medikolegal</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276"/>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7 — Kespro Remaja</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8 — IMS &amp; Kesehatan Seksual</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9 — Menopause</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276"/>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10 — Paliatif Ginekologi</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11 — Manajemen Mutu RS</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c>
          <w:tcPr>
            <w:tcW w:type="dxa" w:w="1276"/>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r>
      <w:tr>
        <w:tc>
          <w:tcPr>
            <w:tcW w:type="dxa" w:w="3400"/>
            <w:shd w:fill="FFFFFF"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12 — Pendidikan Klinis &amp; Pelatih</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c>
          <w:tcPr>
            <w:tcW w:type="dxa" w:w="1276"/>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r>
      <w:tr>
        <w:tc>
          <w:tcPr>
            <w:tcW w:type="dxa" w:w="3400"/>
            <w:shd w:fill="FBF3F6" w:color="auto" w:val="clear"/>
            <w:tcMar>
              <w:top w:type="dxa" w:w="80"/>
              <w:left w:type="dxa" w:w="100"/>
              <w:bottom w:type="dxa" w:w="80"/>
              <w:right w:type="dxa" w:w="100"/>
            </w:tcMar>
          </w:tcPr>
          <w:p>
            <w:pPr>
              <w:jc w:val="left"/>
            </w:pPr>
            <w:r>
              <w:rPr>
                <w:rFonts w:ascii="Calibri" w:cs="Calibri" w:eastAsia="Calibri" w:hAnsi="Calibri"/>
                <w:b w:val="false"/>
                <w:bCs w:val="false"/>
                <w:sz w:val="17"/>
                <w:szCs w:val="17"/>
              </w:rPr>
              <w:t xml:space="preserve">Buku 13 — Program, Sisinfo, Riset Masyarakat</w:t>
            </w:r>
          </w:p>
        </w:tc>
        <w:tc>
          <w:tcPr>
            <w:tcW w:type="dxa" w:w="1450"/>
            <w:shd w:fill="F0F0F0"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Tidak Ada</w:t>
            </w:r>
          </w:p>
        </w:tc>
        <w:tc>
          <w:tcPr>
            <w:tcW w:type="dxa" w:w="1450"/>
            <w:shd w:fill="FFF6DA"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Sebagian</w:t>
            </w:r>
          </w:p>
        </w:tc>
        <w:tc>
          <w:tcPr>
            <w:tcW w:type="dxa" w:w="1450"/>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c>
          <w:tcPr>
            <w:tcW w:type="dxa" w:w="1276"/>
            <w:shd w:fill="E4F3E8" w:color="auto" w:val="clear"/>
            <w:tcMar>
              <w:top w:type="dxa" w:w="80"/>
              <w:left w:type="dxa" w:w="100"/>
              <w:bottom w:type="dxa" w:w="80"/>
              <w:right w:type="dxa" w:w="100"/>
            </w:tcMar>
          </w:tcPr>
          <w:p>
            <w:pPr>
              <w:jc w:val="center"/>
            </w:pPr>
            <w:r>
              <w:rPr>
                <w:rFonts w:ascii="Calibri" w:cs="Calibri" w:eastAsia="Calibri" w:hAnsi="Calibri"/>
                <w:b/>
                <w:bCs/>
                <w:sz w:val="17"/>
                <w:szCs w:val="17"/>
              </w:rPr>
              <w:t xml:space="preserve">Penuh</w:t>
            </w:r>
          </w:p>
        </w:tc>
      </w:tr>
    </w:tbl>
    <w:p>
      <w:pPr>
        <w:spacing w:after="160"/>
      </w:pPr>
    </w:p>
    <w:p>
      <w:pPr>
        <w:pStyle w:val="Heading2"/>
        <w:spacing w:after="120" w:before="260"/>
      </w:pPr>
      <w:r>
        <w:t xml:space="preserve">7.2 Pembacaan Pola</w:t>
      </w:r>
    </w:p>
    <w:p>
      <w:pPr>
        <w:spacing w:after="160"/>
        <w:jc w:val="both"/>
      </w:pPr>
      <w:r>
        <w:rPr>
          <w:rFonts w:ascii="Calibri" w:cs="Calibri" w:eastAsia="Calibri" w:hAnsi="Calibri"/>
          <w:b w:val="false"/>
          <w:bCs w:val="false"/>
          <w:i w:val="false"/>
          <w:iCs w:val="false"/>
          <w:sz w:val="22"/>
          <w:szCs w:val="22"/>
        </w:rPr>
        <w:t xml:space="preserve">Tiga pola menonjol dari matriks di atas. Pertama, kolom WHO/FIGO memiliki jumlah tanda 'Penuh' dan 'Sebagian' terbanyak — mengonfirmasi Bab 6 bahwa pengaruh badan penyusun standar jauh lebih menyeluruh dibanding jejak pendidikan manapun. Kedua, tidak ada satu pun kolom yang menandai 'Penuh' pada Buku 4 (Kesehatan Mental Perinatal), Buku 9 (Menopause), dan Buku 10 (Paliatif Ginekologi) — tiga area ini secara konsisten menjadi wilayah yang paling ORISINAL dari kurikulum Obginsos Indonesia dibandingkan keempat jejak pembanding. Ketiga, Buku 1 sebagai buku dengan komponen kegawatdaruratan maternal murni relatif tidak beririsan penuh dengan jejak mana pun, karena kegawatdaruratan obstetri konvensional memang bukan wilayah pembeda Obginsos — ia beririsan dengan kompetensi Sp.OG umum, bukan dengan keempat jejak sosial/populasi ini.</w:t>
      </w:r>
    </w:p>
    <w:p>
      <w:pPr>
        <w:pStyle w:val="Heading2"/>
        <w:spacing w:after="120" w:before="260"/>
      </w:pPr>
      <w:r>
        <w:t xml:space="preserve">7.3 Implikasi Metodologis</w:t>
      </w:r>
    </w:p>
    <w:p>
      <w:pPr>
        <w:spacing w:after="160"/>
        <w:jc w:val="both"/>
      </w:pPr>
      <w:r>
        <w:rPr>
          <w:rFonts w:ascii="Calibri" w:cs="Calibri" w:eastAsia="Calibri" w:hAnsi="Calibri"/>
          <w:b w:val="false"/>
          <w:bCs w:val="false"/>
          <w:i w:val="false"/>
          <w:iCs w:val="false"/>
          <w:sz w:val="22"/>
          <w:szCs w:val="22"/>
        </w:rPr>
        <w:t xml:space="preserve">Kekosongan kolom (tanda 'Tidak Ada' yang berulang) pada Buku 4, 9, dan 10 bukan kelemahan kurikulum Obginsos — sebaliknya, inilah argumen paling kuat bahwa Indonesia telah mengembangkan area kompetensi yang belum banyak diformalkan di jalur internasional manapun yang ditelusuri, dan karenanya berpotensi menjadi kontribusi balik Indonesia ke wacana global (dibahas lebih lanjut pada Bab 8 dan 9).</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7</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Matriks ini adalah analisis penulis, bukan pengesahan resmi kelima badan pembanding.</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Kolom WHO/FIGO paling menyeluruh; ketiga jejak pendidikan masing-masing hanya menyentuh sebagian buku.</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Buku 4, 9, dan 10 relatif orisinal — tidak beririsan penuh dengan jejak internasional mana pun yang ditelusuri.</w:t>
            </w:r>
          </w:p>
        </w:tc>
      </w:tr>
    </w:tbl>
    <w:p>
      <w:pPr>
        <w:spacing w:after="100" w:before="200"/>
      </w:pPr>
      <w:r>
        <w:rPr>
          <w:rFonts w:ascii="Calibri" w:cs="Calibri" w:eastAsia="Calibri" w:hAnsi="Calibri"/>
          <w:b/>
          <w:bCs/>
          <w:color w:val="7A1F3D"/>
          <w:sz w:val="22"/>
          <w:szCs w:val="22"/>
        </w:rPr>
        <w:t xml:space="preserve">Referensi Bab 7</w:t>
      </w:r>
    </w:p>
    <w:p>
      <w:pPr>
        <w:spacing w:after="80"/>
      </w:pPr>
      <w:r>
        <w:rPr>
          <w:rFonts w:ascii="Calibri" w:cs="Calibri" w:eastAsia="Calibri" w:hAnsi="Calibri"/>
          <w:sz w:val="19"/>
          <w:szCs w:val="19"/>
        </w:rPr>
        <w:t xml:space="preserve">1. Ringkasan sitasi Bab 1-6 (lihat Daftar Pustaka Gabungan di akhir buku).</w:t>
      </w:r>
    </w:p>
    <w:p>
      <w:pPr>
        <w:pageBreakBefore/>
      </w:pPr>
      <w:r>
        <w:br/>
      </w:r>
    </w:p>
    <w:p>
      <w:pPr>
        <w:pStyle w:val="Heading1"/>
        <w:spacing w:after="200" w:before="400"/>
      </w:pPr>
      <w:r>
        <w:t xml:space="preserve">Bab 8. Implikasi bagi Pengembangan Kurikulum dan Pengakuan Internasional Obginsos Indonesia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Menjabarkan peluang kerja sama konkret dengan masing-masing dari empat jejak internasional berdasarkan hasil pemetaan Bab 7.</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Memahami bentuk-bentuk pengakuan internasional yang realistis untuk diupayakan, dibedakan dari yang tidak realistis.</w:t>
            </w:r>
          </w:p>
        </w:tc>
      </w:tr>
    </w:tbl>
    <w:p>
      <w:pPr>
        <w:spacing w:after="120"/>
      </w:pPr>
    </w:p>
    <w:p>
      <w:pPr>
        <w:pStyle w:val="Heading2"/>
        <w:spacing w:after="120" w:before="260"/>
      </w:pPr>
      <w:r>
        <w:t xml:space="preserve">8.1 Peluang Kerja Sama per Jejak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60"/>
            </w:pPr>
            <w:r>
              <w:rPr>
                <w:rFonts w:ascii="Calibri" w:cs="Calibri" w:eastAsia="Calibri" w:hAnsi="Calibri"/>
                <w:b/>
                <w:bCs/>
                <w:color w:val="7A1F3D"/>
                <w:sz w:val="22"/>
                <w:szCs w:val="22"/>
              </w:rPr>
              <w:t xml:space="preserve">A. </w:t>
            </w:r>
            <w:r>
              <w:rPr>
                <w:rFonts w:ascii="Calibri" w:cs="Calibri" w:eastAsia="Calibri" w:hAnsi="Calibri"/>
                <w:b/>
                <w:bCs/>
                <w:color w:val="4A1226"/>
                <w:sz w:val="22"/>
                <w:szCs w:val="22"/>
              </w:rPr>
              <w:t xml:space="preserve">Complex Family Planning (ACGME)</w:t>
            </w:r>
          </w:p>
          <w:p>
            <w:r>
              <w:rPr>
                <w:rFonts w:ascii="Calibri" w:cs="Calibri" w:eastAsia="Calibri" w:hAnsi="Calibri"/>
                <w:sz w:val="20"/>
                <w:szCs w:val="20"/>
              </w:rPr>
              <w:t xml:space="preserve">Peluang realistis: pertukaran modul pelatihan prosedural D&amp;E dan desensitisasi kontrasepsi kompleks untuk memperkaya Buku 2; program observership singkat peserta didik Obginsos di pusat fellowship CFP. Tidak realistis: menyamakan seluruh kurikulum Obginsos dengan CFP karena CFP tidak mencakup dimensi manajerial-populasi.</w:t>
            </w:r>
          </w:p>
        </w:tc>
      </w:tr>
    </w:tbl>
    <w:p>
      <w:pPr>
        <w:spacing w:after="60" w:before="60"/>
        <w:jc w:val="center"/>
      </w:pPr>
      <w:r>
        <w:rPr>
          <w:rFonts w:ascii="Calibri" w:cs="Calibri" w:eastAsia="Calibri" w:hAnsi="Calibri"/>
          <w:b/>
          <w:bCs/>
          <w:color w:val="7A1F3D"/>
          <w:sz w:val="28"/>
          <w:szCs w:val="28"/>
        </w:rPr>
        <w:t xml:space="pre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60"/>
            </w:pPr>
            <w:r>
              <w:rPr>
                <w:rFonts w:ascii="Calibri" w:cs="Calibri" w:eastAsia="Calibri" w:hAnsi="Calibri"/>
                <w:b/>
                <w:bCs/>
                <w:color w:val="7A1F3D"/>
                <w:sz w:val="22"/>
                <w:szCs w:val="22"/>
              </w:rPr>
              <w:t xml:space="preserve">B. </w:t>
            </w:r>
            <w:r>
              <w:rPr>
                <w:rFonts w:ascii="Calibri" w:cs="Calibri" w:eastAsia="Calibri" w:hAnsi="Calibri"/>
                <w:b/>
                <w:bCs/>
                <w:color w:val="4A1226"/>
                <w:sz w:val="22"/>
                <w:szCs w:val="22"/>
              </w:rPr>
              <w:t xml:space="preserve">Community Sexual and Reproductive Health (RCOG/CoSRH)</w:t>
            </w:r>
          </w:p>
          <w:p>
            <w:r>
              <w:rPr>
                <w:rFonts w:ascii="Calibri" w:cs="Calibri" w:eastAsia="Calibri" w:hAnsi="Calibri"/>
                <w:sz w:val="20"/>
                <w:szCs w:val="20"/>
              </w:rPr>
              <w:t xml:space="preserve">Peluang realistis: kerja sama pengembangan modul deteksi dini kekerasan berbasis gender berbasis komunitas (memperkuat Pedoman Masyarakat No. 4); potensi pengakuan sebagian (credit recognition) untuk komponen SRH klinis. Tidak realistis: pengakuan penuh CCT (Certificate of Completion of Training) Inggris tanpa proses akreditasi formal terpisah.</w:t>
            </w:r>
          </w:p>
        </w:tc>
      </w:tr>
    </w:tbl>
    <w:p>
      <w:pPr>
        <w:spacing w:after="60" w:before="60"/>
        <w:jc w:val="center"/>
      </w:pPr>
      <w:r>
        <w:rPr>
          <w:rFonts w:ascii="Calibri" w:cs="Calibri" w:eastAsia="Calibri" w:hAnsi="Calibri"/>
          <w:b/>
          <w:bCs/>
          <w:color w:val="7A1F3D"/>
          <w:sz w:val="28"/>
          <w:szCs w:val="28"/>
        </w:rPr>
        <w:t xml:space="pre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60"/>
            </w:pPr>
            <w:r>
              <w:rPr>
                <w:rFonts w:ascii="Calibri" w:cs="Calibri" w:eastAsia="Calibri" w:hAnsi="Calibri"/>
                <w:b/>
                <w:bCs/>
                <w:color w:val="7A1F3D"/>
                <w:sz w:val="22"/>
                <w:szCs w:val="22"/>
              </w:rPr>
              <w:t xml:space="preserve">C. </w:t>
            </w:r>
            <w:r>
              <w:rPr>
                <w:rFonts w:ascii="Calibri" w:cs="Calibri" w:eastAsia="Calibri" w:hAnsi="Calibri"/>
                <w:b/>
                <w:bCs/>
                <w:color w:val="4A1226"/>
                <w:sz w:val="22"/>
                <w:szCs w:val="22"/>
              </w:rPr>
              <w:t xml:space="preserve">Global Women's Health Fellowship</w:t>
            </w:r>
          </w:p>
          <w:p>
            <w:r>
              <w:rPr>
                <w:rFonts w:ascii="Calibri" w:cs="Calibri" w:eastAsia="Calibri" w:hAnsi="Calibri"/>
                <w:sz w:val="20"/>
                <w:szCs w:val="20"/>
              </w:rPr>
              <w:t xml:space="preserve">Peluang realistis: kerja sama riset bersama dan penempatan singkat peserta didik semester akhir untuk memperkuat Buku 12-13; kolaborasi publikasi ilmiah lintas negara. Ini adalah jejak dengan peluang kolaborasi PALING FLEKSIBEL karena sifatnya sendiri yang tidak terpusat pada satu badan akreditasi tunggal.</w:t>
            </w:r>
          </w:p>
        </w:tc>
      </w:tr>
    </w:tbl>
    <w:p>
      <w:pPr>
        <w:spacing w:after="60" w:before="60"/>
        <w:jc w:val="center"/>
      </w:pPr>
      <w:r>
        <w:rPr>
          <w:rFonts w:ascii="Calibri" w:cs="Calibri" w:eastAsia="Calibri" w:hAnsi="Calibri"/>
          <w:b/>
          <w:bCs/>
          <w:color w:val="7A1F3D"/>
          <w:sz w:val="28"/>
          <w:szCs w:val="28"/>
        </w:rPr>
        <w:t xml:space="pre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60"/>
            </w:pPr>
            <w:r>
              <w:rPr>
                <w:rFonts w:ascii="Calibri" w:cs="Calibri" w:eastAsia="Calibri" w:hAnsi="Calibri"/>
                <w:b/>
                <w:bCs/>
                <w:color w:val="7A1F3D"/>
                <w:sz w:val="22"/>
                <w:szCs w:val="22"/>
              </w:rPr>
              <w:t xml:space="preserve">D. </w:t>
            </w:r>
            <w:r>
              <w:rPr>
                <w:rFonts w:ascii="Calibri" w:cs="Calibri" w:eastAsia="Calibri" w:hAnsi="Calibri"/>
                <w:b/>
                <w:bCs/>
                <w:color w:val="4A1226"/>
                <w:sz w:val="22"/>
                <w:szCs w:val="22"/>
              </w:rPr>
              <w:t xml:space="preserve">WHO dan FIGO</w:t>
            </w:r>
          </w:p>
          <w:p>
            <w:r>
              <w:rPr>
                <w:rFonts w:ascii="Calibri" w:cs="Calibri" w:eastAsia="Calibri" w:hAnsi="Calibri"/>
                <w:sz w:val="20"/>
                <w:szCs w:val="20"/>
              </w:rPr>
              <w:t xml:space="preserve">Peluang realistis: partisipasi aktif POGI/Kolegium dalam forum dan komite tematik FIGO terkait family planning dan safe motherhood; adopsi pembaruan guideline WHO secara sistematis dan terjadwal ke dalam revisi 39 dokumen RS/masyarakat Obginsos.</w:t>
            </w:r>
          </w:p>
        </w:tc>
      </w:tr>
    </w:tbl>
    <w:p>
      <w:pPr>
        <w:spacing w:after="160"/>
      </w:pPr>
    </w:p>
    <w:p>
      <w:pPr>
        <w:pStyle w:val="Heading2"/>
        <w:spacing w:after="120" w:before="260"/>
      </w:pPr>
      <w:r>
        <w:t xml:space="preserve">8.2 Bentuk Pengakuan Internasional yang Realistis</w:t>
      </w:r>
    </w:p>
    <w:p>
      <w:pPr>
        <w:spacing w:after="160"/>
        <w:jc w:val="both"/>
      </w:pPr>
      <w:r>
        <w:rPr>
          <w:rFonts w:ascii="Calibri" w:cs="Calibri" w:eastAsia="Calibri" w:hAnsi="Calibri"/>
          <w:b w:val="false"/>
          <w:bCs w:val="false"/>
          <w:i w:val="false"/>
          <w:iCs w:val="false"/>
          <w:sz w:val="22"/>
          <w:szCs w:val="22"/>
        </w:rPr>
        <w:t xml:space="preserve">Berdasarkan pemetaan Bab 7, jalur pengakuan internasional yang paling realistis BUKANLAH mengupayakan agar Obginsos diakui sebagai subspesialisasi kelima oleh EBCOG/ACGME (karena struktur Obginsos secara fundamental berbeda dari empat subspesialisasi baseline pada Bab 2), melainkan mengupayakan pengakuan bertahap dan spesifik-komponen: nota kesepahaman pertukaran peserta didik dengan pusat CFP/CSRH/Global Women's Health tertentu, partisipasi Indonesia dalam komite tematik FIGO, dan publikasi model kurikulum Obginsos di jurnal pendidikan kedokteran internasional agar dikenal sebagai preseden model integratif dari negara berkembang.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8</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Setiap dari 4 jejak memiliki peluang kerja sama SPESIFIK dan berbeda karakter, bukan satu strategi generik.</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Global Women's Health Fellowship adalah jejak paling fleksibel untuk kolaborasi karena tidak terpusat pada satu badan akreditasi.</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Pengakuan realistis bersifat bertahap dan spesifik-komponen, bukan pengakuan sebagai subspesialisasi kelima EBCOG/ACGME.</w:t>
            </w:r>
          </w:p>
        </w:tc>
      </w:tr>
    </w:tbl>
    <w:p>
      <w:pPr>
        <w:spacing w:after="100" w:before="200"/>
      </w:pPr>
      <w:r>
        <w:rPr>
          <w:rFonts w:ascii="Calibri" w:cs="Calibri" w:eastAsia="Calibri" w:hAnsi="Calibri"/>
          <w:b/>
          <w:bCs/>
          <w:color w:val="7A1F3D"/>
          <w:sz w:val="22"/>
          <w:szCs w:val="22"/>
        </w:rPr>
        <w:t xml:space="preserve">Referensi Bab 8</w:t>
      </w:r>
    </w:p>
    <w:p>
      <w:pPr>
        <w:spacing w:after="20"/>
      </w:pPr>
      <w:r>
        <w:rPr>
          <w:rFonts w:ascii="Calibri" w:cs="Calibri" w:eastAsia="Calibri" w:hAnsi="Calibri"/>
          <w:sz w:val="19"/>
          <w:szCs w:val="19"/>
        </w:rPr>
        <w:t xml:space="preserve">1. Medical Education in Obstetrics and Gynecology: A Global Update from 2025. Acta Obstetricia et Gynecologica Scandinavica.</w:t>
      </w:r>
    </w:p>
    <w:p>
      <w:pPr>
        <w:spacing w:after="100"/>
      </w:pPr>
      <w:r>
        <w:rPr>
          <w:rFonts w:ascii="Calibri" w:cs="Calibri" w:eastAsia="Calibri" w:hAnsi="Calibri"/>
          <w:i/>
          <w:iCs/>
          <w:sz w:val="17"/>
          <w:szCs w:val="17"/>
        </w:rPr>
        <w:t xml:space="preserve">     Tautan: </w:t>
      </w:r>
      <w:hyperlink w:history="1" r:id="rId0kyrpnc-0f9mgr9yp9ic0">
        <w:r>
          <w:rPr>
            <w:rStyle w:val="Hyperlink"/>
            <w:rFonts w:ascii="Calibri" w:cs="Calibri" w:eastAsia="Calibri" w:hAnsi="Calibri"/>
            <w:sz w:val="17"/>
            <w:szCs w:val="17"/>
          </w:rPr>
          <w:t xml:space="preserve">https://www.ncbi.nlm.nih.gov/pmc/articles/PMC12746182/</w:t>
        </w:r>
      </w:hyperlink>
    </w:p>
    <w:p>
      <w:pPr>
        <w:pageBreakBefore/>
      </w:pPr>
      <w:r>
        <w:br/>
      </w:r>
    </w:p>
    <w:p>
      <w:pPr>
        <w:pStyle w:val="Heading1"/>
        <w:spacing w:after="200" w:before="400"/>
      </w:pPr>
      <w:r>
        <w:t xml:space="preserve">Bab 9. Rekomendasi Strategis: Jalan Menuju Pengakuan Global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Tujuan Pembelajaran Bab</w:t>
            </w:r>
          </w:p>
          <w:p>
            <w:pPr>
              <w:spacing w:after="60"/>
            </w:pPr>
            <w:r>
              <w:rPr>
                <w:rFonts w:ascii="Calibri" w:cs="Calibri" w:eastAsia="Calibri" w:hAnsi="Calibri"/>
                <w:b/>
                <w:bCs/>
                <w:color w:val="7A1F3D"/>
                <w:sz w:val="20"/>
                <w:szCs w:val="20"/>
              </w:rPr>
              <w:t xml:space="preserve">1. </w:t>
            </w:r>
            <w:r>
              <w:rPr>
                <w:rFonts w:ascii="Calibri" w:cs="Calibri" w:eastAsia="Calibri" w:hAnsi="Calibri"/>
                <w:sz w:val="20"/>
                <w:szCs w:val="20"/>
              </w:rPr>
              <w:t xml:space="preserve">Merumuskan rekomendasi strategis bertahap (jangka pendek, menengah, panjang) bagi Kolegium dan POGI.</w:t>
            </w:r>
          </w:p>
          <w:p>
            <w:pPr>
              <w:spacing w:after="60"/>
            </w:pPr>
            <w:r>
              <w:rPr>
                <w:rFonts w:ascii="Calibri" w:cs="Calibri" w:eastAsia="Calibri" w:hAnsi="Calibri"/>
                <w:b/>
                <w:bCs/>
                <w:color w:val="7A1F3D"/>
                <w:sz w:val="20"/>
                <w:szCs w:val="20"/>
              </w:rPr>
              <w:t xml:space="preserve">2. </w:t>
            </w:r>
            <w:r>
              <w:rPr>
                <w:rFonts w:ascii="Calibri" w:cs="Calibri" w:eastAsia="Calibri" w:hAnsi="Calibri"/>
                <w:sz w:val="20"/>
                <w:szCs w:val="20"/>
              </w:rPr>
              <w:t xml:space="preserve">Menutup buku dengan kerangka aksi yang dapat ditindaklanjuti, bukan sekadar aspirasi.</w:t>
            </w:r>
          </w:p>
        </w:tc>
      </w:tr>
    </w:tbl>
    <w:p>
      <w:pPr>
        <w:spacing w:after="120"/>
      </w:pPr>
    </w:p>
    <w:p>
      <w:pPr>
        <w:pStyle w:val="Heading2"/>
        <w:spacing w:after="120" w:before="260"/>
      </w:pPr>
      <w:r>
        <w:t xml:space="preserve">9.1 Jangka Pendek (0-2 Tahun)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80"/>
            </w:pPr>
            <w:r>
              <w:rPr>
                <w:rFonts w:ascii="Calibri" w:cs="Calibri" w:eastAsia="Calibri" w:hAnsi="Calibri"/>
                <w:sz w:val="20"/>
                <w:szCs w:val="20"/>
              </w:rPr>
              <w:t xml:space="preserve">• Menerbitkan versi ringkas Bab 1-7 buku ini (dalam Bahasa Inggris) sebagai artikel opini/perspektif di jurnal pendidikan kedokteran internasional, memperkenalkan model Obginsos ke audiens global.</w:t>
            </w:r>
          </w:p>
          <w:p>
            <w:pPr>
              <w:spacing w:after="80"/>
            </w:pPr>
            <w:r>
              <w:rPr>
                <w:rFonts w:ascii="Calibri" w:cs="Calibri" w:eastAsia="Calibri" w:hAnsi="Calibri"/>
                <w:sz w:val="20"/>
                <w:szCs w:val="20"/>
              </w:rPr>
              <w:t xml:space="preserve">• Menjalin komunikasi awal (bukan MoU formal) dengan Society of Family Planning dan CoSRH untuk penjajakan observership peserta didik semester akhir.</w:t>
            </w:r>
          </w:p>
          <w:p>
            <w:r>
              <w:rPr>
                <w:rFonts w:ascii="Calibri" w:cs="Calibri" w:eastAsia="Calibri" w:hAnsi="Calibri"/>
                <w:sz w:val="20"/>
                <w:szCs w:val="20"/>
              </w:rPr>
              <w:t xml:space="preserve">• Membentuk mekanisme tinjauan tahunan agar 39 dokumen RS/masyarakat Obginsos memperbarui rujukan WHO/FIGO secara sistematis.</w:t>
            </w:r>
          </w:p>
        </w:tc>
      </w:tr>
    </w:tbl>
    <w:p>
      <w:pPr>
        <w:spacing w:after="160"/>
      </w:pPr>
    </w:p>
    <w:p>
      <w:pPr>
        <w:pStyle w:val="Heading2"/>
        <w:spacing w:after="120" w:before="260"/>
      </w:pPr>
      <w:r>
        <w:t xml:space="preserve">9.2 Jangka Menengah (2-5 Tahun)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80"/>
            </w:pPr>
            <w:r>
              <w:rPr>
                <w:rFonts w:ascii="Calibri" w:cs="Calibri" w:eastAsia="Calibri" w:hAnsi="Calibri"/>
                <w:sz w:val="20"/>
                <w:szCs w:val="20"/>
              </w:rPr>
              <w:t xml:space="preserve">• Mengupayakan nota kesepahaman formal dengan minimal satu institusi penyelenggara Global Women's Health Fellowship untuk kolaborasi riset dan penempatan peserta didik timbal balik.</w:t>
            </w:r>
          </w:p>
          <w:p>
            <w:pPr>
              <w:spacing w:after="80"/>
            </w:pPr>
            <w:r>
              <w:rPr>
                <w:rFonts w:ascii="Calibri" w:cs="Calibri" w:eastAsia="Calibri" w:hAnsi="Calibri"/>
                <w:sz w:val="20"/>
                <w:szCs w:val="20"/>
              </w:rPr>
              <w:t xml:space="preserve">• Mendorong keterlibatan aktif perwakilan Kolegium/POGI dalam komite tematik FIGO terkait family planning dan safe motherhood.</w:t>
            </w:r>
          </w:p>
          <w:p>
            <w:r>
              <w:rPr>
                <w:rFonts w:ascii="Calibri" w:cs="Calibri" w:eastAsia="Calibri" w:hAnsi="Calibri"/>
                <w:sz w:val="20"/>
                <w:szCs w:val="20"/>
              </w:rPr>
              <w:t xml:space="preserve">• Mengevaluasi kelayakan mekanisme pengakuan sebagian (credit recognition) modul tertentu Obginsos oleh CoSRH untuk komponen SRH klinis.</w:t>
            </w:r>
          </w:p>
        </w:tc>
      </w:tr>
    </w:tbl>
    <w:p>
      <w:pPr>
        <w:spacing w:after="160"/>
      </w:pPr>
    </w:p>
    <w:p>
      <w:pPr>
        <w:pStyle w:val="Heading2"/>
        <w:spacing w:after="120" w:before="260"/>
      </w:pPr>
      <w:r>
        <w:t xml:space="preserve">9.3 Jangka Panjang (5-10 Tahun)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6E9EE" w:color="auto" w:val="clear"/>
            <w:tcMar>
              <w:top w:type="dxa" w:w="160"/>
              <w:left w:type="dxa" w:w="220"/>
              <w:bottom w:type="dxa" w:w="160"/>
              <w:right w:type="dxa" w:w="220"/>
            </w:tcMar>
          </w:tcPr>
          <w:p>
            <w:pPr>
              <w:spacing w:after="80"/>
            </w:pPr>
            <w:r>
              <w:rPr>
                <w:rFonts w:ascii="Calibri" w:cs="Calibri" w:eastAsia="Calibri" w:hAnsi="Calibri"/>
                <w:sz w:val="20"/>
                <w:szCs w:val="20"/>
              </w:rPr>
              <w:t xml:space="preserve">• Mengajukan model kurikulum Obginsos sebagai studi kasus preseden subspesialisasi integratif negara berkembang ke forum FIGO World Congress atau kongres pendidikan kedokteran global sejenis.</w:t>
            </w:r>
          </w:p>
          <w:p>
            <w:r>
              <w:rPr>
                <w:rFonts w:ascii="Calibri" w:cs="Calibri" w:eastAsia="Calibri" w:hAnsi="Calibri"/>
                <w:sz w:val="20"/>
                <w:szCs w:val="20"/>
              </w:rPr>
              <w:t xml:space="preserve">• Mendorong negara-negara berkembang lain dengan tantangan kesehatan reproduksi serupa untuk mempelajari/mengadaptasi model Obginsos Indonesia, memposisikan Indonesia sebagai pemberi kontribusi (bukan hanya penerima) dalam wacana subspesialisasi global.</w:t>
            </w:r>
          </w:p>
        </w:tc>
      </w:tr>
    </w:tbl>
    <w:p>
      <w:pPr>
        <w:spacing w:after="160"/>
      </w:pPr>
    </w:p>
    <w:p>
      <w:pPr>
        <w:pStyle w:val="Heading2"/>
        <w:spacing w:after="120" w:before="260"/>
      </w:pPr>
      <w:r>
        <w:t xml:space="preserve">9.4 Penutup Buku</w:t>
      </w:r>
    </w:p>
    <w:p>
      <w:pPr>
        <w:spacing w:after="160"/>
        <w:jc w:val="both"/>
      </w:pPr>
      <w:r>
        <w:rPr>
          <w:rFonts w:ascii="Calibri" w:cs="Calibri" w:eastAsia="Calibri" w:hAnsi="Calibri"/>
          <w:b w:val="false"/>
          <w:bCs w:val="false"/>
          <w:i w:val="false"/>
          <w:iCs w:val="false"/>
          <w:sz w:val="22"/>
          <w:szCs w:val="22"/>
        </w:rPr>
        <w:t xml:space="preserve">Buku ini dimulai dengan sebuah pertanyaan yang tampak sederhana — apakah ada standar internasional Obginsos — dan berakhir dengan jawaban yang lebih jujur dan lebih berguna daripada sekadar 'ya' atau 'tidak'. Obginsos adalah karya sintesis Indonesia: mengambil yang terbaik dari Complex Family Planning, Community Sexual and Reproductive Health, Global Women's Health Fellowship, dan kerangka standar WHO-FIGO, lalu menyatukannya dengan wilayah-wilayah yang belum banyak diformalkan negara lain — kesehatan mental perinatal, menopause biopsikososial, dan perawatan paliatif ginekologi holistik — menjadi satu jenjang pendidikan yang koheren. Peta yang disusun dalam buku ini bukan titik akhir, melainkan titik awal bagi generasi subspesialis Obginsos berikutnya untuk melangkah dengan kepercayaan diri yang berbasis bukti, bukan asumsi.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7A1F3D" w:sz="6"/>
              <w:left w:val="single" w:color="7A1F3D" w:sz="18"/>
              <w:bottom w:val="single" w:color="7A1F3D" w:sz="6"/>
              <w:right w:val="single" w:color="7A1F3D" w:sz="6"/>
            </w:tcBorders>
            <w:shd w:fill="FBF3F6" w:color="auto" w:val="clear"/>
            <w:tcMar>
              <w:top w:type="dxa" w:w="160"/>
              <w:left w:type="dxa" w:w="220"/>
              <w:bottom w:type="dxa" w:w="160"/>
              <w:right w:type="dxa" w:w="220"/>
            </w:tcMar>
          </w:tcPr>
          <w:p>
            <w:pPr>
              <w:spacing w:after="100"/>
            </w:pPr>
            <w:r>
              <w:rPr>
                <w:rFonts w:ascii="Calibri" w:cs="Calibri" w:eastAsia="Calibri" w:hAnsi="Calibri"/>
                <w:b/>
                <w:bCs/>
                <w:color w:val="4A1226"/>
                <w:sz w:val="22"/>
                <w:szCs w:val="22"/>
              </w:rPr>
              <w:t xml:space="preserve">Poin Kunci Bab 9</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Rekomendasi disusun bertahap: jangka pendek (publikasi &amp; komunikasi awal), menengah (MoU &amp; keterlibatan FIGO), panjang (Indonesia sebagai pemberi kontribusi model).</w:t>
            </w:r>
          </w:p>
          <w:p>
            <w:pPr>
              <w:spacing w:after="60"/>
            </w:pPr>
            <w:r>
              <w:rPr>
                <w:rFonts w:ascii="Calibri" w:cs="Calibri" w:eastAsia="Calibri" w:hAnsi="Calibri"/>
                <w:b/>
                <w:bCs/>
                <w:color w:val="7A1F3D"/>
                <w:sz w:val="20"/>
                <w:szCs w:val="20"/>
              </w:rPr>
              <w:t xml:space="preserve">✓ </w:t>
            </w:r>
            <w:r>
              <w:rPr>
                <w:rFonts w:ascii="Calibri" w:cs="Calibri" w:eastAsia="Calibri" w:hAnsi="Calibri"/>
                <w:sz w:val="20"/>
                <w:szCs w:val="20"/>
              </w:rPr>
              <w:t xml:space="preserve">Buku ini menutup dengan penegasan bahwa Obginsos adalah karya sintesis yang sah secara akademik, bukan tiruan tidak lengkap dari satu program asing.</w:t>
            </w:r>
          </w:p>
        </w:tc>
      </w:tr>
    </w:tbl>
    <w:p>
      <w:pPr>
        <w:spacing w:after="100" w:before="200"/>
      </w:pPr>
      <w:r>
        <w:rPr>
          <w:rFonts w:ascii="Calibri" w:cs="Calibri" w:eastAsia="Calibri" w:hAnsi="Calibri"/>
          <w:b/>
          <w:bCs/>
          <w:color w:val="7A1F3D"/>
          <w:sz w:val="22"/>
          <w:szCs w:val="22"/>
        </w:rPr>
        <w:t xml:space="preserve">Referensi Bab 9</w:t>
      </w:r>
    </w:p>
    <w:p>
      <w:pPr>
        <w:spacing w:after="20"/>
      </w:pPr>
      <w:r>
        <w:rPr>
          <w:rFonts w:ascii="Calibri" w:cs="Calibri" w:eastAsia="Calibri" w:hAnsi="Calibri"/>
          <w:sz w:val="19"/>
          <w:szCs w:val="19"/>
        </w:rPr>
        <w:t xml:space="preserve">1. Fakultas Kedokteran, Kesehatan Masyarakat, dan Keperawatan UGM. Department of Obstetrics and Gynecology.</w:t>
      </w:r>
    </w:p>
    <w:p>
      <w:pPr>
        <w:spacing w:after="100"/>
      </w:pPr>
      <w:r>
        <w:rPr>
          <w:rFonts w:ascii="Calibri" w:cs="Calibri" w:eastAsia="Calibri" w:hAnsi="Calibri"/>
          <w:i/>
          <w:iCs/>
          <w:sz w:val="17"/>
          <w:szCs w:val="17"/>
        </w:rPr>
        <w:t xml:space="preserve">     Tautan: </w:t>
      </w:r>
      <w:hyperlink w:history="1" r:id="rIdbbifeduvzmkoelyxtghpu">
        <w:r>
          <w:rPr>
            <w:rStyle w:val="Hyperlink"/>
            <w:rFonts w:ascii="Calibri" w:cs="Calibri" w:eastAsia="Calibri" w:hAnsi="Calibri"/>
            <w:sz w:val="17"/>
            <w:szCs w:val="17"/>
          </w:rPr>
          <w:t xml:space="preserve">https://fkkmk.ugm.ac.id/department-of-obstetrics-and-gynecology/</w:t>
        </w:r>
      </w:hyperlink>
    </w:p>
    <w:p>
      <w:pPr>
        <w:pageBreakBefore/>
      </w:pPr>
      <w:r>
        <w:br/>
      </w:r>
    </w:p>
    <w:p>
      <w:pPr>
        <w:pStyle w:val="Heading1"/>
        <w:spacing w:after="200" w:before="400"/>
      </w:pPr>
      <w:r>
        <w:t xml:space="preserve">Glosarium</w:t>
      </w:r>
    </w:p>
    <w:p>
      <w:pPr>
        <w:spacing w:after="40" w:before="120"/>
      </w:pPr>
      <w:r>
        <w:rPr>
          <w:rFonts w:ascii="Calibri" w:cs="Calibri" w:eastAsia="Calibri" w:hAnsi="Calibri"/>
          <w:b/>
          <w:bCs/>
          <w:color w:val="7A1F3D"/>
          <w:sz w:val="22"/>
          <w:szCs w:val="22"/>
        </w:rPr>
        <w:t xml:space="preserve">Community-based</w:t>
      </w:r>
    </w:p>
    <w:p>
      <w:pPr>
        <w:spacing w:after="40"/>
      </w:pPr>
      <w:r>
        <w:rPr>
          <w:rFonts w:ascii="Calibri" w:cs="Calibri" w:eastAsia="Calibri" w:hAnsi="Calibri"/>
          <w:sz w:val="21"/>
          <w:szCs w:val="21"/>
        </w:rPr>
        <w:t xml:space="preserve">Berbasis komunitas; pelayanan yang diselenggarakan di luar fasilitas rumah sakit tersier, mis. klinik komunitas atau layanan keliling.</w:t>
      </w:r>
    </w:p>
    <w:p>
      <w:pPr>
        <w:spacing w:after="40" w:before="120"/>
      </w:pPr>
      <w:r>
        <w:rPr>
          <w:rFonts w:ascii="Calibri" w:cs="Calibri" w:eastAsia="Calibri" w:hAnsi="Calibri"/>
          <w:b/>
          <w:bCs/>
          <w:color w:val="7A1F3D"/>
          <w:sz w:val="22"/>
          <w:szCs w:val="22"/>
        </w:rPr>
        <w:t xml:space="preserve">Credit recognition</w:t>
      </w:r>
    </w:p>
    <w:p>
      <w:pPr>
        <w:spacing w:after="40"/>
      </w:pPr>
      <w:r>
        <w:rPr>
          <w:rFonts w:ascii="Calibri" w:cs="Calibri" w:eastAsia="Calibri" w:hAnsi="Calibri"/>
          <w:sz w:val="21"/>
          <w:szCs w:val="21"/>
        </w:rPr>
        <w:t xml:space="preserve">Pengakuan sebagian atas capaian pembelajaran suatu program oleh institusi lain, tanpa mensyaratkan penyetaraan penuh seluruh kurikulum.</w:t>
      </w:r>
    </w:p>
    <w:p>
      <w:pPr>
        <w:spacing w:after="40" w:before="120"/>
      </w:pPr>
      <w:r>
        <w:rPr>
          <w:rFonts w:ascii="Calibri" w:cs="Calibri" w:eastAsia="Calibri" w:hAnsi="Calibri"/>
          <w:b/>
          <w:bCs/>
          <w:color w:val="7A1F3D"/>
          <w:sz w:val="22"/>
          <w:szCs w:val="22"/>
        </w:rPr>
        <w:t xml:space="preserve">Fellowship</w:t>
      </w:r>
    </w:p>
    <w:p>
      <w:pPr>
        <w:spacing w:after="40"/>
      </w:pPr>
      <w:r>
        <w:rPr>
          <w:rFonts w:ascii="Calibri" w:cs="Calibri" w:eastAsia="Calibri" w:hAnsi="Calibri"/>
          <w:sz w:val="21"/>
          <w:szCs w:val="21"/>
        </w:rPr>
        <w:t xml:space="preserve">Program pendidikan subspesialistik lanjutan pascaresidensi/pascaspesialis di banyak negara, umumnya berdurasi 1-3 tahun.</w:t>
      </w:r>
    </w:p>
    <w:p>
      <w:pPr>
        <w:spacing w:after="40" w:before="120"/>
      </w:pPr>
      <w:r>
        <w:rPr>
          <w:rFonts w:ascii="Calibri" w:cs="Calibri" w:eastAsia="Calibri" w:hAnsi="Calibri"/>
          <w:b/>
          <w:bCs/>
          <w:color w:val="7A1F3D"/>
          <w:sz w:val="22"/>
          <w:szCs w:val="22"/>
        </w:rPr>
        <w:t xml:space="preserve">Kredensial</w:t>
      </w:r>
    </w:p>
    <w:p>
      <w:pPr>
        <w:spacing w:after="40"/>
      </w:pPr>
      <w:r>
        <w:rPr>
          <w:rFonts w:ascii="Calibri" w:cs="Calibri" w:eastAsia="Calibri" w:hAnsi="Calibri"/>
          <w:sz w:val="21"/>
          <w:szCs w:val="21"/>
        </w:rPr>
        <w:t xml:space="preserve">Bukti/sertifikat formal yang menyatakan seseorang telah memenuhi standar kompetensi tertentu.</w:t>
      </w:r>
    </w:p>
    <w:p>
      <w:pPr>
        <w:spacing w:after="40" w:before="120"/>
      </w:pPr>
      <w:r>
        <w:rPr>
          <w:rFonts w:ascii="Calibri" w:cs="Calibri" w:eastAsia="Calibri" w:hAnsi="Calibri"/>
          <w:b/>
          <w:bCs/>
          <w:color w:val="7A1F3D"/>
          <w:sz w:val="22"/>
          <w:szCs w:val="22"/>
        </w:rPr>
        <w:t xml:space="preserve">Padanan internasional</w:t>
      </w:r>
    </w:p>
    <w:p>
      <w:pPr>
        <w:spacing w:after="40"/>
      </w:pPr>
      <w:r>
        <w:rPr>
          <w:rFonts w:ascii="Calibri" w:cs="Calibri" w:eastAsia="Calibri" w:hAnsi="Calibri"/>
          <w:sz w:val="21"/>
          <w:szCs w:val="21"/>
        </w:rPr>
        <w:t xml:space="preserve">Program atau subspesialisasi di negara lain yang cakupannya sebanding, sebagian atau seluruhnya, dengan program yang dibandingkan.</w:t>
      </w:r>
    </w:p>
    <w:p>
      <w:pPr>
        <w:spacing w:after="40" w:before="120"/>
      </w:pPr>
      <w:r>
        <w:rPr>
          <w:rFonts w:ascii="Calibri" w:cs="Calibri" w:eastAsia="Calibri" w:hAnsi="Calibri"/>
          <w:b/>
          <w:bCs/>
          <w:color w:val="7A1F3D"/>
          <w:sz w:val="22"/>
          <w:szCs w:val="22"/>
        </w:rPr>
        <w:t xml:space="preserve">Subspesialisasi baseline</w:t>
      </w:r>
    </w:p>
    <w:p>
      <w:pPr>
        <w:spacing w:after="40"/>
      </w:pPr>
      <w:r>
        <w:rPr>
          <w:rFonts w:ascii="Calibri" w:cs="Calibri" w:eastAsia="Calibri" w:hAnsi="Calibri"/>
          <w:sz w:val="21"/>
          <w:szCs w:val="21"/>
        </w:rPr>
        <w:t xml:space="preserve">Empat kategori subspesialisasi Obstetri-Ginekologi yang diakui resmi secara luas (onkologi ginekologi, kedokteran reproduksi, kedokteran maternal-fetal, urogynaecology), dipakai sebagai titik pembanding dalam buku ini.</w:t>
      </w:r>
    </w:p>
    <w:p>
      <w:pPr>
        <w:spacing w:after="40" w:before="120"/>
      </w:pPr>
      <w:r>
        <w:rPr>
          <w:rFonts w:ascii="Calibri" w:cs="Calibri" w:eastAsia="Calibri" w:hAnsi="Calibri"/>
          <w:b/>
          <w:bCs/>
          <w:color w:val="7A1F3D"/>
          <w:sz w:val="22"/>
          <w:szCs w:val="22"/>
        </w:rPr>
        <w:t xml:space="preserve">Sintesis kurikulum</w:t>
      </w:r>
    </w:p>
    <w:p>
      <w:pPr>
        <w:spacing w:after="40"/>
      </w:pPr>
      <w:r>
        <w:rPr>
          <w:rFonts w:ascii="Calibri" w:cs="Calibri" w:eastAsia="Calibri" w:hAnsi="Calibri"/>
          <w:sz w:val="21"/>
          <w:szCs w:val="21"/>
        </w:rPr>
        <w:t xml:space="preserve">Proses menggabungkan elemen dari berbagai sumber/model pendidikan yang berbeda menjadi satu kurikulum baru yang koheren.</w:t>
      </w:r>
    </w:p>
    <w:p>
      <w:pPr>
        <w:spacing w:after="40" w:before="120"/>
      </w:pPr>
      <w:r>
        <w:rPr>
          <w:rFonts w:ascii="Calibri" w:cs="Calibri" w:eastAsia="Calibri" w:hAnsi="Calibri"/>
          <w:b/>
          <w:bCs/>
          <w:color w:val="7A1F3D"/>
          <w:sz w:val="22"/>
          <w:szCs w:val="22"/>
        </w:rPr>
        <w:t xml:space="preserve">Standard-setting body</w:t>
      </w:r>
    </w:p>
    <w:p>
      <w:pPr>
        <w:spacing w:after="40"/>
      </w:pPr>
      <w:r>
        <w:rPr>
          <w:rFonts w:ascii="Calibri" w:cs="Calibri" w:eastAsia="Calibri" w:hAnsi="Calibri"/>
          <w:sz w:val="21"/>
          <w:szCs w:val="21"/>
        </w:rPr>
        <w:t xml:space="preserve">Badan yang menyusun dan menerbitkan pedoman/standar klinis lintas-negara, tanpa fungsi mensertifikasi individu (contoh: WHO, FIGO).</w:t>
      </w:r>
    </w:p>
    <w:p>
      <w:pPr>
        <w:pageBreakBefore/>
      </w:pPr>
      <w:r>
        <w:br/>
      </w:r>
    </w:p>
    <w:p>
      <w:pPr>
        <w:pStyle w:val="Heading1"/>
        <w:spacing w:after="200" w:before="400"/>
      </w:pPr>
      <w:r>
        <w:t xml:space="preserve">Daftar Pustaka Gabungan</w:t>
      </w:r>
    </w:p>
    <w:p>
      <w:pPr>
        <w:spacing w:after="20"/>
      </w:pPr>
      <w:r>
        <w:rPr>
          <w:rFonts w:ascii="Calibri" w:cs="Calibri" w:eastAsia="Calibri" w:hAnsi="Calibri"/>
          <w:sz w:val="21"/>
          <w:szCs w:val="21"/>
        </w:rPr>
        <w:t xml:space="preserve">1. Meyer L, Lindqvist PG, Zizzo G. EBCOG: European Board and College of Obstetrics and Gynaecology — Who Are We? What Do We Do? Where Do We Go?</w:t>
      </w:r>
    </w:p>
    <w:p>
      <w:pPr>
        <w:spacing w:after="120"/>
      </w:pPr>
      <w:r>
        <w:rPr>
          <w:rFonts w:ascii="Calibri" w:cs="Calibri" w:eastAsia="Calibri" w:hAnsi="Calibri"/>
          <w:i/>
          <w:iCs/>
          <w:sz w:val="19"/>
          <w:szCs w:val="19"/>
        </w:rPr>
        <w:t xml:space="preserve">     Tautan: </w:t>
      </w:r>
      <w:hyperlink w:history="1" r:id="rIdwd-gqiivv2ecshu3kbytz">
        <w:r>
          <w:rPr>
            <w:rStyle w:val="Hyperlink"/>
            <w:rFonts w:ascii="Calibri" w:cs="Calibri" w:eastAsia="Calibri" w:hAnsi="Calibri"/>
            <w:sz w:val="19"/>
            <w:szCs w:val="19"/>
          </w:rPr>
          <w:t xml:space="preserve">https://pmc.ncbi.nlm.nih.gov/articles/PMC4154338/</w:t>
        </w:r>
      </w:hyperlink>
    </w:p>
    <w:p>
      <w:pPr>
        <w:spacing w:after="20"/>
      </w:pPr>
      <w:r>
        <w:rPr>
          <w:rFonts w:ascii="Calibri" w:cs="Calibri" w:eastAsia="Calibri" w:hAnsi="Calibri"/>
          <w:sz w:val="21"/>
          <w:szCs w:val="21"/>
        </w:rPr>
        <w:t xml:space="preserve">2. European Board and College of Obstetrics and Gynaecology (EBCOG). EBCOG Annual Report 2023.</w:t>
      </w:r>
    </w:p>
    <w:p>
      <w:pPr>
        <w:spacing w:after="120"/>
      </w:pPr>
      <w:r>
        <w:rPr>
          <w:rFonts w:ascii="Calibri" w:cs="Calibri" w:eastAsia="Calibri" w:hAnsi="Calibri"/>
          <w:i/>
          <w:iCs/>
          <w:sz w:val="19"/>
          <w:szCs w:val="19"/>
        </w:rPr>
        <w:t xml:space="preserve">     Tautan: </w:t>
      </w:r>
      <w:hyperlink w:history="1" r:id="rIdiklrtznrlb3o8jodkrjtt">
        <w:r>
          <w:rPr>
            <w:rStyle w:val="Hyperlink"/>
            <w:rFonts w:ascii="Calibri" w:cs="Calibri" w:eastAsia="Calibri" w:hAnsi="Calibri"/>
            <w:sz w:val="19"/>
            <w:szCs w:val="19"/>
          </w:rPr>
          <w:t xml:space="preserve">https://ebcog.eu/wp-content/uploads/2024/04/EBCOG-Annual-Report-2023-FINAL.pdf</w:t>
        </w:r>
      </w:hyperlink>
    </w:p>
    <w:p>
      <w:pPr>
        <w:spacing w:after="20"/>
      </w:pPr>
      <w:r>
        <w:rPr>
          <w:rFonts w:ascii="Calibri" w:cs="Calibri" w:eastAsia="Calibri" w:hAnsi="Calibri"/>
          <w:sz w:val="21"/>
          <w:szCs w:val="21"/>
        </w:rPr>
        <w:t xml:space="preserve">3. Accreditation Council for Graduate Medical Education (ACGME). Obstetrics and Gynecology Overview.</w:t>
      </w:r>
    </w:p>
    <w:p>
      <w:pPr>
        <w:spacing w:after="120"/>
      </w:pPr>
      <w:r>
        <w:rPr>
          <w:rFonts w:ascii="Calibri" w:cs="Calibri" w:eastAsia="Calibri" w:hAnsi="Calibri"/>
          <w:i/>
          <w:iCs/>
          <w:sz w:val="19"/>
          <w:szCs w:val="19"/>
        </w:rPr>
        <w:t xml:space="preserve">     Tautan: </w:t>
      </w:r>
      <w:hyperlink w:history="1" r:id="rIdsliy1pk5qne--v2y3op9s">
        <w:r>
          <w:rPr>
            <w:rStyle w:val="Hyperlink"/>
            <w:rFonts w:ascii="Calibri" w:cs="Calibri" w:eastAsia="Calibri" w:hAnsi="Calibri"/>
            <w:sz w:val="19"/>
            <w:szCs w:val="19"/>
          </w:rPr>
          <w:t xml:space="preserve">https://www.acgme.org/specialties/obstetrics-and-gynecology/overview/</w:t>
        </w:r>
      </w:hyperlink>
    </w:p>
    <w:p>
      <w:pPr>
        <w:spacing w:after="20"/>
      </w:pPr>
      <w:r>
        <w:rPr>
          <w:rFonts w:ascii="Calibri" w:cs="Calibri" w:eastAsia="Calibri" w:hAnsi="Calibri"/>
          <w:sz w:val="21"/>
          <w:szCs w:val="21"/>
        </w:rPr>
        <w:t xml:space="preserve">4. Royal College of Obstetricians and Gynaecologists (RCOG). Reproductive Medicine Subspecialty Training.</w:t>
      </w:r>
    </w:p>
    <w:p>
      <w:pPr>
        <w:spacing w:after="120"/>
      </w:pPr>
      <w:r>
        <w:rPr>
          <w:rFonts w:ascii="Calibri" w:cs="Calibri" w:eastAsia="Calibri" w:hAnsi="Calibri"/>
          <w:i/>
          <w:iCs/>
          <w:sz w:val="19"/>
          <w:szCs w:val="19"/>
        </w:rPr>
        <w:t xml:space="preserve">     Tautan: </w:t>
      </w:r>
      <w:hyperlink w:history="1" r:id="rId0see-1fag37w7f6jeu4u2">
        <w:r>
          <w:rPr>
            <w:rStyle w:val="Hyperlink"/>
            <w:rFonts w:ascii="Calibri" w:cs="Calibri" w:eastAsia="Calibri" w:hAnsi="Calibri"/>
            <w:sz w:val="19"/>
            <w:szCs w:val="19"/>
          </w:rPr>
          <w:t xml:space="preserve">https://www.rcog.org.uk/careers-and-training/training/curriculum/subspecialty-training-curriculum/reproductive-medicine-subspecialty-training/</w:t>
        </w:r>
      </w:hyperlink>
    </w:p>
    <w:p>
      <w:pPr>
        <w:spacing w:after="20"/>
      </w:pPr>
      <w:r>
        <w:rPr>
          <w:rFonts w:ascii="Calibri" w:cs="Calibri" w:eastAsia="Calibri" w:hAnsi="Calibri"/>
          <w:sz w:val="21"/>
          <w:szCs w:val="21"/>
        </w:rPr>
        <w:t xml:space="preserve">5. Society of Family Planning. Complex Family Planning Fellowship.</w:t>
      </w:r>
    </w:p>
    <w:p>
      <w:pPr>
        <w:spacing w:after="120"/>
      </w:pPr>
      <w:r>
        <w:rPr>
          <w:rFonts w:ascii="Calibri" w:cs="Calibri" w:eastAsia="Calibri" w:hAnsi="Calibri"/>
          <w:i/>
          <w:iCs/>
          <w:sz w:val="19"/>
          <w:szCs w:val="19"/>
        </w:rPr>
        <w:t xml:space="preserve">     Tautan: </w:t>
      </w:r>
      <w:hyperlink w:history="1" r:id="rIdiuz-pfc-7zjouqzklmop6">
        <w:r>
          <w:rPr>
            <w:rStyle w:val="Hyperlink"/>
            <w:rFonts w:ascii="Calibri" w:cs="Calibri" w:eastAsia="Calibri" w:hAnsi="Calibri"/>
            <w:sz w:val="19"/>
            <w:szCs w:val="19"/>
          </w:rPr>
          <w:t xml:space="preserve">https://societyfp.org/fellowship/</w:t>
        </w:r>
      </w:hyperlink>
    </w:p>
    <w:p>
      <w:pPr>
        <w:spacing w:after="20"/>
      </w:pPr>
      <w:r>
        <w:rPr>
          <w:rFonts w:ascii="Calibri" w:cs="Calibri" w:eastAsia="Calibri" w:hAnsi="Calibri"/>
          <w:sz w:val="21"/>
          <w:szCs w:val="21"/>
        </w:rPr>
        <w:t xml:space="preserve">6. Accreditation Council for Graduate Medical Education (ACGME). Complex Family Planning Letter of Intent and Proposal.</w:t>
      </w:r>
    </w:p>
    <w:p>
      <w:pPr>
        <w:spacing w:after="120"/>
      </w:pPr>
      <w:r>
        <w:rPr>
          <w:rFonts w:ascii="Calibri" w:cs="Calibri" w:eastAsia="Calibri" w:hAnsi="Calibri"/>
          <w:i/>
          <w:iCs/>
          <w:sz w:val="19"/>
          <w:szCs w:val="19"/>
        </w:rPr>
        <w:t xml:space="preserve">     Tautan: </w:t>
      </w:r>
      <w:hyperlink w:history="1" r:id="rIdebvccoy3xcxpzwaqbne02">
        <w:r>
          <w:rPr>
            <w:rStyle w:val="Hyperlink"/>
            <w:rFonts w:ascii="Calibri" w:cs="Calibri" w:eastAsia="Calibri" w:hAnsi="Calibri"/>
            <w:sz w:val="19"/>
            <w:szCs w:val="19"/>
          </w:rPr>
          <w:t xml:space="preserve">https://www.acgme.org/globalassets/PFAssets/ProposalReviewandComment/Complex_Family_Planning_LOIandProposal.pdf</w:t>
        </w:r>
      </w:hyperlink>
    </w:p>
    <w:p>
      <w:pPr>
        <w:spacing w:after="20"/>
      </w:pPr>
      <w:r>
        <w:rPr>
          <w:rFonts w:ascii="Calibri" w:cs="Calibri" w:eastAsia="Calibri" w:hAnsi="Calibri"/>
          <w:sz w:val="21"/>
          <w:szCs w:val="21"/>
        </w:rPr>
        <w:t xml:space="preserve">7. Accreditation Council for Graduate Medical Education (ACGME). ACGME Program Requirements for Graduate Medical Education in Complex Family Planning (2025 Reformatted).</w:t>
      </w:r>
    </w:p>
    <w:p>
      <w:pPr>
        <w:spacing w:after="120"/>
      </w:pPr>
      <w:r>
        <w:rPr>
          <w:rFonts w:ascii="Calibri" w:cs="Calibri" w:eastAsia="Calibri" w:hAnsi="Calibri"/>
          <w:i/>
          <w:iCs/>
          <w:sz w:val="19"/>
          <w:szCs w:val="19"/>
        </w:rPr>
        <w:t xml:space="preserve">     Tautan: </w:t>
      </w:r>
      <w:hyperlink w:history="1" r:id="rIdoqu3d033go_lqgjzzvtkq">
        <w:r>
          <w:rPr>
            <w:rStyle w:val="Hyperlink"/>
            <w:rFonts w:ascii="Calibri" w:cs="Calibri" w:eastAsia="Calibri" w:hAnsi="Calibri"/>
            <w:sz w:val="19"/>
            <w:szCs w:val="19"/>
          </w:rPr>
          <w:t xml:space="preserve">https://www.acgme.org/globalassets/pfassets/programrequirements/2025-reformatted-requirements/236_complexfamilyplanning_2025_reformatted.pdf</w:t>
        </w:r>
      </w:hyperlink>
    </w:p>
    <w:p>
      <w:pPr>
        <w:spacing w:after="20"/>
      </w:pPr>
      <w:r>
        <w:rPr>
          <w:rFonts w:ascii="Calibri" w:cs="Calibri" w:eastAsia="Calibri" w:hAnsi="Calibri"/>
          <w:sz w:val="21"/>
          <w:szCs w:val="21"/>
        </w:rPr>
        <w:t xml:space="preserve">8. UCLA Health. Complex Family Planning Fellowship, Department of Obstetrics and Gynecology.</w:t>
      </w:r>
    </w:p>
    <w:p>
      <w:pPr>
        <w:spacing w:after="120"/>
      </w:pPr>
      <w:r>
        <w:rPr>
          <w:rFonts w:ascii="Calibri" w:cs="Calibri" w:eastAsia="Calibri" w:hAnsi="Calibri"/>
          <w:i/>
          <w:iCs/>
          <w:sz w:val="19"/>
          <w:szCs w:val="19"/>
        </w:rPr>
        <w:t xml:space="preserve">     Tautan: </w:t>
      </w:r>
      <w:hyperlink w:history="1" r:id="rId-8ggyubvnhayb2sobg1sv">
        <w:r>
          <w:rPr>
            <w:rStyle w:val="Hyperlink"/>
            <w:rFonts w:ascii="Calibri" w:cs="Calibri" w:eastAsia="Calibri" w:hAnsi="Calibri"/>
            <w:sz w:val="19"/>
            <w:szCs w:val="19"/>
          </w:rPr>
          <w:t xml:space="preserve">https://www.uclahealth.org/departments/obgyn/education/fellowship-programs/complex-family-planning-fellowship</w:t>
        </w:r>
      </w:hyperlink>
    </w:p>
    <w:p>
      <w:pPr>
        <w:spacing w:after="20"/>
      </w:pPr>
      <w:r>
        <w:rPr>
          <w:rFonts w:ascii="Calibri" w:cs="Calibri" w:eastAsia="Calibri" w:hAnsi="Calibri"/>
          <w:sz w:val="21"/>
          <w:szCs w:val="21"/>
        </w:rPr>
        <w:t xml:space="preserve">9. Johns Hopkins Medicine. Family Planning Fellowship Program.</w:t>
      </w:r>
    </w:p>
    <w:p>
      <w:pPr>
        <w:spacing w:after="120"/>
      </w:pPr>
      <w:r>
        <w:rPr>
          <w:rFonts w:ascii="Calibri" w:cs="Calibri" w:eastAsia="Calibri" w:hAnsi="Calibri"/>
          <w:i/>
          <w:iCs/>
          <w:sz w:val="19"/>
          <w:szCs w:val="19"/>
        </w:rPr>
        <w:t xml:space="preserve">     Tautan: </w:t>
      </w:r>
      <w:hyperlink w:history="1" r:id="rIdylr_fr_yglhjgyllreika">
        <w:r>
          <w:rPr>
            <w:rStyle w:val="Hyperlink"/>
            <w:rFonts w:ascii="Calibri" w:cs="Calibri" w:eastAsia="Calibri" w:hAnsi="Calibri"/>
            <w:sz w:val="19"/>
            <w:szCs w:val="19"/>
          </w:rPr>
          <w:t xml:space="preserve">https://www.hopkinsmedicine.org/gynecology-obstetrics/education/fellowships/family-planning</w:t>
        </w:r>
      </w:hyperlink>
    </w:p>
    <w:p>
      <w:pPr>
        <w:spacing w:after="20"/>
      </w:pPr>
      <w:r>
        <w:rPr>
          <w:rFonts w:ascii="Calibri" w:cs="Calibri" w:eastAsia="Calibri" w:hAnsi="Calibri"/>
          <w:sz w:val="21"/>
          <w:szCs w:val="21"/>
        </w:rPr>
        <w:t xml:space="preserve">10. Wikipedia. College of Sexual and Reproductive Healthcare.</w:t>
      </w:r>
    </w:p>
    <w:p>
      <w:pPr>
        <w:spacing w:after="120"/>
      </w:pPr>
      <w:r>
        <w:rPr>
          <w:rFonts w:ascii="Calibri" w:cs="Calibri" w:eastAsia="Calibri" w:hAnsi="Calibri"/>
          <w:i/>
          <w:iCs/>
          <w:sz w:val="19"/>
          <w:szCs w:val="19"/>
        </w:rPr>
        <w:t xml:space="preserve">     Tautan: </w:t>
      </w:r>
      <w:hyperlink w:history="1" r:id="rId9ahob-taj0kqjgmthlp_-">
        <w:r>
          <w:rPr>
            <w:rStyle w:val="Hyperlink"/>
            <w:rFonts w:ascii="Calibri" w:cs="Calibri" w:eastAsia="Calibri" w:hAnsi="Calibri"/>
            <w:sz w:val="19"/>
            <w:szCs w:val="19"/>
          </w:rPr>
          <w:t xml:space="preserve">https://en.wikipedia.org/wiki/College_of_Sexual_and_Reproductive_Healthcare</w:t>
        </w:r>
      </w:hyperlink>
    </w:p>
    <w:p>
      <w:pPr>
        <w:spacing w:after="20"/>
      </w:pPr>
      <w:r>
        <w:rPr>
          <w:rFonts w:ascii="Calibri" w:cs="Calibri" w:eastAsia="Calibri" w:hAnsi="Calibri"/>
          <w:sz w:val="21"/>
          <w:szCs w:val="21"/>
        </w:rPr>
        <w:t xml:space="preserve">11. Severn Deanery/NHS. Community Sexual and Reproductive Health (CSRH) Training Programme.</w:t>
      </w:r>
    </w:p>
    <w:p>
      <w:pPr>
        <w:spacing w:after="120"/>
      </w:pPr>
      <w:r>
        <w:rPr>
          <w:rFonts w:ascii="Calibri" w:cs="Calibri" w:eastAsia="Calibri" w:hAnsi="Calibri"/>
          <w:i/>
          <w:iCs/>
          <w:sz w:val="19"/>
          <w:szCs w:val="19"/>
        </w:rPr>
        <w:t xml:space="preserve">     Tautan: </w:t>
      </w:r>
      <w:hyperlink w:history="1" r:id="rIdipwjmcpweqwnavrcjx2jj">
        <w:r>
          <w:rPr>
            <w:rStyle w:val="Hyperlink"/>
            <w:rFonts w:ascii="Calibri" w:cs="Calibri" w:eastAsia="Calibri" w:hAnsi="Calibri"/>
            <w:sz w:val="19"/>
            <w:szCs w:val="19"/>
          </w:rPr>
          <w:t xml:space="preserve">https://obsandgynae.severndeanery.nhs.uk/about-us/community-sexual-and-reproductive-health/</w:t>
        </w:r>
      </w:hyperlink>
    </w:p>
    <w:p>
      <w:pPr>
        <w:spacing w:after="20"/>
      </w:pPr>
      <w:r>
        <w:rPr>
          <w:rFonts w:ascii="Calibri" w:cs="Calibri" w:eastAsia="Calibri" w:hAnsi="Calibri"/>
          <w:sz w:val="21"/>
          <w:szCs w:val="21"/>
        </w:rPr>
        <w:t xml:space="preserve">12. College of Sexual and Reproductive Healthcare (CoSRH). Education &amp; Training.</w:t>
      </w:r>
    </w:p>
    <w:p>
      <w:pPr>
        <w:spacing w:after="120"/>
      </w:pPr>
      <w:r>
        <w:rPr>
          <w:rFonts w:ascii="Calibri" w:cs="Calibri" w:eastAsia="Calibri" w:hAnsi="Calibri"/>
          <w:i/>
          <w:iCs/>
          <w:sz w:val="19"/>
          <w:szCs w:val="19"/>
        </w:rPr>
        <w:t xml:space="preserve">     Tautan: </w:t>
      </w:r>
      <w:hyperlink w:history="1" r:id="rIdpl1ux8argq8h9fm97oidp">
        <w:r>
          <w:rPr>
            <w:rStyle w:val="Hyperlink"/>
            <w:rFonts w:ascii="Calibri" w:cs="Calibri" w:eastAsia="Calibri" w:hAnsi="Calibri"/>
            <w:sz w:val="19"/>
            <w:szCs w:val="19"/>
          </w:rPr>
          <w:t xml:space="preserve">https://www.cosrh.org/Public/Public/education-training.aspx</w:t>
        </w:r>
      </w:hyperlink>
    </w:p>
    <w:p>
      <w:pPr>
        <w:spacing w:after="20"/>
      </w:pPr>
      <w:r>
        <w:rPr>
          <w:rFonts w:ascii="Calibri" w:cs="Calibri" w:eastAsia="Calibri" w:hAnsi="Calibri"/>
          <w:sz w:val="21"/>
          <w:szCs w:val="21"/>
        </w:rPr>
        <w:t xml:space="preserve">13. Royal College of Obstetricians and Gynaecologists (RCOG). Faculty of Sexual &amp; Reproductive Healthcare (FSRH) — arsip historis.</w:t>
      </w:r>
    </w:p>
    <w:p>
      <w:pPr>
        <w:spacing w:after="120"/>
      </w:pPr>
      <w:r>
        <w:rPr>
          <w:rFonts w:ascii="Calibri" w:cs="Calibri" w:eastAsia="Calibri" w:hAnsi="Calibri"/>
          <w:i/>
          <w:iCs/>
          <w:sz w:val="19"/>
          <w:szCs w:val="19"/>
        </w:rPr>
        <w:t xml:space="preserve">     Tautan: </w:t>
      </w:r>
      <w:hyperlink w:history="1" r:id="rIdruowsj8lm_zohmnomjyo0">
        <w:r>
          <w:rPr>
            <w:rStyle w:val="Hyperlink"/>
            <w:rFonts w:ascii="Calibri" w:cs="Calibri" w:eastAsia="Calibri" w:hAnsi="Calibri"/>
            <w:sz w:val="19"/>
            <w:szCs w:val="19"/>
          </w:rPr>
          <w:t xml:space="preserve">https://www.rcog.org.uk/about-us/groups-and-societies/faculty-of-sexual-reproductive-healthcare-fsrh/</w:t>
        </w:r>
      </w:hyperlink>
    </w:p>
    <w:p>
      <w:pPr>
        <w:spacing w:after="20"/>
      </w:pPr>
      <w:r>
        <w:rPr>
          <w:rFonts w:ascii="Calibri" w:cs="Calibri" w:eastAsia="Calibri" w:hAnsi="Calibri"/>
          <w:sz w:val="21"/>
          <w:szCs w:val="21"/>
        </w:rPr>
        <w:t xml:space="preserve">14. American College of Obstetricians and Gynecologists (ACOG). Global Women's Health Fellowships and Programs Directory.</w:t>
      </w:r>
    </w:p>
    <w:p>
      <w:pPr>
        <w:spacing w:after="120"/>
      </w:pPr>
      <w:r>
        <w:rPr>
          <w:rFonts w:ascii="Calibri" w:cs="Calibri" w:eastAsia="Calibri" w:hAnsi="Calibri"/>
          <w:i/>
          <w:iCs/>
          <w:sz w:val="19"/>
          <w:szCs w:val="19"/>
        </w:rPr>
        <w:t xml:space="preserve">     Tautan: </w:t>
      </w:r>
      <w:hyperlink w:history="1" r:id="rIdpbnuj67qtviyq-ynkyil9">
        <w:r>
          <w:rPr>
            <w:rStyle w:val="Hyperlink"/>
            <w:rFonts w:ascii="Calibri" w:cs="Calibri" w:eastAsia="Calibri" w:hAnsi="Calibri"/>
            <w:sz w:val="19"/>
            <w:szCs w:val="19"/>
          </w:rPr>
          <w:t xml:space="preserve">https://www.acog.org/programs/global-womens-health/information-center/fellowships-and-programs</w:t>
        </w:r>
      </w:hyperlink>
    </w:p>
    <w:p>
      <w:pPr>
        <w:spacing w:after="20"/>
      </w:pPr>
      <w:r>
        <w:rPr>
          <w:rFonts w:ascii="Calibri" w:cs="Calibri" w:eastAsia="Calibri" w:hAnsi="Calibri"/>
          <w:sz w:val="21"/>
          <w:szCs w:val="21"/>
        </w:rPr>
        <w:t xml:space="preserve">15. Brigham and Women's Hospital. Global Women's Health/Obstetrics &amp; Gynecology Fellowship Training Program.</w:t>
      </w:r>
    </w:p>
    <w:p>
      <w:pPr>
        <w:spacing w:after="120"/>
      </w:pPr>
      <w:r>
        <w:rPr>
          <w:rFonts w:ascii="Calibri" w:cs="Calibri" w:eastAsia="Calibri" w:hAnsi="Calibri"/>
          <w:i/>
          <w:iCs/>
          <w:sz w:val="19"/>
          <w:szCs w:val="19"/>
        </w:rPr>
        <w:t xml:space="preserve">     Tautan: </w:t>
      </w:r>
      <w:hyperlink w:history="1" r:id="rIdq1tkwfwbjwyxsko6oe3bn">
        <w:r>
          <w:rPr>
            <w:rStyle w:val="Hyperlink"/>
            <w:rFonts w:ascii="Calibri" w:cs="Calibri" w:eastAsia="Calibri" w:hAnsi="Calibri"/>
            <w:sz w:val="19"/>
            <w:szCs w:val="19"/>
          </w:rPr>
          <w:t xml:space="preserve">https://www.brighamandwomens.org/obgyn/for-medical-professionals/global-obgyn-fellowship</w:t>
        </w:r>
      </w:hyperlink>
    </w:p>
    <w:p>
      <w:pPr>
        <w:spacing w:after="20"/>
      </w:pPr>
      <w:r>
        <w:rPr>
          <w:rFonts w:ascii="Calibri" w:cs="Calibri" w:eastAsia="Calibri" w:hAnsi="Calibri"/>
          <w:sz w:val="21"/>
          <w:szCs w:val="21"/>
        </w:rPr>
        <w:t xml:space="preserve">16. Duke Global Health Institute. Global Health Obstetrics and Gynecology Fellowship.</w:t>
      </w:r>
    </w:p>
    <w:p>
      <w:pPr>
        <w:spacing w:after="120"/>
      </w:pPr>
      <w:r>
        <w:rPr>
          <w:rFonts w:ascii="Calibri" w:cs="Calibri" w:eastAsia="Calibri" w:hAnsi="Calibri"/>
          <w:i/>
          <w:iCs/>
          <w:sz w:val="19"/>
          <w:szCs w:val="19"/>
        </w:rPr>
        <w:t xml:space="preserve">     Tautan: </w:t>
      </w:r>
      <w:hyperlink w:history="1" r:id="rIdbhp0x7yaphupaziu50g2u">
        <w:r>
          <w:rPr>
            <w:rStyle w:val="Hyperlink"/>
            <w:rFonts w:ascii="Calibri" w:cs="Calibri" w:eastAsia="Calibri" w:hAnsi="Calibri"/>
            <w:sz w:val="19"/>
            <w:szCs w:val="19"/>
          </w:rPr>
          <w:t xml:space="preserve">https://hyc.globalhealth.duke.edu/?p=191</w:t>
        </w:r>
      </w:hyperlink>
    </w:p>
    <w:p>
      <w:pPr>
        <w:spacing w:after="20"/>
      </w:pPr>
      <w:r>
        <w:rPr>
          <w:rFonts w:ascii="Calibri" w:cs="Calibri" w:eastAsia="Calibri" w:hAnsi="Calibri"/>
          <w:sz w:val="21"/>
          <w:szCs w:val="21"/>
        </w:rPr>
        <w:t xml:space="preserve">17. World Health Organization (WHO). Abortion Care Guideline, Second Edition. Geneva: WHO; 2024.</w:t>
      </w:r>
    </w:p>
    <w:p>
      <w:pPr>
        <w:spacing w:after="120"/>
      </w:pPr>
      <w:r>
        <w:rPr>
          <w:rFonts w:ascii="Calibri" w:cs="Calibri" w:eastAsia="Calibri" w:hAnsi="Calibri"/>
          <w:i/>
          <w:iCs/>
          <w:sz w:val="19"/>
          <w:szCs w:val="19"/>
        </w:rPr>
        <w:t xml:space="preserve">     Tautan: </w:t>
      </w:r>
      <w:hyperlink w:history="1" r:id="rId3nk9ol7-8puzq6qemfkjj">
        <w:r>
          <w:rPr>
            <w:rStyle w:val="Hyperlink"/>
            <w:rFonts w:ascii="Calibri" w:cs="Calibri" w:eastAsia="Calibri" w:hAnsi="Calibri"/>
            <w:sz w:val="19"/>
            <w:szCs w:val="19"/>
          </w:rPr>
          <w:t xml:space="preserve">https://www.ncbi.nlm.nih.gov/books/NBK617980/</w:t>
        </w:r>
      </w:hyperlink>
    </w:p>
    <w:p>
      <w:pPr>
        <w:spacing w:after="100"/>
      </w:pPr>
      <w:r>
        <w:rPr>
          <w:rFonts w:ascii="Calibri" w:cs="Calibri" w:eastAsia="Calibri" w:hAnsi="Calibri"/>
          <w:sz w:val="21"/>
          <w:szCs w:val="21"/>
        </w:rPr>
        <w:t xml:space="preserve">18. International Federation of Gynecology and Obstetrics (FIGO). FIGO Statements and Guidelines on Family Planning, Contraception, and Safe Motherhood.</w:t>
      </w:r>
    </w:p>
    <w:p>
      <w:pPr>
        <w:spacing w:after="20"/>
      </w:pPr>
      <w:r>
        <w:rPr>
          <w:rFonts w:ascii="Calibri" w:cs="Calibri" w:eastAsia="Calibri" w:hAnsi="Calibri"/>
          <w:sz w:val="21"/>
          <w:szCs w:val="21"/>
        </w:rPr>
        <w:t xml:space="preserve">19. Fakultas Kedokteran, Kesehatan Masyarakat, dan Keperawatan UGM. Department of Obstetrics and Gynecology.</w:t>
      </w:r>
    </w:p>
    <w:p>
      <w:pPr>
        <w:spacing w:after="120"/>
      </w:pPr>
      <w:r>
        <w:rPr>
          <w:rFonts w:ascii="Calibri" w:cs="Calibri" w:eastAsia="Calibri" w:hAnsi="Calibri"/>
          <w:i/>
          <w:iCs/>
          <w:sz w:val="19"/>
          <w:szCs w:val="19"/>
        </w:rPr>
        <w:t xml:space="preserve">     Tautan: </w:t>
      </w:r>
      <w:hyperlink w:history="1" r:id="rIdxafshctt8ipldyjzhtwbi">
        <w:r>
          <w:rPr>
            <w:rStyle w:val="Hyperlink"/>
            <w:rFonts w:ascii="Calibri" w:cs="Calibri" w:eastAsia="Calibri" w:hAnsi="Calibri"/>
            <w:sz w:val="19"/>
            <w:szCs w:val="19"/>
          </w:rPr>
          <w:t xml:space="preserve">https://fkkmk.ugm.ac.id/department-of-obstetrics-and-gynecology/</w:t>
        </w:r>
      </w:hyperlink>
    </w:p>
    <w:p>
      <w:pPr>
        <w:spacing w:after="100"/>
      </w:pPr>
      <w:r>
        <w:rPr>
          <w:rFonts w:ascii="Calibri" w:cs="Calibri" w:eastAsia="Calibri" w:hAnsi="Calibri"/>
          <w:sz w:val="21"/>
          <w:szCs w:val="21"/>
        </w:rPr>
        <w:t xml:space="preserve">20. Konsil Kesehatan Indonesia. Keputusan Ketua Konsil Kesehatan Indonesia Nomor HK.01.02/KKI/1318/2026 tentang Standar Kompetensi Dokter Spesialis dan Subspesialis Bidang Obstetri dan Ginekologi.</w:t>
      </w:r>
    </w:p>
    <w:p>
      <w:pPr>
        <w:spacing w:after="100"/>
      </w:pPr>
      <w:r>
        <w:rPr>
          <w:rFonts w:ascii="Calibri" w:cs="Calibri" w:eastAsia="Calibri" w:hAnsi="Calibri"/>
          <w:sz w:val="21"/>
          <w:szCs w:val="21"/>
        </w:rPr>
        <w:t xml:space="preserve">21. Cunningham FG, Leveno KJ, Dashe JS, et al., editors. Williams Obstetrics. 26th ed. New York: McGraw Hill; 2022.</w:t>
      </w:r>
    </w:p>
    <w:p>
      <w:pPr>
        <w:spacing w:after="100"/>
      </w:pPr>
      <w:r>
        <w:rPr>
          <w:rFonts w:ascii="Calibri" w:cs="Calibri" w:eastAsia="Calibri" w:hAnsi="Calibri"/>
          <w:sz w:val="21"/>
          <w:szCs w:val="21"/>
        </w:rPr>
        <w:t xml:space="preserve">22. Berek JS, Berek DL, editors. Berek &amp; Novak's Gynecology. 17th ed. Philadelphia: Wolters Kluwer; 2023.</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6"/>
        <w:szCs w:val="16"/>
      </w:rPr>
      <w:t xml:space="preserve">Empat Jejak, Satu Arah  •  </w:t>
    </w:r>
    <w:r>
      <w:rPr>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00"/>
      <w:outlineLvl w:val="0"/>
    </w:pPr>
    <w:rPr>
      <w:rFonts w:ascii="Calibri" w:cs="Calibri" w:eastAsia="Calibri" w:hAnsi="Calibri"/>
      <w:b/>
      <w:bCs/>
      <w:color w:val="7A1F3D"/>
      <w:sz w:val="32"/>
      <w:szCs w:val="32"/>
    </w:rPr>
  </w:style>
  <w:style w:type="paragraph" w:styleId="Heading2">
    <w:name w:val="Heading 2"/>
    <w:basedOn w:val="Normal"/>
    <w:next w:val="Normal"/>
    <w:qFormat/>
    <w:pPr>
      <w:spacing w:after="100" w:before="220"/>
      <w:outlineLvl w:val="1"/>
    </w:pPr>
    <w:rPr>
      <w:rFonts w:ascii="Calibri" w:cs="Calibri" w:eastAsia="Calibri" w:hAnsi="Calibri"/>
      <w:b/>
      <w:bCs/>
      <w:color w:val="4A1226"/>
      <w:sz w:val="26"/>
      <w:szCs w:val="26"/>
    </w:rPr>
  </w:style>
  <w:style w:type="paragraph" w:styleId="Heading3">
    <w:name w:val="Heading 3"/>
    <w:basedOn w:val="Normal"/>
    <w:next w:val="Normal"/>
    <w:qFormat/>
    <w:pPr>
      <w:spacing w:after="80" w:before="160"/>
      <w:outlineLvl w:val="2"/>
    </w:pPr>
    <w:rPr>
      <w:rFonts w:ascii="Calibri" w:cs="Calibri" w:eastAsia="Calibri" w:hAnsi="Calibri"/>
      <w:b/>
      <w:bCs/>
      <w:color w:val="6A5A6A"/>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o3mx9xsnwkjmghuoshujl" Type="http://schemas.openxmlformats.org/officeDocument/2006/relationships/hyperlink" Target="https://pmc.ncbi.nlm.nih.gov/articles/PMC4154338/" TargetMode="External"/><Relationship Id="rIdfiku_k79xc-sncuxgatp8" Type="http://schemas.openxmlformats.org/officeDocument/2006/relationships/hyperlink" Target="https://ebcog.eu/wp-content/uploads/2024/04/EBCOG-Annual-Report-2023-FINAL.pdf" TargetMode="External"/><Relationship Id="rIdeqhlz3vcgnimfuo8-8oft" Type="http://schemas.openxmlformats.org/officeDocument/2006/relationships/hyperlink" Target="https://www.acgme.org/specialties/obstetrics-and-gynecology/overview/" TargetMode="External"/><Relationship Id="rId646jq8urydf8u0x0dh0qc" Type="http://schemas.openxmlformats.org/officeDocument/2006/relationships/hyperlink" Target="https://pmc.ncbi.nlm.nih.gov/articles/PMC4154338/" TargetMode="External"/><Relationship Id="rIdu7-ynjnux7vdenmj_tj6j" Type="http://schemas.openxmlformats.org/officeDocument/2006/relationships/hyperlink" Target="https://ebcog.eu/wp-content/uploads/2024/04/EBCOG-Annual-Report-2023-FINAL.pdf" TargetMode="External"/><Relationship Id="rIdd_byxegdvm2o8l-zflsxi" Type="http://schemas.openxmlformats.org/officeDocument/2006/relationships/hyperlink" Target="https://www.rcog.org.uk/careers-and-training/training/curriculum/subspecialty-training-curriculum/reproductive-medicine-subspecialty-training/" TargetMode="External"/><Relationship Id="rIdraf17yo0z_ilepw6avdyy" Type="http://schemas.openxmlformats.org/officeDocument/2006/relationships/hyperlink" Target="https://www.acgme.org/specialties/obstetrics-and-gynecology/overview/" TargetMode="External"/><Relationship Id="rIdj28yaklelez2ulloz2rwg" Type="http://schemas.openxmlformats.org/officeDocument/2006/relationships/hyperlink" Target="https://societyfp.org/fellowship/" TargetMode="External"/><Relationship Id="rIdudx_fnvoqallatbsgozpy" Type="http://schemas.openxmlformats.org/officeDocument/2006/relationships/hyperlink" Target="https://www.acgme.org/globalassets/PFAssets/ProposalReviewandComment/Complex_Family_Planning_LOIandProposal.pdf" TargetMode="External"/><Relationship Id="rIdvc62daivrv2aptabv5kzm" Type="http://schemas.openxmlformats.org/officeDocument/2006/relationships/hyperlink" Target="https://www.acgme.org/globalassets/pfassets/programrequirements/2025-reformatted-requirements/236_complexfamilyplanning_2025_reformatted.pdf" TargetMode="External"/><Relationship Id="rIdqag6-cgvbnm5nnk0ml3rx" Type="http://schemas.openxmlformats.org/officeDocument/2006/relationships/hyperlink" Target="https://www.uclahealth.org/departments/obgyn/education/fellowship-programs/complex-family-planning-fellowship" TargetMode="External"/><Relationship Id="rIdzwumhh5h9k7kc9jes0436" Type="http://schemas.openxmlformats.org/officeDocument/2006/relationships/hyperlink" Target="https://www.hopkinsmedicine.org/gynecology-obstetrics/education/fellowships/family-planning" TargetMode="External"/><Relationship Id="rId1np4vko21wdjiuanx4cyn" Type="http://schemas.openxmlformats.org/officeDocument/2006/relationships/hyperlink" Target="https://en.wikipedia.org/wiki/College_of_Sexual_and_Reproductive_Healthcare" TargetMode="External"/><Relationship Id="rIdibm7f1hgt6ei3h6ju67xk" Type="http://schemas.openxmlformats.org/officeDocument/2006/relationships/hyperlink" Target="https://obsandgynae.severndeanery.nhs.uk/about-us/community-sexual-and-reproductive-health/" TargetMode="External"/><Relationship Id="rIdf_3yjxcr9tymoj6q1mlab" Type="http://schemas.openxmlformats.org/officeDocument/2006/relationships/hyperlink" Target="https://www.cosrh.org/Public/Public/education-training.aspx" TargetMode="External"/><Relationship Id="rIdwkngo9dkgsfhmdhufyvi5" Type="http://schemas.openxmlformats.org/officeDocument/2006/relationships/hyperlink" Target="https://www.rcog.org.uk/about-us/groups-and-societies/faculty-of-sexual-reproductive-healthcare-fsrh/" TargetMode="External"/><Relationship Id="rIdqcfeasmplnug3z1xcarzu" Type="http://schemas.openxmlformats.org/officeDocument/2006/relationships/hyperlink" Target="https://www.acog.org/programs/global-womens-health/information-center/fellowships-and-programs" TargetMode="External"/><Relationship Id="rIdzmlself-kylj4whoybjlq" Type="http://schemas.openxmlformats.org/officeDocument/2006/relationships/hyperlink" Target="https://www.brighamandwomens.org/obgyn/for-medical-professionals/global-obgyn-fellowship" TargetMode="External"/><Relationship Id="rIdsbjvgr6uef_usllebfpik" Type="http://schemas.openxmlformats.org/officeDocument/2006/relationships/hyperlink" Target="https://hyc.globalhealth.duke.edu/?p=191" TargetMode="External"/><Relationship Id="rIdt9qcujo9izo9mp7ygepav" Type="http://schemas.openxmlformats.org/officeDocument/2006/relationships/hyperlink" Target="https://www.ncbi.nlm.nih.gov/books/NBK617980/" TargetMode="External"/><Relationship Id="rId0kyrpnc-0f9mgr9yp9ic0" Type="http://schemas.openxmlformats.org/officeDocument/2006/relationships/hyperlink" Target="https://www.ncbi.nlm.nih.gov/pmc/articles/PMC12746182/" TargetMode="External"/><Relationship Id="rIdbbifeduvzmkoelyxtghpu" Type="http://schemas.openxmlformats.org/officeDocument/2006/relationships/hyperlink" Target="https://fkkmk.ugm.ac.id/department-of-obstetrics-and-gynecology/" TargetMode="External"/><Relationship Id="rIdwd-gqiivv2ecshu3kbytz" Type="http://schemas.openxmlformats.org/officeDocument/2006/relationships/hyperlink" Target="https://pmc.ncbi.nlm.nih.gov/articles/PMC4154338/" TargetMode="External"/><Relationship Id="rIdiklrtznrlb3o8jodkrjtt" Type="http://schemas.openxmlformats.org/officeDocument/2006/relationships/hyperlink" Target="https://ebcog.eu/wp-content/uploads/2024/04/EBCOG-Annual-Report-2023-FINAL.pdf" TargetMode="External"/><Relationship Id="rIdsliy1pk5qne--v2y3op9s" Type="http://schemas.openxmlformats.org/officeDocument/2006/relationships/hyperlink" Target="https://www.acgme.org/specialties/obstetrics-and-gynecology/overview/" TargetMode="External"/><Relationship Id="rId0see-1fag37w7f6jeu4u2" Type="http://schemas.openxmlformats.org/officeDocument/2006/relationships/hyperlink" Target="https://www.rcog.org.uk/careers-and-training/training/curriculum/subspecialty-training-curriculum/reproductive-medicine-subspecialty-training/" TargetMode="External"/><Relationship Id="rIdiuz-pfc-7zjouqzklmop6" Type="http://schemas.openxmlformats.org/officeDocument/2006/relationships/hyperlink" Target="https://societyfp.org/fellowship/" TargetMode="External"/><Relationship Id="rIdebvccoy3xcxpzwaqbne02" Type="http://schemas.openxmlformats.org/officeDocument/2006/relationships/hyperlink" Target="https://www.acgme.org/globalassets/PFAssets/ProposalReviewandComment/Complex_Family_Planning_LOIandProposal.pdf" TargetMode="External"/><Relationship Id="rIdoqu3d033go_lqgjzzvtkq" Type="http://schemas.openxmlformats.org/officeDocument/2006/relationships/hyperlink" Target="https://www.acgme.org/globalassets/pfassets/programrequirements/2025-reformatted-requirements/236_complexfamilyplanning_2025_reformatted.pdf" TargetMode="External"/><Relationship Id="rId-8ggyubvnhayb2sobg1sv" Type="http://schemas.openxmlformats.org/officeDocument/2006/relationships/hyperlink" Target="https://www.uclahealth.org/departments/obgyn/education/fellowship-programs/complex-family-planning-fellowship" TargetMode="External"/><Relationship Id="rIdylr_fr_yglhjgyllreika" Type="http://schemas.openxmlformats.org/officeDocument/2006/relationships/hyperlink" Target="https://www.hopkinsmedicine.org/gynecology-obstetrics/education/fellowships/family-planning" TargetMode="External"/><Relationship Id="rId9ahob-taj0kqjgmthlp_-" Type="http://schemas.openxmlformats.org/officeDocument/2006/relationships/hyperlink" Target="https://en.wikipedia.org/wiki/College_of_Sexual_and_Reproductive_Healthcare" TargetMode="External"/><Relationship Id="rIdipwjmcpweqwnavrcjx2jj" Type="http://schemas.openxmlformats.org/officeDocument/2006/relationships/hyperlink" Target="https://obsandgynae.severndeanery.nhs.uk/about-us/community-sexual-and-reproductive-health/" TargetMode="External"/><Relationship Id="rIdpl1ux8argq8h9fm97oidp" Type="http://schemas.openxmlformats.org/officeDocument/2006/relationships/hyperlink" Target="https://www.cosrh.org/Public/Public/education-training.aspx" TargetMode="External"/><Relationship Id="rIdruowsj8lm_zohmnomjyo0" Type="http://schemas.openxmlformats.org/officeDocument/2006/relationships/hyperlink" Target="https://www.rcog.org.uk/about-us/groups-and-societies/faculty-of-sexual-reproductive-healthcare-fsrh/" TargetMode="External"/><Relationship Id="rIdpbnuj67qtviyq-ynkyil9" Type="http://schemas.openxmlformats.org/officeDocument/2006/relationships/hyperlink" Target="https://www.acog.org/programs/global-womens-health/information-center/fellowships-and-programs" TargetMode="External"/><Relationship Id="rIdq1tkwfwbjwyxsko6oe3bn" Type="http://schemas.openxmlformats.org/officeDocument/2006/relationships/hyperlink" Target="https://www.brighamandwomens.org/obgyn/for-medical-professionals/global-obgyn-fellowship" TargetMode="External"/><Relationship Id="rIdbhp0x7yaphupaziu50g2u" Type="http://schemas.openxmlformats.org/officeDocument/2006/relationships/hyperlink" Target="https://hyc.globalhealth.duke.edu/?p=191" TargetMode="External"/><Relationship Id="rId3nk9ol7-8puzq6qemfkjj" Type="http://schemas.openxmlformats.org/officeDocument/2006/relationships/hyperlink" Target="https://www.ncbi.nlm.nih.gov/books/NBK617980/" TargetMode="External"/><Relationship Id="rIdxafshctt8ipldyjzhtwbi" Type="http://schemas.openxmlformats.org/officeDocument/2006/relationships/hyperlink" Target="https://fkkmk.ugm.ac.id/department-of-obstetrics-and-gynecology/" TargetMode="External"/><Relationship Id="rId4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2026-08-02T03:21:32.511Z</dcterms:created>
  <dcterms:modified xsi:type="dcterms:W3CDTF">2026-08-02T03:21:32.511Z</dcterms:modified>
</cp:coreProperties>
</file>

<file path=docProps/custom.xml><?xml version="1.0" encoding="utf-8"?>
<Properties xmlns="http://schemas.openxmlformats.org/officeDocument/2006/custom-properties" xmlns:vt="http://schemas.openxmlformats.org/officeDocument/2006/docPropsVTypes"/>
</file>