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7A1F3D" w:val="clear"/>
            <w:tcMar>
              <w:top w:type="dxa" w:w="900"/>
              <w:left w:type="dxa" w:w="700"/>
              <w:bottom w:type="dxa" w:w="900"/>
              <w:right w:type="dxa" w:w="700"/>
            </w:tcMar>
          </w:tcPr>
          <w:p>
            <w:pPr>
              <w:spacing w:after="200"/>
              <w:jc w:val="center"/>
            </w:pPr>
            <w:r>
              <w:rPr>
                <w:rFonts w:ascii="Calibri" w:cs="Calibri" w:eastAsia="Calibri" w:hAnsi="Calibri"/>
                <w:b/>
                <w:bCs/>
                <w:color w:val="E8C9D3"/>
                <w:spacing w:val="20"/>
                <w:sz w:val="22"/>
                <w:szCs w:val="22"/>
              </w:rPr>
              <w:t xml:space="preserve">SERI BUKU AJAR OBSTETRI GINEKOLOGI SOSIAL</w:t>
            </w:r>
          </w:p>
          <w:p>
            <w:pPr>
              <w:spacing w:after="60"/>
              <w:jc w:val="center"/>
            </w:pPr>
            <w:r>
              <w:rPr>
                <w:rFonts w:ascii="Calibri" w:cs="Calibri" w:eastAsia="Calibri" w:hAnsi="Calibri"/>
                <w:b/>
                <w:bCs/>
                <w:color w:val="FFFFFF"/>
                <w:sz w:val="30"/>
                <w:szCs w:val="30"/>
              </w:rPr>
              <w:t xml:space="preserve">BUKU UTAMA</w:t>
            </w:r>
          </w:p>
          <w:p>
            <w:pPr>
              <w:spacing w:after="500" w:before="300"/>
              <w:jc w:val="center"/>
            </w:pPr>
            <w:r>
              <w:rPr>
                <w:rFonts w:ascii="Calibri" w:cs="Calibri" w:eastAsia="Calibri" w:hAnsi="Calibri"/>
                <w:b/>
                <w:bCs/>
                <w:color w:val="FFFFFF"/>
                <w:sz w:val="56"/>
                <w:szCs w:val="56"/>
              </w:rPr>
              <w:t xml:space="preserve">Obstetri Ginekologi Sosial</w:t>
            </w:r>
          </w:p>
          <w:p>
            <w:pPr>
              <w:spacing w:after="100"/>
              <w:jc w:val="center"/>
            </w:pPr>
            <w:r>
              <w:rPr>
                <w:rFonts w:ascii="Calibri" w:cs="Calibri" w:eastAsia="Calibri" w:hAnsi="Calibri"/>
                <w:color w:val="F1DDE4"/>
                <w:sz w:val="26"/>
                <w:szCs w:val="26"/>
              </w:rPr>
              <w:t xml:space="preserve">Buku Ajar Komprehensif untuk Program Pendidikan Dokter Subspesialis</w:t>
            </w:r>
          </w:p>
          <w:p>
            <w:pPr>
              <w:spacing w:after="600"/>
              <w:jc w:val="center"/>
            </w:pPr>
            <w:r>
              <w:rPr>
                <w:rFonts w:ascii="Calibri" w:cs="Calibri" w:eastAsia="Calibri" w:hAnsi="Calibri"/>
                <w:color w:val="F1DDE4"/>
                <w:sz w:val="26"/>
                <w:szCs w:val="26"/>
              </w:rPr>
              <w:t xml:space="preserve">Obstetri dan Ginekologi Sosial</w:t>
            </w:r>
          </w:p>
          <w:p>
            <w:pPr>
              <w:spacing w:after="700"/>
              <w:jc w:val="center"/>
            </w:pPr>
            <w:r>
              <w:rPr>
                <w:rFonts w:ascii="Calibri" w:cs="Calibri" w:eastAsia="Calibri" w:hAnsi="Calibri"/>
                <w:b/>
                <w:bCs/>
                <w:i/>
                <w:iCs/>
                <w:color w:val="B08D57"/>
                <w:sz w:val="22"/>
                <w:szCs w:val="22"/>
              </w:rPr>
              <w:t xml:space="preserve">Buku Utama dari Seri 14 Buku</w:t>
            </w:r>
          </w:p>
          <w:p>
            <w:pPr>
              <w:spacing w:after="40"/>
              <w:jc w:val="center"/>
            </w:pPr>
            <w:r>
              <w:rPr>
                <w:rFonts w:ascii="Calibri" w:cs="Calibri" w:eastAsia="Calibri" w:hAnsi="Calibri"/>
                <w:b/>
                <w:bCs/>
                <w:color w:val="FFFFFF"/>
                <w:sz w:val="24"/>
                <w:szCs w:val="24"/>
              </w:rPr>
              <w:t xml:space="preserve">Dr.dr. Budi Siswanto, Sp.OG., Subsp.Obginsos., SH., S.Kom.</w:t>
            </w:r>
          </w:p>
          <w:p>
            <w:pPr>
              <w:spacing w:after="20" w:before="500"/>
              <w:jc w:val="center"/>
            </w:pPr>
            <w:r>
              <w:rPr>
                <w:rFonts w:ascii="Calibri" w:cs="Calibri" w:eastAsia="Calibri" w:hAnsi="Calibri"/>
                <w:color w:val="FFFFFF"/>
                <w:sz w:val="22"/>
                <w:szCs w:val="22"/>
              </w:rPr>
              <w:t xml:space="preserve">Perpustakaan ABBA</w:t>
            </w:r>
          </w:p>
          <w:p>
            <w:pPr>
              <w:spacing w:after="20"/>
              <w:jc w:val="center"/>
            </w:pPr>
            <w:r>
              <w:rPr>
                <w:rFonts w:ascii="Calibri" w:cs="Calibri" w:eastAsia="Calibri" w:hAnsi="Calibri"/>
                <w:color w:val="E8C9D3"/>
                <w:sz w:val="20"/>
                <w:szCs w:val="20"/>
              </w:rPr>
              <w:t xml:space="preserve">Jl Danau Kerinci No 9 Malang</w:t>
            </w:r>
          </w:p>
          <w:p>
            <w:pPr>
              <w:spacing w:after="20"/>
              <w:jc w:val="center"/>
            </w:pPr>
            <w:r>
              <w:rPr>
                <w:rFonts w:ascii="Calibri" w:cs="Calibri" w:eastAsia="Calibri" w:hAnsi="Calibri"/>
                <w:color w:val="E8C9D3"/>
                <w:sz w:val="20"/>
                <w:szCs w:val="20"/>
              </w:rPr>
              <w:t xml:space="preserve">2026</w:t>
            </w:r>
          </w:p>
          <w:p>
            <w:pPr>
              <w:spacing w:before="200"/>
              <w:jc w:val="center"/>
            </w:pPr>
            <w:r>
              <w:rPr>
                <w:rFonts w:ascii="Calibri" w:cs="Calibri" w:eastAsia="Calibri" w:hAnsi="Calibri"/>
                <w:i/>
                <w:iCs/>
                <w:color w:val="E8C9D3"/>
                <w:sz w:val="18"/>
                <w:szCs w:val="18"/>
              </w:rPr>
              <w:t xml:space="preserve">Disusun untuk Program Pendidikan Dokter Subspesialis Obstetri Ginekologi Sosial</w:t>
            </w:r>
          </w:p>
        </w:tc>
      </w:tr>
    </w:tbl>
    <w:p>
      <w:r>
        <w:br w:type="page"/>
      </w:r>
    </w:p>
    <w:p>
      <w:pPr>
        <w:pStyle w:val="Heading1"/>
        <w:pBdr>
          <w:bottom w:val="single" w:color="7A1F3D" w:sz="12" w:space="8"/>
        </w:pBdr>
        <w:spacing w:after="240" w:before="480"/>
      </w:pPr>
      <w:r>
        <w:rPr>
          <w:rFonts w:ascii="Calibri" w:cs="Calibri" w:eastAsia="Calibri" w:hAnsi="Calibri"/>
          <w:b/>
          <w:bCs/>
          <w:color w:val="7A1F3D"/>
          <w:sz w:val="34"/>
          <w:szCs w:val="34"/>
        </w:rPr>
        <w:t xml:space="preserve">Kata Pengantar</w:t>
      </w:r>
    </w:p>
    <w:p>
      <w:pPr>
        <w:spacing w:after="160" w:line="300"/>
        <w:jc w:val="both"/>
      </w:pPr>
      <w:r>
        <w:rPr>
          <w:rFonts w:ascii="Calibri" w:cs="Calibri" w:eastAsia="Calibri" w:hAnsi="Calibri"/>
          <w:color w:val="333333"/>
          <w:sz w:val="22"/>
          <w:szCs w:val="22"/>
        </w:rPr>
        <w:t xml:space="preserve">Buku ini disusun sebagai peta besar (big picture) bagi peserta Program Pendidikan Dokter Subspesialis Obstetri Ginekologi Sosial, sebuah subspesialisasi yang relatif baru dalam lanskap pendidikan kedokteran spesialistik di Indonesia namun menjawab kebutuhan nyata yang telah lama dirasakan: kebutuhan akan dokter yang mampu memandang kesehatan reproduksi perempuan tidak semata sebagai persoalan organ dan prosedur, melainkan sebagai persoalan manusia utuh yang hidup dalam keluarga, komunitas, dan sistem sosial tertentu.</w:t>
      </w:r>
    </w:p>
    <w:p>
      <w:pPr>
        <w:spacing w:after="160" w:line="300"/>
        <w:jc w:val="both"/>
      </w:pPr>
      <w:r>
        <w:rPr>
          <w:rFonts w:ascii="Calibri" w:cs="Calibri" w:eastAsia="Calibri" w:hAnsi="Calibri"/>
          <w:color w:val="333333"/>
          <w:sz w:val="22"/>
          <w:szCs w:val="22"/>
        </w:rPr>
        <w:t xml:space="preserve">Sebagai Buku Utama dari rangkaian empat belas buku ajar dalam seri ini, buku ini berfungsi memetakan keseluruhan bidang keahlian, merangkum inti setiap buku tematik, serta membahas tiga bab yang bersifat lintas-bidang: pendekatan biopsikososial, etika-profesionalisme, dan integrasi kompetensi melalui studi kasus multidisiplin. Setiap bab ringkasan dalam buku ini secara sengaja tidak mengulang kedalaman pembahasan buku tematik terkait; pembaca yang memerlukan penjelasan rinci suatu topik dipersilakan merujuk langsung ke buku tematik yang relevan.</w:t>
      </w:r>
    </w:p>
    <w:p>
      <w:pPr>
        <w:spacing w:after="160" w:line="300"/>
        <w:jc w:val="both"/>
      </w:pPr>
      <w:r>
        <w:rPr>
          <w:rFonts w:ascii="Calibri" w:cs="Calibri" w:eastAsia="Calibri" w:hAnsi="Calibri"/>
          <w:color w:val="333333"/>
          <w:sz w:val="22"/>
          <w:szCs w:val="22"/>
        </w:rPr>
        <w:t xml:space="preserve">Seluruh isi buku ini disusun berlandaskan Keputusan Ketua Konsil Kesehatan Indonesia Nomor HK.01.02/KKI/1318/2026 tentang Standar Kompetensi Dokter Spesialis dan Subspesialis Bidang Obstetri dan Ginekologi, dipadukan dengan standar internasional yang berlaku serta kerangka hukum nasional yang relevan. Semoga buku ini bermanfaat bagi peserta didik, dosen pembimbing, dan penguji dalam mengarungi perjalanan pendidikan subspesialis yang menuntut sekaligus bermakna ini.</w:t>
      </w:r>
    </w:p>
    <w:p>
      <w:pPr>
        <w:spacing w:after="160" w:line="300"/>
        <w:jc w:val="both"/>
      </w:pPr>
      <w:r>
        <w:rPr>
          <w:rFonts w:ascii="Calibri" w:cs="Calibri" w:eastAsia="Calibri" w:hAnsi="Calibri"/>
          <w:color w:val="333333"/>
          <w:sz w:val="22"/>
          <w:szCs w:val="22"/>
        </w:rPr>
        <w:t xml:space="preserve">Malang, 2026
Dr.dr. Budi Siswanto, Sp.OG., Subsp.Obginsos., SH., S.Kom.</w:t>
      </w:r>
    </w:p>
    <w:p>
      <w:r>
        <w:br w:type="page"/>
      </w:r>
    </w:p>
    <w:p>
      <w:pPr>
        <w:pStyle w:val="Heading1"/>
        <w:pBdr>
          <w:bottom w:val="single" w:color="7A1F3D" w:sz="12" w:space="8"/>
        </w:pBdr>
        <w:spacing w:after="240" w:before="480"/>
      </w:pPr>
      <w:r>
        <w:rPr>
          <w:rFonts w:ascii="Calibri" w:cs="Calibri" w:eastAsia="Calibri" w:hAnsi="Calibri"/>
          <w:b/>
          <w:bCs/>
          <w:color w:val="7A1F3D"/>
          <w:sz w:val="34"/>
          <w:szCs w:val="34"/>
        </w:rPr>
        <w:t xml:space="preserve">Daftar Isi</w:t>
      </w:r>
    </w:p>
    <w:p>
      <w:pPr>
        <w:spacing w:after="200"/>
      </w:pPr>
      <w:r>
        <w:rPr>
          <w:rFonts w:ascii="Calibri" w:cs="Calibri" w:eastAsia="Calibri" w:hAnsi="Calibri"/>
          <w:i/>
          <w:iCs/>
          <w:color w:val="555555"/>
          <w:sz w:val="20"/>
          <w:szCs w:val="20"/>
        </w:rPr>
        <w:t xml:space="preserve">(Daftar isi otomatis akan diperbarui saat dokumen dibuka — klik kanan pada area ini di Microsoft Word, pilih "Update Field", lalu "Update entire table".)</w:t>
      </w:r>
    </w:p>
    <w:sdt>
      <w:sdtPr>
        <w:alias w:val="Daftar Isi"/>
      </w:sdtPr>
      <w:sdtContent>
        <w:p>
          <w:r>
            <w:fldChar w:fldCharType="begin" w:dirty="true"/>
            <w:instrText xml:space="preserve">TOC \h \o "1-2"</w:instrText>
            <w:fldChar w:fldCharType="separate"/>
          </w:r>
        </w:p>
        <w:p>
          <w:r>
            <w:fldChar w:fldCharType="end"/>
          </w:r>
        </w:p>
      </w:sdtContent>
    </w:sdt>
    <w:p>
      <w:r>
        <w:br w:type="page"/>
      </w:r>
    </w:p>
    <w:p>
      <w:pPr>
        <w:pStyle w:val="Heading1"/>
        <w:pBdr>
          <w:bottom w:val="single" w:color="7A1F3D" w:sz="12" w:space="8"/>
        </w:pBdr>
        <w:spacing w:after="240" w:before="480"/>
      </w:pPr>
      <w:r>
        <w:rPr>
          <w:rFonts w:ascii="Calibri" w:cs="Calibri" w:eastAsia="Calibri" w:hAnsi="Calibri"/>
          <w:b/>
          <w:bCs/>
          <w:color w:val="7A1F3D"/>
          <w:sz w:val="34"/>
          <w:szCs w:val="34"/>
        </w:rPr>
        <w:t xml:space="preserve">Daftar Singkatan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rPr>
          <w:tblHeader/>
        </w:trPr>
        <w:tc>
          <w:tcPr>
            <w:tcW w:type="dxa" w:w="2200"/>
            <w:shd w:fill="7A1F3D"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Singkatan</w:t>
            </w:r>
          </w:p>
        </w:tc>
        <w:tc>
          <w:tcPr>
            <w:tcW w:type="dxa" w:w="7160"/>
            <w:shd w:fill="7A1F3D"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Kepanjangan</w:t>
            </w:r>
          </w:p>
        </w:tc>
      </w:tr>
      <w:tr>
        <w:tc>
          <w:tcPr>
            <w:tcW w:type="dxa" w:w="22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ACOG</w:t>
            </w:r>
          </w:p>
        </w:tc>
        <w:tc>
          <w:tcPr>
            <w:tcW w:type="dxa" w:w="71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American College of Obstetricians and Gynecologists</w:t>
            </w:r>
          </w:p>
        </w:tc>
      </w:tr>
      <w:tr>
        <w:tc>
          <w:tcPr>
            <w:tcW w:type="dxa" w:w="22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DP3A</w:t>
            </w:r>
          </w:p>
        </w:tc>
        <w:tc>
          <w:tcPr>
            <w:tcW w:type="dxa" w:w="71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Dinas Pemberdayaan Perempuan dan Perlindungan Anak</w:t>
            </w:r>
          </w:p>
        </w:tc>
      </w:tr>
      <w:tr>
        <w:tc>
          <w:tcPr>
            <w:tcW w:type="dxa" w:w="22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FIGO</w:t>
            </w:r>
          </w:p>
        </w:tc>
        <w:tc>
          <w:tcPr>
            <w:tcW w:type="dxa" w:w="71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International Federation of Gynecology and Obstetrics</w:t>
            </w:r>
          </w:p>
        </w:tc>
      </w:tr>
      <w:tr>
        <w:tc>
          <w:tcPr>
            <w:tcW w:type="dxa" w:w="22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HRT</w:t>
            </w:r>
          </w:p>
        </w:tc>
        <w:tc>
          <w:tcPr>
            <w:tcW w:type="dxa" w:w="71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Hormone Replacement Therapy (Terapi Hormon Pengganti)</w:t>
            </w:r>
          </w:p>
        </w:tc>
      </w:tr>
      <w:tr>
        <w:tc>
          <w:tcPr>
            <w:tcW w:type="dxa" w:w="22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IMS</w:t>
            </w:r>
          </w:p>
        </w:tc>
        <w:tc>
          <w:tcPr>
            <w:tcW w:type="dxa" w:w="71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Infeksi Menular Seksual</w:t>
            </w:r>
          </w:p>
        </w:tc>
      </w:tr>
      <w:tr>
        <w:tc>
          <w:tcPr>
            <w:tcW w:type="dxa" w:w="22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IMT</w:t>
            </w:r>
          </w:p>
        </w:tc>
        <w:tc>
          <w:tcPr>
            <w:tcW w:type="dxa" w:w="71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Indeks Massa Tubuh</w:t>
            </w:r>
          </w:p>
        </w:tc>
      </w:tr>
      <w:tr>
        <w:tc>
          <w:tcPr>
            <w:tcW w:type="dxa" w:w="22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KDRT</w:t>
            </w:r>
          </w:p>
        </w:tc>
        <w:tc>
          <w:tcPr>
            <w:tcW w:type="dxa" w:w="71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Kekerasan Dalam Rumah Tangga</w:t>
            </w:r>
          </w:p>
        </w:tc>
      </w:tr>
      <w:tr>
        <w:tc>
          <w:tcPr>
            <w:tcW w:type="dxa" w:w="22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Kepkonsil</w:t>
            </w:r>
          </w:p>
        </w:tc>
        <w:tc>
          <w:tcPr>
            <w:tcW w:type="dxa" w:w="71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Keputusan Ketua Konsil Kesehatan Indonesia</w:t>
            </w:r>
          </w:p>
        </w:tc>
      </w:tr>
      <w:tr>
        <w:tc>
          <w:tcPr>
            <w:tcW w:type="dxa" w:w="22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KIE</w:t>
            </w:r>
          </w:p>
        </w:tc>
        <w:tc>
          <w:tcPr>
            <w:tcW w:type="dxa" w:w="71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Komunikasi, Informasi, dan Edukasi</w:t>
            </w:r>
          </w:p>
        </w:tc>
      </w:tr>
      <w:tr>
        <w:tc>
          <w:tcPr>
            <w:tcW w:type="dxa" w:w="22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KKI</w:t>
            </w:r>
          </w:p>
        </w:tc>
        <w:tc>
          <w:tcPr>
            <w:tcW w:type="dxa" w:w="71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Konsil Kesehatan Indonesia</w:t>
            </w:r>
          </w:p>
        </w:tc>
      </w:tr>
      <w:tr>
        <w:tc>
          <w:tcPr>
            <w:tcW w:type="dxa" w:w="22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KTD</w:t>
            </w:r>
          </w:p>
        </w:tc>
        <w:tc>
          <w:tcPr>
            <w:tcW w:type="dxa" w:w="71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Kehamilan Tidak Diinginkan</w:t>
            </w:r>
          </w:p>
        </w:tc>
      </w:tr>
      <w:tr>
        <w:tc>
          <w:tcPr>
            <w:tcW w:type="dxa" w:w="22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LARC</w:t>
            </w:r>
          </w:p>
        </w:tc>
        <w:tc>
          <w:tcPr>
            <w:tcW w:type="dxa" w:w="71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Long-Acting Reversible Contraception</w:t>
            </w:r>
          </w:p>
        </w:tc>
      </w:tr>
      <w:tr>
        <w:tc>
          <w:tcPr>
            <w:tcW w:type="dxa" w:w="22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LILA</w:t>
            </w:r>
          </w:p>
        </w:tc>
        <w:tc>
          <w:tcPr>
            <w:tcW w:type="dxa" w:w="71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Lingkar Lengan Atas</w:t>
            </w:r>
          </w:p>
        </w:tc>
      </w:tr>
      <w:tr>
        <w:tc>
          <w:tcPr>
            <w:tcW w:type="dxa" w:w="22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MISP</w:t>
            </w:r>
          </w:p>
        </w:tc>
        <w:tc>
          <w:tcPr>
            <w:tcW w:type="dxa" w:w="71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Minimum Initial Service Package</w:t>
            </w:r>
          </w:p>
        </w:tc>
      </w:tr>
      <w:tr>
        <w:tc>
          <w:tcPr>
            <w:tcW w:type="dxa" w:w="22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Obginsos</w:t>
            </w:r>
          </w:p>
        </w:tc>
        <w:tc>
          <w:tcPr>
            <w:tcW w:type="dxa" w:w="71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Obstetri Ginekologi Sosial</w:t>
            </w:r>
          </w:p>
        </w:tc>
      </w:tr>
      <w:tr>
        <w:tc>
          <w:tcPr>
            <w:tcW w:type="dxa" w:w="22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PKDRT</w:t>
            </w:r>
          </w:p>
        </w:tc>
        <w:tc>
          <w:tcPr>
            <w:tcW w:type="dxa" w:w="71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Penghapusan Kekerasan Dalam Rumah Tangga</w:t>
            </w:r>
          </w:p>
        </w:tc>
      </w:tr>
      <w:tr>
        <w:tc>
          <w:tcPr>
            <w:tcW w:type="dxa" w:w="22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POGI</w:t>
            </w:r>
          </w:p>
        </w:tc>
        <w:tc>
          <w:tcPr>
            <w:tcW w:type="dxa" w:w="71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Perkumpulan Obstetri dan Ginekologi Indonesia</w:t>
            </w:r>
          </w:p>
        </w:tc>
      </w:tr>
      <w:tr>
        <w:tc>
          <w:tcPr>
            <w:tcW w:type="dxa" w:w="22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PPK</w:t>
            </w:r>
          </w:p>
        </w:tc>
        <w:tc>
          <w:tcPr>
            <w:tcW w:type="dxa" w:w="71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Panduan Praktik Klinis</w:t>
            </w:r>
          </w:p>
        </w:tc>
      </w:tr>
      <w:tr>
        <w:tc>
          <w:tcPr>
            <w:tcW w:type="dxa" w:w="22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TPKS</w:t>
            </w:r>
          </w:p>
        </w:tc>
        <w:tc>
          <w:tcPr>
            <w:tcW w:type="dxa" w:w="71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Tindak Pidana Kekerasan Seksual</w:t>
            </w:r>
          </w:p>
        </w:tc>
      </w:tr>
      <w:tr>
        <w:tc>
          <w:tcPr>
            <w:tcW w:type="dxa" w:w="22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WHO</w:t>
            </w:r>
          </w:p>
        </w:tc>
        <w:tc>
          <w:tcPr>
            <w:tcW w:type="dxa" w:w="71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World Health Organization</w:t>
            </w:r>
          </w:p>
        </w:tc>
      </w:tr>
    </w:tbl>
    <w:p>
      <w:r>
        <w:br w:type="page"/>
      </w:r>
    </w:p>
    <w:p>
      <w:pPr>
        <w:pStyle w:val="Heading1"/>
        <w:pBdr>
          <w:bottom w:val="single" w:color="7A1F3D" w:sz="12" w:space="8"/>
        </w:pBdr>
        <w:spacing w:after="240" w:before="480"/>
      </w:pPr>
      <w:r>
        <w:rPr>
          <w:rFonts w:ascii="Calibri" w:cs="Calibri" w:eastAsia="Calibri" w:hAnsi="Calibri"/>
          <w:b/>
          <w:bCs/>
          <w:color w:val="7A1F3D"/>
          <w:sz w:val="34"/>
          <w:szCs w:val="34"/>
        </w:rPr>
        <w:t xml:space="preserve">Bab 1. Pendahuluan dan Filosofi Obstetri Ginekologi Sosial</w:t>
      </w:r>
    </w:p>
    <w:tbl>
      <w:tblPr>
        <w:tblW w:type="dxa" w:w="9360"/>
        <w:tblBorders>
          <w:top w:val="single" w:color="7A1F3D" w:sz="6"/>
          <w:left w:val="single" w:color="7A1F3D" w:sz="24"/>
          <w:bottom w:val="single" w:color="7A1F3D" w:sz="6"/>
          <w:right w:val="single" w:color="7A1F3D" w:sz="6"/>
          <w:insideH w:val="none" w:color="F3E3E9" w:sz="0"/>
          <w:insideV w:val="none" w:color="F3E3E9" w:sz="0"/>
        </w:tblBorders>
      </w:tblPr>
      <w:tblGrid>
        <w:gridCol w:w="9360"/>
      </w:tblGrid>
      <w:tr>
        <w:tc>
          <w:tcPr>
            <w:tcW w:type="dxa" w:w="9360"/>
            <w:shd w:fill="F3E3E9" w:val="clear"/>
            <w:tcMar>
              <w:top w:type="dxa" w:w="160"/>
              <w:left w:type="dxa" w:w="220"/>
              <w:bottom w:type="dxa" w:w="160"/>
              <w:right w:type="dxa" w:w="220"/>
            </w:tcMar>
          </w:tcPr>
          <w:p>
            <w:pPr>
              <w:spacing w:after="120"/>
            </w:pPr>
            <w:r>
              <w:rPr>
                <w:rFonts w:ascii="Calibri" w:cs="Calibri" w:eastAsia="Calibri" w:hAnsi="Calibri"/>
                <w:b/>
                <w:bCs/>
                <w:color w:val="7A1F3D"/>
                <w:sz w:val="23"/>
                <w:szCs w:val="23"/>
              </w:rPr>
              <w:t xml:space="preserve">🎯 Tujuan Pembelajaran Bab</w:t>
            </w:r>
          </w:p>
          <w:p>
            <w:pPr>
              <w:pStyle w:val="ListParagraph"/>
              <w:numPr>
                <w:ilvl w:val="0"/>
                <w:numId w:val="2"/>
              </w:numPr>
              <w:spacing w:after="60"/>
            </w:pPr>
            <w:r>
              <w:rPr>
                <w:rFonts w:ascii="Calibri" w:cs="Calibri" w:eastAsia="Calibri" w:hAnsi="Calibri"/>
                <w:color w:val="3A3A3A"/>
                <w:sz w:val="21"/>
                <w:szCs w:val="21"/>
              </w:rPr>
              <w:t xml:space="preserve">Menjelaskan definisi, ruang lingkup, dan kedudukan Obstetri Ginekologi Sosial sebagai subspesialisasi dalam sistem pendidikan dokter subspesialis di Indonesia.</w:t>
            </w:r>
          </w:p>
          <w:p>
            <w:pPr>
              <w:pStyle w:val="ListParagraph"/>
              <w:numPr>
                <w:ilvl w:val="0"/>
                <w:numId w:val="2"/>
              </w:numPr>
              <w:spacing w:after="60"/>
            </w:pPr>
            <w:r>
              <w:rPr>
                <w:rFonts w:ascii="Calibri" w:cs="Calibri" w:eastAsia="Calibri" w:hAnsi="Calibri"/>
                <w:color w:val="3A3A3A"/>
                <w:sz w:val="21"/>
                <w:szCs w:val="21"/>
              </w:rPr>
              <w:t xml:space="preserve">Menguraikan determinan sosial kesehatan reproduksi perempuan dan relevansinya terhadap luaran obstetri-ginekologi.</w:t>
            </w:r>
          </w:p>
          <w:p>
            <w:pPr>
              <w:pStyle w:val="ListParagraph"/>
              <w:numPr>
                <w:ilvl w:val="0"/>
                <w:numId w:val="2"/>
              </w:numPr>
              <w:spacing w:after="60"/>
            </w:pPr>
            <w:r>
              <w:rPr>
                <w:rFonts w:ascii="Calibri" w:cs="Calibri" w:eastAsia="Calibri" w:hAnsi="Calibri"/>
                <w:color w:val="3A3A3A"/>
                <w:sz w:val="21"/>
                <w:szCs w:val="21"/>
              </w:rPr>
              <w:t xml:space="preserve">Mengidentifikasi landasan regulasi nasional yang membentuk kompetensi dan kewenangan klinis Konsultan Obstetri Ginekologi Sosial.</w:t>
            </w:r>
          </w:p>
          <w:p>
            <w:pPr>
              <w:pStyle w:val="ListParagraph"/>
              <w:numPr>
                <w:ilvl w:val="0"/>
                <w:numId w:val="2"/>
              </w:numPr>
              <w:spacing w:after="60"/>
            </w:pPr>
            <w:r>
              <w:rPr>
                <w:rFonts w:ascii="Calibri" w:cs="Calibri" w:eastAsia="Calibri" w:hAnsi="Calibri"/>
                <w:color w:val="3A3A3A"/>
                <w:sz w:val="21"/>
                <w:szCs w:val="21"/>
              </w:rPr>
              <w:t xml:space="preserve">Memetakan hubungan Buku Utama terhadap 13 buku tematik, dokumen Panduan Praktik Klinis (PPK) rumah sakit, dan pedoman program berbasis masyarakat.</w:t>
            </w:r>
          </w:p>
        </w:tc>
      </w:tr>
    </w:tbl>
    <w:p>
      <w:pPr>
        <w:spacing w:after="200"/>
      </w:pPr>
    </w:p>
    <w:p>
      <w:pPr>
        <w:pStyle w:val="Heading2"/>
        <w:spacing w:after="160" w:before="320"/>
      </w:pPr>
      <w:r>
        <w:rPr>
          <w:rFonts w:ascii="Calibri" w:cs="Calibri" w:eastAsia="Calibri" w:hAnsi="Calibri"/>
          <w:b/>
          <w:bCs/>
          <w:color w:val="7A1F3D"/>
          <w:sz w:val="26"/>
          <w:szCs w:val="26"/>
        </w:rPr>
        <w:t xml:space="preserve">1.1 Definisi dan Ruang Lingkup Subspesialis Obstetri Ginekologi Sosial</w:t>
      </w:r>
    </w:p>
    <w:p>
      <w:pPr>
        <w:spacing w:after="160" w:line="300"/>
        <w:jc w:val="both"/>
      </w:pPr>
      <w:r>
        <w:rPr>
          <w:rFonts w:ascii="Calibri" w:cs="Calibri" w:eastAsia="Calibri" w:hAnsi="Calibri"/>
          <w:color w:val="333333"/>
          <w:sz w:val="22"/>
          <w:szCs w:val="22"/>
        </w:rPr>
        <w:t xml:space="preserve">Obstetri Ginekologi Sosial adalah cabang subspesialisasi Obstetri dan Ginekologi yang memusatkan perhatian pada pencegahan komplikasi obstetri-ginekologi berkompleksitas sangat tinggi, refrakter, atau jarang dijumpai, melalui intervensi pada determinan sosial kesehatan serta promosi kesejahteraan reproduksi perempuan secara komprehensif dan berbasis bukti. Berbeda dengan subspesialisasi Obstetri dan Ginekologi lain yang umumnya berorientasi pada organ atau prosedur (mis. Fetomaternal, Onkologi Ginekologi, Uroginekologi Rekonstruksi), Obstetri Ginekologi Sosial berorientasi pada interaksi antara individu, keluarga, dan sistem sosial-komunitas tempat perempuan tersebut hidup, tanpa meninggalkan penguasaan klinis-prosedural yang menjadi ciri seorang dokter subspesialis.</w:t>
      </w:r>
    </w:p>
    <w:p>
      <w:pPr>
        <w:spacing w:after="160" w:line="300"/>
        <w:jc w:val="both"/>
      </w:pPr>
      <w:r>
        <w:rPr>
          <w:rFonts w:ascii="Calibri" w:cs="Calibri" w:eastAsia="Calibri" w:hAnsi="Calibri"/>
          <w:color w:val="333333"/>
          <w:sz w:val="22"/>
          <w:szCs w:val="22"/>
        </w:rPr>
        <w:t xml:space="preserve">Menurut Keputusan Ketua Konsil Kesehatan Indonesia Nomor HK.01.02/KKI/1318/2026 tentang Standar Kompetensi Dokter Spesialis dan Subspesialis Bidang Obstetri dan Ginekologi, Dokter Spesialis Obstetri dan Ginekologi Subspesialis Obstetri Ginekologi Sosial, atau Dokter Spesialis Obstetri dan Ginekologi Konsultan Obstetri Ginekologi Sosial, didefinisikan sebagai dokter spesialis Obstetri dan Ginekologi dengan kualifikasi lanjutan yang memiliki kompetensi spesifik terukur untuk secara mandiri dan bertanggung jawab memberikan pelayanan kesehatan reproduksi perempuan berbasis keluarga dan komunitas. Fokus utamanya adalah pencegahan komplikasi obstetri-ginekologi dengan kompleksitas sangat tinggi, refrakter, atau jarang, melalui penanganan determinan sosial kesehatan dan promosi kesejahteraan reproduksi perempuan, yang dijalankan secara komprehensif, berbasis bukti ilmiah, dengan efektivitas, keamanan, dan rasionalitas terapi yang terjamin dalam kerangka promotif, preventif, kuratif, dan rehabilitatif, serta tata kelola pelayanan yang bermutu dan mengutamakan keselamatan pasien (patient safety).</w:t>
      </w:r>
    </w:p>
    <w:p>
      <w:pPr>
        <w:spacing w:after="160" w:line="300"/>
        <w:jc w:val="both"/>
      </w:pPr>
      <w:r>
        <w:rPr>
          <w:rFonts w:ascii="Calibri" w:cs="Calibri" w:eastAsia="Calibri" w:hAnsi="Calibri"/>
          <w:color w:val="333333"/>
          <w:sz w:val="22"/>
          <w:szCs w:val="22"/>
        </w:rPr>
        <w:t xml:space="preserve">Ruang lingkup praktik subspesialis ini mencakup tiga domain besar yang saling terkait. Domain pertama adalah domain klinis biopsikososial, yaitu penatalaksanaan langsung pasien dengan masalah obstetri-ginekologi yang memiliki komponen sosial dominan — kehamilan remaja, kehamilan tidak diinginkan, kekerasan berbasis gender, gangguan mental perinatal, dan kontrasepsi pada kondisi komorbid kompleks. Domain kedua adalah domain manajerial dan tata kelola mutu, mencakup kepemimpinan dalam audit maternal-perinatal, sistem rujukan, dan keselamatan pasien di tingkat rumah sakit. Domain ketiga adalah domain program dan populasi berbasis masyarakat, yang menuntut kemampuan merancang, melaksanakan, dan mengevaluasi program kesehatan reproduksi pada tingkat populasi, termasuk dalam situasi krisis kemanusiaan. Ketiga domain ini akan dibahas secara rinci pada Bab 2.</w:t>
      </w:r>
    </w:p>
    <w:p>
      <w:pPr>
        <w:pStyle w:val="Heading2"/>
        <w:spacing w:after="160" w:before="320"/>
      </w:pPr>
      <w:r>
        <w:rPr>
          <w:rFonts w:ascii="Calibri" w:cs="Calibri" w:eastAsia="Calibri" w:hAnsi="Calibri"/>
          <w:b/>
          <w:bCs/>
          <w:color w:val="7A1F3D"/>
          <w:sz w:val="26"/>
          <w:szCs w:val="26"/>
        </w:rPr>
        <w:t xml:space="preserve">1.2 Determinan Sosial Kesehatan Reproduksi Perempuan</w:t>
      </w:r>
    </w:p>
    <w:p>
      <w:pPr>
        <w:spacing w:after="160" w:line="300"/>
        <w:jc w:val="both"/>
      </w:pPr>
      <w:r>
        <w:rPr>
          <w:rFonts w:ascii="Calibri" w:cs="Calibri" w:eastAsia="Calibri" w:hAnsi="Calibri"/>
          <w:color w:val="333333"/>
          <w:sz w:val="22"/>
          <w:szCs w:val="22"/>
        </w:rPr>
        <w:t xml:space="preserve">Determinan sosial kesehatan (social determinants of health) merujuk pada kondisi tempat seseorang lahir, tumbuh, hidup, bekerja, dan menua, yang dibentuk oleh distribusi uang, kekuasaan, dan sumber daya di tingkat global, nasional, dan lokal. Dalam konteks kesehatan reproduksi perempuan, determinan ini mencakup tingkat pendidikan, status ekonomi keluarga, akses terhadap fasilitas kesehatan, norma gender dan budaya, paparan kekerasan, serta kebijakan hukum yang berlaku. Bukti epidemiologis internasional maupun nasional secara konsisten menunjukkan bahwa kematian dan kesakitan ibu tidak terjadi secara acak, melainkan terkonsentrasi pada kelompok perempuan dengan kerentanan sosial berlapis: kemiskinan, keterbatasan pendidikan, tempat tinggal jauh dari fasilitas rujukan, dan posisi tawar yang lemah dalam pengambilan keputusan rumah tangga.</w:t>
      </w:r>
    </w:p>
    <w:p>
      <w:pPr>
        <w:spacing w:after="160" w:line="300"/>
        <w:jc w:val="both"/>
      </w:pPr>
      <w:r>
        <w:rPr>
          <w:rFonts w:ascii="Calibri" w:cs="Calibri" w:eastAsia="Calibri" w:hAnsi="Calibri"/>
          <w:color w:val="333333"/>
          <w:sz w:val="22"/>
          <w:szCs w:val="22"/>
        </w:rPr>
        <w:t xml:space="preserve">Determinan sosial bekerja melalui beberapa jalur yang dapat diidentifikasi secara klinis. Jalur pertama adalah keterlambatan (model "tiga terlambat" dari WHO): terlambat memutuskan mencari pertolongan, terlambat mencapai fasilitas kesehatan, dan terlambat mendapat penanganan adekuat setibanya di fasilitas. Ketiga keterlambatan ini masing-masing berakar pada faktor sosial — pengambilan keputusan yang dikuasai pihak lain dalam keluarga, keterbatasan transportasi dan biaya, serta ketimpangan kualitas layanan antarwilayah. Jalur kedua adalah akumulasi risiko biopsikososial sepanjang siklus hidup reproduksi, misalnya perempuan dengan riwayat kekerasan pada masa kanak berisiko lebih tinggi mengalami kehamilan remaja, gangguan mental perinatal, dan pola reproduksi yang tidak direncanakan pada masa dewasa. Jalur ketiga adalah interaksi determinan sosial dengan sistem layanan kesehatan itu sendiri, termasuk stigma tenaga kesehatan terhadap pasien dengan kondisi tertentu (misalnya korban kekerasan seksual atau pasien dengan kehamilan tidak diinginkan) yang dapat memperburuk luaran klinis.</w:t>
      </w:r>
    </w:p>
    <w:p>
      <w:pPr>
        <w:spacing w:after="160" w:line="300"/>
        <w:jc w:val="both"/>
      </w:pPr>
      <w:r>
        <w:rPr>
          <w:rFonts w:ascii="Calibri" w:cs="Calibri" w:eastAsia="Calibri" w:hAnsi="Calibri"/>
          <w:color w:val="333333"/>
          <w:sz w:val="22"/>
          <w:szCs w:val="22"/>
        </w:rPr>
        <w:t xml:space="preserve">Bagi dokter Konsultan Obstetri Ginekologi Sosial, pemahaman ini bukan sekadar wawasan sosiologis, melainkan dasar bagi keputusan klinis sehari-hari: menentukan kapan skrining psikososial perlu diperdalam, kapan rujukan multidisiplin harus segera dilakukan, dan bagaimana merancang intervensi yang realistis dengan mempertimbangkan keterbatasan sumber daya pasien, bukan hanya keterbatasan biomedis semata.</w:t>
      </w:r>
    </w:p>
    <w:p>
      <w:pPr>
        <w:pStyle w:val="Heading2"/>
        <w:spacing w:after="160" w:before="320"/>
      </w:pPr>
      <w:r>
        <w:rPr>
          <w:rFonts w:ascii="Calibri" w:cs="Calibri" w:eastAsia="Calibri" w:hAnsi="Calibri"/>
          <w:b/>
          <w:bCs/>
          <w:color w:val="7A1F3D"/>
          <w:sz w:val="26"/>
          <w:szCs w:val="26"/>
        </w:rPr>
        <w:t xml:space="preserve">1.3 Landasan Regulasi Nasional</w:t>
      </w:r>
    </w:p>
    <w:p>
      <w:pPr>
        <w:spacing w:after="160" w:line="300"/>
        <w:jc w:val="both"/>
      </w:pPr>
      <w:r>
        <w:rPr>
          <w:rFonts w:ascii="Calibri" w:cs="Calibri" w:eastAsia="Calibri" w:hAnsi="Calibri"/>
          <w:color w:val="333333"/>
          <w:sz w:val="22"/>
          <w:szCs w:val="22"/>
        </w:rPr>
        <w:t xml:space="preserve">Praktik Obstetri Ginekologi Sosial di Indonesia dibingkai oleh beberapa landasan regulasi yang saling melengkapi. Landasan tertinggi bagi kompetensi klinis adalah Keputusan Ketua Konsil Kesehatan Indonesia Nomor HK.01.02/KKI/1318/2026, yang menetapkan secara rinci kompetensi penatalaksanaan klinis (Tabel 19) dan kompetensi prosedur klinis (Tabel 25) yang wajib dikuasai lulusan program subspesialis ini, lengkap dengan kriteria kinerja minimal dan volume prosedur minimal yang harus dipenuhi selama pendidikan. Keputusan ini menjadi acuan tunggal yang mengikat seluruh dokumen turunan dalam seri buku ajar ini.</w:t>
      </w:r>
    </w:p>
    <w:p>
      <w:pPr>
        <w:spacing w:after="160" w:line="300"/>
        <w:jc w:val="both"/>
      </w:pPr>
      <w:r>
        <w:rPr>
          <w:rFonts w:ascii="Calibri" w:cs="Calibri" w:eastAsia="Calibri" w:hAnsi="Calibri"/>
          <w:color w:val="333333"/>
          <w:sz w:val="22"/>
          <w:szCs w:val="22"/>
        </w:rPr>
        <w:t xml:space="preserve">Di atas kerangka kompetensi tersebut, terdapat payung hukum sistem kesehatan nasional, yaitu Undang-Undang Nomor 17 Tahun 2023 tentang Kesehatan beserta Peraturan Pemerintah Nomor 28 Tahun 2024 sebagai peraturan pelaksananya, yang antara lain mengatur penyelenggaraan pelayanan kesehatan reproduksi, upaya kesehatan ibu dan anak, serta perlindungan terhadap kelompok rentan. Dua undang-undang lain memiliki relevansi khusus bagi domain sosial subspesialisasi ini: Undang-Undang Nomor 12 Tahun 2022 tentang Tindak Pidana Kekerasan Seksual (UU TPKS), yang mengatur penanganan, pelindungan, dan pemulihan korban kekerasan seksual termasuk peran tenaga kesehatan dalam visum dan pendampingan; serta Undang-Undang Nomor 23 Tahun 2004 tentang Penghapusan Kekerasan Dalam Rumah Tangga (UU PKDRT), yang menjadi dasar hukum bagi kewajiban tenaga kesehatan mendokumentasikan dan merujuk korban KDRT.</w:t>
      </w:r>
    </w:p>
    <w:p>
      <w:pPr>
        <w:spacing w:after="160" w:line="300"/>
        <w:jc w:val="both"/>
      </w:pPr>
      <w:r>
        <w:rPr>
          <w:rFonts w:ascii="Calibri" w:cs="Calibri" w:eastAsia="Calibri" w:hAnsi="Calibri"/>
          <w:color w:val="333333"/>
          <w:sz w:val="22"/>
          <w:szCs w:val="22"/>
        </w:rPr>
        <w:t xml:space="preserve">Pada tataran organisasi profesi, Perkumpulan Obstetri dan Ginekologi Indonesia (POGI) beserta Kolegium Obstetri dan Ginekologi Indonesia menetapkan kurikulum inti Program Pendidikan Dokter Subspesialis Obstetri Ginekologi Sosial, yang menjabarkan kompetensi Kepkonsil ke dalam modul pembelajaran, sementara pedoman teknis Kementerian Kesehatan (misalnya pedoman pelayanan kesehatan reproduksi terpadu) memberikan panduan operasional di tingkat fasilitas pelayanan primer dan rujukan. Ketika standar internasional (WHO, FIGO, ACOG) berbeda dengan kerangka hukum atau kondisi layanan Indonesia — situasi yang paling sering muncul pada topik terminasi kehamilan dan kontrasepsi darurat pascaperkosaan — buku ini secara konsisten menyajikan kedua sisi secara eksplisit disertai catatan penerapan praktis dan batasan hukum yang berlaku, sebagaimana akan tampak pada kotak "Perbedaan Standar Internasional vs Konteks Indonesia" di berbagai bab.</w:t>
      </w:r>
    </w:p>
    <w:p>
      <w:pPr>
        <w:pStyle w:val="Heading2"/>
        <w:spacing w:after="160" w:before="320"/>
      </w:pPr>
      <w:r>
        <w:rPr>
          <w:rFonts w:ascii="Calibri" w:cs="Calibri" w:eastAsia="Calibri" w:hAnsi="Calibri"/>
          <w:b/>
          <w:bCs/>
          <w:color w:val="7A1F3D"/>
          <w:sz w:val="26"/>
          <w:szCs w:val="26"/>
        </w:rPr>
        <w:t xml:space="preserve">Sejarah Singkat Lahirnya Pendekatan Sosial dalam Obstetri-Ginekologi</w:t>
      </w:r>
    </w:p>
    <w:p>
      <w:pPr>
        <w:spacing w:after="160" w:line="300"/>
        <w:jc w:val="both"/>
      </w:pPr>
      <w:r>
        <w:rPr>
          <w:rFonts w:ascii="Calibri" w:cs="Calibri" w:eastAsia="Calibri" w:hAnsi="Calibri"/>
          <w:color w:val="333333"/>
          <w:sz w:val="22"/>
          <w:szCs w:val="22"/>
        </w:rPr>
        <w:t xml:space="preserve">Akar konseptual pendekatan "sosial" dalam kedokteran, termasuk dalam Obstetri dan Ginekologi, dapat ditelusuri pada gagasan model biopsikososial yang diperkenalkan oleh George Engel pada tahun 1977. Engel mengkritik model biomedis murni yang memandang penyakit semata sebagai penyimpangan variabel biologis terukur, dan mengusulkan kerangka yang mengintegrasikan dimensi biologis, psikologis, dan sosial sebagai satu kesatuan yang saling memengaruhi dalam memahami sehat dan sakit seseorang. Gagasan ini kemudian menjadi salah satu fondasi konseptual berbagai bidang kedokteran yang menekankan pendekatan holistik, termasuk kedokteran keluarga, psikiatri konsultasi-liaison, dan — dengan penyesuaian konteks reproduksi perempuan — Obstetri Ginekologi Sosial.</w:t>
      </w:r>
    </w:p>
    <w:p>
      <w:pPr>
        <w:spacing w:after="160" w:line="300"/>
        <w:jc w:val="both"/>
      </w:pPr>
      <w:r>
        <w:rPr>
          <w:rFonts w:ascii="Calibri" w:cs="Calibri" w:eastAsia="Calibri" w:hAnsi="Calibri"/>
          <w:color w:val="333333"/>
          <w:sz w:val="22"/>
          <w:szCs w:val="22"/>
        </w:rPr>
        <w:t xml:space="preserve">Pada jalur yang berbeda namun saling memperkuat, gerakan Safe Motherhood yang dicanangkan Organisasi Kesehatan Dunia (WHO) sejak akhir dekade 1980-an mendorong pergeseran paradigma dari intervensi klinis semata menuju pendekatan sistem: pengakuan bahwa kematian ibu sebagian besar dapat dicegah bila determinan sosial, akses layanan, dan kualitas asuhan ditangani secara terintegrasi, bukan hanya menambah teknologi medis di ruang bersalin. Gerakan ini melahirkan konsep-konsep operasional yang kini menjadi rujukan standar, termasuk model "tiga terlambat", audit maternal-perinatal berbasis pembelajaran sistem (bukan mencari kesalahan individu), dan paket layanan minimum kesehatan reproduksi dalam situasi krisis (Minimum Initial Service Package/MISP).</w:t>
      </w:r>
    </w:p>
    <w:p>
      <w:pPr>
        <w:spacing w:after="160" w:line="300"/>
        <w:jc w:val="both"/>
      </w:pPr>
      <w:r>
        <w:rPr>
          <w:rFonts w:ascii="Calibri" w:cs="Calibri" w:eastAsia="Calibri" w:hAnsi="Calibri"/>
          <w:color w:val="333333"/>
          <w:sz w:val="22"/>
          <w:szCs w:val="22"/>
        </w:rPr>
        <w:t xml:space="preserve">Pertemuan antara model biopsikososial Engel dan paradigma sistem Safe Motherhood inilah yang secara konseptual melandasi lahirnya Obstetri Ginekologi Sosial sebagai bidang keahlian tersendiri: kebutuhan akan dokter spesialis yang tidak hanya mahir secara prosedural, tetapi juga mampu membaca dan mengintervensi determinan sosial yang mendasari kompleksitas kasus obstetri-ginekologi, sekaligus memimpin tata kelola mutu pelayanan dan program berbasis populasi. Di Indonesia, kebutuhan ini secara resmi dijawab melalui pembentukan Program Pendidikan Dokter Subspesialis Obstetri Ginekologi Sosial berdurasi 2,5 tahun (5 semester) di bawah payung POGI dan Kolegium Obstetri dan Ginekologi Indonesia, dengan standar kompetensi yang dikukuhkan melalui Kepkonsil Nomor HK.01.02/KKI/1318/2026.</w:t>
      </w:r>
    </w:p>
    <w:p>
      <w:pPr>
        <w:pStyle w:val="Heading2"/>
        <w:spacing w:after="160" w:before="320"/>
      </w:pPr>
      <w:r>
        <w:rPr>
          <w:rFonts w:ascii="Calibri" w:cs="Calibri" w:eastAsia="Calibri" w:hAnsi="Calibri"/>
          <w:b/>
          <w:bCs/>
          <w:color w:val="7A1F3D"/>
          <w:sz w:val="26"/>
          <w:szCs w:val="26"/>
        </w:rPr>
        <w:t xml:space="preserve">Pemetaan Kompetensi ke Dokumen Turunan</w:t>
      </w:r>
    </w:p>
    <w:p>
      <w:pPr>
        <w:spacing w:after="160" w:line="300"/>
        <w:jc w:val="both"/>
      </w:pPr>
      <w:r>
        <w:rPr>
          <w:rFonts w:ascii="Calibri" w:cs="Calibri" w:eastAsia="Calibri" w:hAnsi="Calibri"/>
          <w:color w:val="333333"/>
          <w:sz w:val="22"/>
          <w:szCs w:val="22"/>
        </w:rPr>
        <w:t xml:space="preserve">Untuk memudahkan navigasi peserta didik, dosen, dan penguji, kompetensi yang ditetapkan Kepkonsil dipetakan ke dalam tiga kelompok dokumen turunan yang saling melengkapi, sebagaimana disajikan pada Tabel 1.1 berikut.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1800"/>
        <w:gridCol w:w="4360"/>
      </w:tblGrid>
      <w:tr>
        <w:trPr>
          <w:tblHeader/>
        </w:trPr>
        <w:tc>
          <w:tcPr>
            <w:tcW w:type="dxa" w:w="3200"/>
            <w:shd w:fill="7A1F3D"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Kelompok Dokumen Turunan</w:t>
            </w:r>
          </w:p>
        </w:tc>
        <w:tc>
          <w:tcPr>
            <w:tcW w:type="dxa" w:w="1800"/>
            <w:shd w:fill="7A1F3D"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Jumlah Dokumen</w:t>
            </w:r>
          </w:p>
        </w:tc>
        <w:tc>
          <w:tcPr>
            <w:tcW w:type="dxa" w:w="4360"/>
            <w:shd w:fill="7A1F3D"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Fungsi Utama</w:t>
            </w:r>
          </w:p>
        </w:tc>
      </w:tr>
      <w:tr>
        <w:tc>
          <w:tcPr>
            <w:tcW w:type="dxa" w:w="32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Seri Buku Ajar (Buku Utama + 13 Buku Tematik)</w:t>
            </w:r>
          </w:p>
        </w:tc>
        <w:tc>
          <w:tcPr>
            <w:tcW w:type="dxa" w:w="18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14 buku</w:t>
            </w:r>
          </w:p>
        </w:tc>
        <w:tc>
          <w:tcPr>
            <w:tcW w:type="dxa" w:w="43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Landasan kognitif dan afektif: teori, bukti ilmiah, kerangka biopsikososial, dan pembahasan mendalam tiap topik tematik bagi peserta didik dan pengajar.</w:t>
            </w:r>
          </w:p>
        </w:tc>
      </w:tr>
      <w:tr>
        <w:tc>
          <w:tcPr>
            <w:tcW w:type="dxa" w:w="32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Panduan Praktik Klinis (PPK) Rumah Sakit</w:t>
            </w:r>
          </w:p>
        </w:tc>
        <w:tc>
          <w:tcPr>
            <w:tcW w:type="dxa" w:w="18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19 dokumen</w:t>
            </w:r>
          </w:p>
        </w:tc>
        <w:tc>
          <w:tcPr>
            <w:tcW w:type="dxa" w:w="43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Landasan operasional di tingkat fasilitas pelayanan: alur diagnosis-terapi baku yang dapat diaudit, selaras dengan kompetensi prosedur klinis pada Tabel 25 Kepkonsil.</w:t>
            </w:r>
          </w:p>
        </w:tc>
      </w:tr>
      <w:tr>
        <w:tc>
          <w:tcPr>
            <w:tcW w:type="dxa" w:w="32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Pedoman Program Berbasis Masyarakat</w:t>
            </w:r>
          </w:p>
        </w:tc>
        <w:tc>
          <w:tcPr>
            <w:tcW w:type="dxa" w:w="18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5 pedoman</w:t>
            </w:r>
          </w:p>
        </w:tc>
        <w:tc>
          <w:tcPr>
            <w:tcW w:type="dxa" w:w="43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Landasan implementasi populasi: pedoman teknis program kesehatan reproduksi komunitas, termasuk kesiapsiagaan krisis dan kolaborasi lintas sektor.</w:t>
            </w:r>
          </w:p>
        </w:tc>
      </w:tr>
    </w:tbl>
    <w:p>
      <w:pPr>
        <w:spacing w:after="200"/>
      </w:pPr>
    </w:p>
    <w:p>
      <w:pPr>
        <w:spacing w:after="120"/>
      </w:pPr>
    </w:p>
    <w:tbl>
      <w:tblPr>
        <w:tblW w:type="dxa" w:w="9360"/>
        <w:tblBorders>
          <w:top w:val="single" w:color="1F6B4D" w:sz="6"/>
          <w:left w:val="single" w:color="1F6B4D" w:sz="24"/>
          <w:bottom w:val="single" w:color="1F6B4D" w:sz="6"/>
          <w:right w:val="single" w:color="1F6B4D" w:sz="6"/>
          <w:insideH w:val="none" w:color="E7F2EC" w:sz="0"/>
          <w:insideV w:val="none" w:color="E7F2EC" w:sz="0"/>
        </w:tblBorders>
      </w:tblPr>
      <w:tblGrid>
        <w:gridCol w:w="9360"/>
      </w:tblGrid>
      <w:tr>
        <w:tc>
          <w:tcPr>
            <w:tcW w:type="dxa" w:w="9360"/>
            <w:shd w:fill="E7F2EC" w:val="clear"/>
            <w:tcMar>
              <w:top w:type="dxa" w:w="160"/>
              <w:left w:type="dxa" w:w="220"/>
              <w:bottom w:type="dxa" w:w="160"/>
              <w:right w:type="dxa" w:w="220"/>
            </w:tcMar>
          </w:tcPr>
          <w:p>
            <w:pPr>
              <w:spacing w:after="120"/>
            </w:pPr>
            <w:r>
              <w:rPr>
                <w:rFonts w:ascii="Calibri" w:cs="Calibri" w:eastAsia="Calibri" w:hAnsi="Calibri"/>
                <w:b/>
                <w:bCs/>
                <w:color w:val="1F6B4D"/>
                <w:sz w:val="23"/>
                <w:szCs w:val="23"/>
              </w:rPr>
              <w:t xml:space="preserve">✅ Poin Kunci</w:t>
            </w:r>
          </w:p>
          <w:p>
            <w:pPr>
              <w:pStyle w:val="ListParagraph"/>
              <w:numPr>
                <w:ilvl w:val="0"/>
                <w:numId w:val="2"/>
              </w:numPr>
              <w:spacing w:after="60"/>
            </w:pPr>
            <w:r>
              <w:rPr>
                <w:rFonts w:ascii="Calibri" w:cs="Calibri" w:eastAsia="Calibri" w:hAnsi="Calibri"/>
                <w:color w:val="3A3A3A"/>
                <w:sz w:val="21"/>
                <w:szCs w:val="21"/>
              </w:rPr>
              <w:t xml:space="preserve">Obstetri Ginekologi Sosial adalah subspesialisasi berbasis keluarga-komunitas yang berfokus pada pencegahan komplikasi obstetri-ginekologi kompleks melalui penanganan determinan sosial kesehatan.</w:t>
            </w:r>
          </w:p>
          <w:p>
            <w:pPr>
              <w:pStyle w:val="ListParagraph"/>
              <w:numPr>
                <w:ilvl w:val="0"/>
                <w:numId w:val="2"/>
              </w:numPr>
              <w:spacing w:after="60"/>
            </w:pPr>
            <w:r>
              <w:rPr>
                <w:rFonts w:ascii="Calibri" w:cs="Calibri" w:eastAsia="Calibri" w:hAnsi="Calibri"/>
                <w:color w:val="3A3A3A"/>
                <w:sz w:val="21"/>
                <w:szCs w:val="21"/>
              </w:rPr>
              <w:t xml:space="preserve">Definisi resmi subspesialisasi ini ditetapkan dalam Kepkonsil Nomor HK.01.02/KKI/1318/2026 dan menjadi acuan tunggal seluruh dokumen turunan.</w:t>
            </w:r>
          </w:p>
          <w:p>
            <w:pPr>
              <w:pStyle w:val="ListParagraph"/>
              <w:numPr>
                <w:ilvl w:val="0"/>
                <w:numId w:val="2"/>
              </w:numPr>
              <w:spacing w:after="60"/>
            </w:pPr>
            <w:r>
              <w:rPr>
                <w:rFonts w:ascii="Calibri" w:cs="Calibri" w:eastAsia="Calibri" w:hAnsi="Calibri"/>
                <w:color w:val="3A3A3A"/>
                <w:sz w:val="21"/>
                <w:szCs w:val="21"/>
              </w:rPr>
              <w:t xml:space="preserve">Determinan sosial memengaruhi luaran reproduksi melalui jalur keterlambatan, akumulasi risiko sepanjang siklus hidup, dan interaksi dengan sistem layanan kesehatan itu sendiri.</w:t>
            </w:r>
          </w:p>
          <w:p>
            <w:pPr>
              <w:pStyle w:val="ListParagraph"/>
              <w:numPr>
                <w:ilvl w:val="0"/>
                <w:numId w:val="2"/>
              </w:numPr>
              <w:spacing w:after="60"/>
            </w:pPr>
            <w:r>
              <w:rPr>
                <w:rFonts w:ascii="Calibri" w:cs="Calibri" w:eastAsia="Calibri" w:hAnsi="Calibri"/>
                <w:color w:val="3A3A3A"/>
                <w:sz w:val="21"/>
                <w:szCs w:val="21"/>
              </w:rPr>
              <w:t xml:space="preserve">Model biopsikososial Engel (1977) dan gerakan Safe Motherhood WHO adalah dua akar konseptual utama lahirnya pendekatan sosial dalam Obstetri-Ginekologi.</w:t>
            </w:r>
          </w:p>
          <w:p>
            <w:pPr>
              <w:pStyle w:val="ListParagraph"/>
              <w:numPr>
                <w:ilvl w:val="0"/>
                <w:numId w:val="2"/>
              </w:numPr>
              <w:spacing w:after="60"/>
            </w:pPr>
            <w:r>
              <w:rPr>
                <w:rFonts w:ascii="Calibri" w:cs="Calibri" w:eastAsia="Calibri" w:hAnsi="Calibri"/>
                <w:color w:val="3A3A3A"/>
                <w:sz w:val="21"/>
                <w:szCs w:val="21"/>
              </w:rPr>
              <w:t xml:space="preserve">Landasan regulasi nasional mencakup Kepkonsil, UU Kesehatan, UU TPKS, UU PKDRT, serta kurikulum POGI/Kolegium dan pedoman teknis Kemenkes.</w:t>
            </w:r>
          </w:p>
          <w:p>
            <w:pPr>
              <w:pStyle w:val="ListParagraph"/>
              <w:numPr>
                <w:ilvl w:val="0"/>
                <w:numId w:val="2"/>
              </w:numPr>
              <w:spacing w:after="60"/>
            </w:pPr>
            <w:r>
              <w:rPr>
                <w:rFonts w:ascii="Calibri" w:cs="Calibri" w:eastAsia="Calibri" w:hAnsi="Calibri"/>
                <w:color w:val="3A3A3A"/>
                <w:sz w:val="21"/>
                <w:szCs w:val="21"/>
              </w:rPr>
              <w:t xml:space="preserve">Kompetensi Kepkonsil dipetakan ke tiga kelompok dokumen turunan: 14 buku ajar, 19 PPK rumah sakit, dan 5 pedoman program masyarakat.</w:t>
            </w:r>
          </w:p>
        </w:tc>
      </w:tr>
    </w:tbl>
    <w:p>
      <w:pPr>
        <w:spacing w:after="200"/>
      </w:pPr>
    </w:p>
    <w:p>
      <w:pPr>
        <w:pBdr>
          <w:top w:val="single" w:color="CCCCCC" w:sz="4" w:space="6"/>
        </w:pBdr>
        <w:spacing w:after="120" w:before="300"/>
      </w:pPr>
      <w:r>
        <w:rPr>
          <w:rFonts w:ascii="Calibri" w:cs="Calibri" w:eastAsia="Calibri" w:hAnsi="Calibri"/>
          <w:b/>
          <w:bCs/>
          <w:i/>
          <w:iCs/>
          <w:color w:val="555555"/>
          <w:sz w:val="21"/>
          <w:szCs w:val="21"/>
        </w:rPr>
        <w:t xml:space="preserve">Referensi Bab</w:t>
      </w:r>
    </w:p>
    <w:p>
      <w:pPr>
        <w:spacing w:after="100"/>
        <w:ind w:left="360" w:hanging="360"/>
      </w:pPr>
      <w:r>
        <w:rPr>
          <w:rFonts w:ascii="Calibri" w:cs="Calibri" w:eastAsia="Calibri" w:hAnsi="Calibri"/>
          <w:color w:val="555555"/>
          <w:sz w:val="20"/>
          <w:szCs w:val="20"/>
        </w:rPr>
        <w:t xml:space="preserve">1. </w:t>
      </w:r>
      <w:r>
        <w:rPr>
          <w:rFonts w:ascii="Calibri" w:cs="Calibri" w:eastAsia="Calibri" w:hAnsi="Calibri"/>
          <w:color w:val="555555"/>
          <w:sz w:val="20"/>
          <w:szCs w:val="20"/>
        </w:rPr>
        <w:t xml:space="preserve">Konsil Kesehatan Indonesia. Keputusan Ketua Konsil Kesehatan Indonesia Nomor HK.01.02/KKI/1318/2026 tentang Standar Kompetensi Dokter Spesialis dan Subspesialis Bidang Obstetri dan Ginekologi. Jakarta: KKI; 2026.</w:t>
      </w:r>
    </w:p>
    <w:p>
      <w:pPr>
        <w:spacing w:after="100"/>
        <w:ind w:left="360" w:hanging="360"/>
      </w:pPr>
      <w:r>
        <w:rPr>
          <w:rFonts w:ascii="Calibri" w:cs="Calibri" w:eastAsia="Calibri" w:hAnsi="Calibri"/>
          <w:color w:val="555555"/>
          <w:sz w:val="20"/>
          <w:szCs w:val="20"/>
        </w:rPr>
        <w:t xml:space="preserve">2. </w:t>
      </w:r>
      <w:r>
        <w:rPr>
          <w:rFonts w:ascii="Calibri" w:cs="Calibri" w:eastAsia="Calibri" w:hAnsi="Calibri"/>
          <w:color w:val="555555"/>
          <w:sz w:val="20"/>
          <w:szCs w:val="20"/>
        </w:rPr>
        <w:t xml:space="preserve">Engel GL. The need for a new medical model: a challenge for biomedicine. Science. 1977;196(4286):129-136.</w:t>
      </w:r>
    </w:p>
    <w:p>
      <w:pPr>
        <w:spacing w:after="100"/>
        <w:ind w:left="360" w:hanging="360"/>
      </w:pPr>
      <w:r>
        <w:rPr>
          <w:rFonts w:ascii="Calibri" w:cs="Calibri" w:eastAsia="Calibri" w:hAnsi="Calibri"/>
          <w:color w:val="555555"/>
          <w:sz w:val="20"/>
          <w:szCs w:val="20"/>
        </w:rPr>
        <w:t xml:space="preserve">3. </w:t>
      </w:r>
      <w:r>
        <w:rPr>
          <w:rFonts w:ascii="Calibri" w:cs="Calibri" w:eastAsia="Calibri" w:hAnsi="Calibri"/>
          <w:color w:val="555555"/>
          <w:sz w:val="20"/>
          <w:szCs w:val="20"/>
        </w:rPr>
        <w:t xml:space="preserve">World Health Organization. Maternal Mortality: Fact Sheet. Geneva: WHO; terbitan terkini.</w:t>
      </w:r>
    </w:p>
    <w:p>
      <w:pPr>
        <w:spacing w:after="100"/>
        <w:ind w:left="360" w:hanging="360"/>
      </w:pPr>
      <w:r>
        <w:rPr>
          <w:rFonts w:ascii="Calibri" w:cs="Calibri" w:eastAsia="Calibri" w:hAnsi="Calibri"/>
          <w:color w:val="555555"/>
          <w:sz w:val="20"/>
          <w:szCs w:val="20"/>
        </w:rPr>
        <w:t xml:space="preserve">4. </w:t>
      </w:r>
      <w:r>
        <w:rPr>
          <w:rFonts w:ascii="Calibri" w:cs="Calibri" w:eastAsia="Calibri" w:hAnsi="Calibri"/>
          <w:color w:val="555555"/>
          <w:sz w:val="20"/>
          <w:szCs w:val="20"/>
        </w:rPr>
        <w:t xml:space="preserve">Republik Indonesia. Undang-Undang Nomor 17 Tahun 2023 tentang Kesehatan.</w:t>
      </w:r>
    </w:p>
    <w:p>
      <w:pPr>
        <w:spacing w:after="100"/>
        <w:ind w:left="360" w:hanging="360"/>
      </w:pPr>
      <w:r>
        <w:rPr>
          <w:rFonts w:ascii="Calibri" w:cs="Calibri" w:eastAsia="Calibri" w:hAnsi="Calibri"/>
          <w:color w:val="555555"/>
          <w:sz w:val="20"/>
          <w:szCs w:val="20"/>
        </w:rPr>
        <w:t xml:space="preserve">5. </w:t>
      </w:r>
      <w:r>
        <w:rPr>
          <w:rFonts w:ascii="Calibri" w:cs="Calibri" w:eastAsia="Calibri" w:hAnsi="Calibri"/>
          <w:color w:val="555555"/>
          <w:sz w:val="20"/>
          <w:szCs w:val="20"/>
        </w:rPr>
        <w:t xml:space="preserve">Republik Indonesia. Peraturan Pemerintah Nomor 28 Tahun 2024 tentang Peraturan Pelaksanaan Undang-Undang Nomor 17 Tahun 2023 tentang Kesehatan. Tersedia di: https://peraturan.bpk.go.id/Details/294077/pp-no-28-tahun-2024</w:t>
      </w:r>
    </w:p>
    <w:p>
      <w:pPr>
        <w:spacing w:after="100"/>
        <w:ind w:left="360" w:hanging="360"/>
      </w:pPr>
      <w:r>
        <w:rPr>
          <w:rFonts w:ascii="Calibri" w:cs="Calibri" w:eastAsia="Calibri" w:hAnsi="Calibri"/>
          <w:color w:val="555555"/>
          <w:sz w:val="20"/>
          <w:szCs w:val="20"/>
        </w:rPr>
        <w:t xml:space="preserve">6. </w:t>
      </w:r>
      <w:r>
        <w:rPr>
          <w:rFonts w:ascii="Calibri" w:cs="Calibri" w:eastAsia="Calibri" w:hAnsi="Calibri"/>
          <w:color w:val="555555"/>
          <w:sz w:val="20"/>
          <w:szCs w:val="20"/>
        </w:rPr>
        <w:t xml:space="preserve">Republik Indonesia. Undang-Undang Nomor 12 Tahun 2022 tentang Tindak Pidana Kekerasan Seksual. Tersedia di: https://peraturan.bpk.go.id/Details/207944/uu-no-12-tahun-2022</w:t>
      </w:r>
    </w:p>
    <w:p>
      <w:pPr>
        <w:spacing w:after="100"/>
        <w:ind w:left="360" w:hanging="360"/>
      </w:pPr>
      <w:r>
        <w:rPr>
          <w:rFonts w:ascii="Calibri" w:cs="Calibri" w:eastAsia="Calibri" w:hAnsi="Calibri"/>
          <w:color w:val="555555"/>
          <w:sz w:val="20"/>
          <w:szCs w:val="20"/>
        </w:rPr>
        <w:t xml:space="preserve">7. </w:t>
      </w:r>
      <w:r>
        <w:rPr>
          <w:rFonts w:ascii="Calibri" w:cs="Calibri" w:eastAsia="Calibri" w:hAnsi="Calibri"/>
          <w:color w:val="555555"/>
          <w:sz w:val="20"/>
          <w:szCs w:val="20"/>
        </w:rPr>
        <w:t xml:space="preserve">Republik Indonesia. Undang-Undang Nomor 23 Tahun 2004 tentang Penghapusan Kekerasan Dalam Rumah Tangga.</w:t>
      </w:r>
    </w:p>
    <w:p>
      <w:pPr>
        <w:spacing w:after="100"/>
        <w:ind w:left="360" w:hanging="360"/>
      </w:pPr>
      <w:r>
        <w:rPr>
          <w:rFonts w:ascii="Calibri" w:cs="Calibri" w:eastAsia="Calibri" w:hAnsi="Calibri"/>
          <w:color w:val="555555"/>
          <w:sz w:val="20"/>
          <w:szCs w:val="20"/>
        </w:rPr>
        <w:t xml:space="preserve">8. </w:t>
      </w:r>
      <w:r>
        <w:rPr>
          <w:rFonts w:ascii="Calibri" w:cs="Calibri" w:eastAsia="Calibri" w:hAnsi="Calibri"/>
          <w:color w:val="555555"/>
          <w:sz w:val="20"/>
          <w:szCs w:val="20"/>
        </w:rPr>
        <w:t xml:space="preserve">Perkumpulan Obstetri dan Ginekologi Indonesia/Kolegium Obstetri dan Ginekologi Indonesia. Kurikulum Program Pendidikan Dokter Subspesialis Obstetri Ginekologi Sosial.</w:t>
      </w:r>
    </w:p>
    <w:p>
      <w:r>
        <w:br w:type="page"/>
      </w:r>
    </w:p>
    <w:p>
      <w:pPr>
        <w:pStyle w:val="Heading1"/>
        <w:pBdr>
          <w:bottom w:val="single" w:color="7A1F3D" w:sz="12" w:space="8"/>
        </w:pBdr>
        <w:spacing w:after="240" w:before="480"/>
      </w:pPr>
      <w:r>
        <w:rPr>
          <w:rFonts w:ascii="Calibri" w:cs="Calibri" w:eastAsia="Calibri" w:hAnsi="Calibri"/>
          <w:b/>
          <w:bCs/>
          <w:color w:val="7A1F3D"/>
          <w:sz w:val="34"/>
          <w:szCs w:val="34"/>
        </w:rPr>
        <w:t xml:space="preserve">Bab 2. Kerangka Kompetensi: Klinis, Manajerial, dan Berbasis Masyarakat</w:t>
      </w:r>
    </w:p>
    <w:tbl>
      <w:tblPr>
        <w:tblW w:type="dxa" w:w="9360"/>
        <w:tblBorders>
          <w:top w:val="single" w:color="7A1F3D" w:sz="6"/>
          <w:left w:val="single" w:color="7A1F3D" w:sz="24"/>
          <w:bottom w:val="single" w:color="7A1F3D" w:sz="6"/>
          <w:right w:val="single" w:color="7A1F3D" w:sz="6"/>
          <w:insideH w:val="none" w:color="F3E3E9" w:sz="0"/>
          <w:insideV w:val="none" w:color="F3E3E9" w:sz="0"/>
        </w:tblBorders>
      </w:tblPr>
      <w:tblGrid>
        <w:gridCol w:w="9360"/>
      </w:tblGrid>
      <w:tr>
        <w:tc>
          <w:tcPr>
            <w:tcW w:type="dxa" w:w="9360"/>
            <w:shd w:fill="F3E3E9" w:val="clear"/>
            <w:tcMar>
              <w:top w:type="dxa" w:w="160"/>
              <w:left w:type="dxa" w:w="220"/>
              <w:bottom w:type="dxa" w:w="160"/>
              <w:right w:type="dxa" w:w="220"/>
            </w:tcMar>
          </w:tcPr>
          <w:p>
            <w:pPr>
              <w:spacing w:after="120"/>
            </w:pPr>
            <w:r>
              <w:rPr>
                <w:rFonts w:ascii="Calibri" w:cs="Calibri" w:eastAsia="Calibri" w:hAnsi="Calibri"/>
                <w:b/>
                <w:bCs/>
                <w:color w:val="7A1F3D"/>
                <w:sz w:val="23"/>
                <w:szCs w:val="23"/>
              </w:rPr>
              <w:t xml:space="preserve">🎯 Tujuan Pembelajaran Bab</w:t>
            </w:r>
          </w:p>
          <w:p>
            <w:pPr>
              <w:pStyle w:val="ListParagraph"/>
              <w:numPr>
                <w:ilvl w:val="0"/>
                <w:numId w:val="2"/>
              </w:numPr>
              <w:spacing w:after="60"/>
            </w:pPr>
            <w:r>
              <w:rPr>
                <w:rFonts w:ascii="Calibri" w:cs="Calibri" w:eastAsia="Calibri" w:hAnsi="Calibri"/>
                <w:color w:val="3A3A3A"/>
                <w:sz w:val="21"/>
                <w:szCs w:val="21"/>
              </w:rPr>
              <w:t xml:space="preserve">Menguraikan tiga kelompok besar kompetensi Konsultan Obstetri Ginekologi Sosial: klinis holistik, manajerial-mutu, dan program berbasis masyarakat.</w:t>
            </w:r>
          </w:p>
          <w:p>
            <w:pPr>
              <w:pStyle w:val="ListParagraph"/>
              <w:numPr>
                <w:ilvl w:val="0"/>
                <w:numId w:val="2"/>
              </w:numPr>
              <w:spacing w:after="60"/>
            </w:pPr>
            <w:r>
              <w:rPr>
                <w:rFonts w:ascii="Calibri" w:cs="Calibri" w:eastAsia="Calibri" w:hAnsi="Calibri"/>
                <w:color w:val="3A3A3A"/>
                <w:sz w:val="21"/>
                <w:szCs w:val="21"/>
              </w:rPr>
              <w:t xml:space="preserve">Menjelaskan sembilan komponen kompetensi penatalaksanaan klinis pada Tabel 19 Kepkonsil dan penerapannya dalam alur klinis biopsikososial.</w:t>
            </w:r>
          </w:p>
          <w:p>
            <w:pPr>
              <w:pStyle w:val="ListParagraph"/>
              <w:numPr>
                <w:ilvl w:val="0"/>
                <w:numId w:val="2"/>
              </w:numPr>
              <w:spacing w:after="60"/>
            </w:pPr>
            <w:r>
              <w:rPr>
                <w:rFonts w:ascii="Calibri" w:cs="Calibri" w:eastAsia="Calibri" w:hAnsi="Calibri"/>
                <w:color w:val="3A3A3A"/>
                <w:sz w:val="21"/>
                <w:szCs w:val="21"/>
              </w:rPr>
              <w:t xml:space="preserve">Menjelaskan dua puluh enam kompetensi prosedur klinis pada Tabel 25 Kepkonsil beserta kriteria kinerja minimalnya.</w:t>
            </w:r>
          </w:p>
          <w:p>
            <w:pPr>
              <w:pStyle w:val="ListParagraph"/>
              <w:numPr>
                <w:ilvl w:val="0"/>
                <w:numId w:val="2"/>
              </w:numPr>
              <w:spacing w:after="60"/>
            </w:pPr>
            <w:r>
              <w:rPr>
                <w:rFonts w:ascii="Calibri" w:cs="Calibri" w:eastAsia="Calibri" w:hAnsi="Calibri"/>
                <w:color w:val="3A3A3A"/>
                <w:sz w:val="21"/>
                <w:szCs w:val="21"/>
              </w:rPr>
              <w:t xml:space="preserve">Memetakan setiap kelompok kompetensi ke dokumen turunan (buku tematik/PPK/pedoman) yang relevan.</w:t>
            </w:r>
          </w:p>
        </w:tc>
      </w:tr>
    </w:tbl>
    <w:p>
      <w:pPr>
        <w:spacing w:after="200"/>
      </w:pPr>
    </w:p>
    <w:p>
      <w:pPr>
        <w:pStyle w:val="Heading2"/>
        <w:spacing w:after="160" w:before="320"/>
      </w:pPr>
      <w:r>
        <w:rPr>
          <w:rFonts w:ascii="Calibri" w:cs="Calibri" w:eastAsia="Calibri" w:hAnsi="Calibri"/>
          <w:b/>
          <w:bCs/>
          <w:color w:val="7A1F3D"/>
          <w:sz w:val="26"/>
          <w:szCs w:val="26"/>
        </w:rPr>
        <w:t xml:space="preserve">Kerangka Tujuh Area Kompetensi Nasional</w:t>
      </w:r>
    </w:p>
    <w:p>
      <w:pPr>
        <w:spacing w:after="160" w:line="300"/>
        <w:jc w:val="both"/>
      </w:pPr>
      <w:r>
        <w:rPr>
          <w:rFonts w:ascii="Calibri" w:cs="Calibri" w:eastAsia="Calibri" w:hAnsi="Calibri"/>
          <w:color w:val="333333"/>
          <w:sz w:val="22"/>
          <w:szCs w:val="22"/>
        </w:rPr>
        <w:t xml:space="preserve">Secara keseluruhan, Kepkonsil Nomor HK.01.02/KKI/1318/2026 menyusun kerangka kompetensi Dokter Spesialis dan Subspesialis di Indonesia ke dalam tujuh area kompetensi, yaitu: (1) Keselamatan Pasien dan Pelayanan Kesehatan, (2) Kompetensi Medis, (3) Penguasaan Pengetahuan Medis, (4) Keterampilan Interpersonal dan Komunikasi, (5) Profesionalisme, (6) Praktik Berbasis Sistem, dan (7) Kesadaran Biaya dalam Pelayanan Medis. Area Kompetensi 1 hingga 3 bersifat spesifik dan mencerminkan kekhasan bidang subspesialisasi masing-masing, sementara Area Kompetensi 4 hingga 7 bersifat generik dan wajib dimiliki seluruh dokter spesialis-subspesialis lintas bidang. Tabel 19 (Kompetensi Penatalaksanaan Klinis) dan Tabel 25 (Kompetensi Prosedur Klinis) yang menjadi rujukan utama bab ini merupakan penjabaran Area Kompetensi 2 (Kompetensi Medis) yang berlaku khusus bagi Obstetri Ginekologi Sosial.</w:t>
      </w:r>
    </w:p>
    <w:p>
      <w:pPr>
        <w:pStyle w:val="Heading2"/>
        <w:spacing w:after="160" w:before="320"/>
      </w:pPr>
      <w:r>
        <w:rPr>
          <w:rFonts w:ascii="Calibri" w:cs="Calibri" w:eastAsia="Calibri" w:hAnsi="Calibri"/>
          <w:b/>
          <w:bCs/>
          <w:color w:val="7A1F3D"/>
          <w:sz w:val="26"/>
          <w:szCs w:val="26"/>
        </w:rPr>
        <w:t xml:space="preserve">2.1 Kompetensi Penatalaksanaan Klinis Holistik Biopsikososial</w:t>
      </w:r>
    </w:p>
    <w:p>
      <w:pPr>
        <w:spacing w:after="160" w:line="300"/>
        <w:jc w:val="both"/>
      </w:pPr>
      <w:r>
        <w:rPr>
          <w:rFonts w:ascii="Calibri" w:cs="Calibri" w:eastAsia="Calibri" w:hAnsi="Calibri"/>
          <w:color w:val="333333"/>
          <w:sz w:val="22"/>
          <w:szCs w:val="22"/>
        </w:rPr>
        <w:t xml:space="preserve">Kompetensi penatalaksanaan klinis holistik biopsikososial adalah inti dari identitas subspesialis Obstetri Ginekologi Sosial. Kepkonsil Nomor HK.01.02/KKI/1318/2026 menjabarkan kompetensi ini ke dalam sembilan komponen berurutan pada Tabel 19, yang secara sengaja disusun mengikuti alur pengambilan keputusan klinis konvensional — mulai dari anamnesis hingga dokumentasi — namun pada setiap komponen disisipkan penekanan eksplisit terhadap dimensi sosial, psikologis, etik, dan medikolegal yang membedakannya dari kompetensi klinis Obstetri-Ginekologi umum.</w:t>
      </w:r>
    </w:p>
    <w:p>
      <w:pPr>
        <w:spacing w:after="160" w:line="300"/>
        <w:jc w:val="both"/>
      </w:pPr>
      <w:r>
        <w:rPr>
          <w:rFonts w:ascii="Calibri" w:cs="Calibri" w:eastAsia="Calibri" w:hAnsi="Calibri"/>
          <w:color w:val="333333"/>
          <w:sz w:val="22"/>
          <w:szCs w:val="22"/>
        </w:rPr>
        <w:t xml:space="preserve">Komponen pertama, anamnesis, menuntut penguasaan skrining risiko kehamilan dan reproduksi yang meliputi aspek biopsikososiokultural dan spiritual, skrining kekerasan dalam rumah tangga, serta identifikasi kasus dengan dimensi etik-medikolegal, dengan target dokumentasi skrining KDRT 100 persen pada seluruh pasien. Komponen kedua, pemeriksaan fisik, menambahkan penilaian tanda kekerasan fisik di samping penilaian hemodinamik dan pemeriksaan pelvis konvensional. Komponen ketiga, pemeriksaan penunjang, menuntut kemampuan menentukan pemeriksaan secara efisien serta memberikan komunikasi informasi edukasi (KIE) dan legitimasi risiko pada pengambilan sampel sensitif, misalnya pada kasus perkosaan atau biopsi lesi serviks.</w:t>
      </w:r>
    </w:p>
    <w:p>
      <w:pPr>
        <w:spacing w:after="160" w:line="300"/>
        <w:jc w:val="both"/>
      </w:pPr>
      <w:r>
        <w:rPr>
          <w:rFonts w:ascii="Calibri" w:cs="Calibri" w:eastAsia="Calibri" w:hAnsi="Calibri"/>
          <w:color w:val="333333"/>
          <w:sz w:val="22"/>
          <w:szCs w:val="22"/>
        </w:rPr>
        <w:t xml:space="preserve">Komponen keempat hingga keenam — interpretasi hasil, penegakan diagnosis kerja dan banding, serta perencanaan terapi — menuntut integrasi hasil klinis dengan konteks sosial-reproduksi secara holistik, penggunaan algoritma diagnostik yang sesuai kasus, serta kemampuan memberikan konseling nondirektif dan tata laksana multidisiplin pada kasus kekerasan, kehamilan dengan masalah sosial-psikologis, dan kasus etik-medikolegal. Komponen ketujuh dan kedelapan, evaluasi respons dan penetapan prognosis, menekankan pentingnya jadwal tindak lanjut tertulis, edukasi konsekuensi jangka menengah suatu tindakan terhadap fertilitas dan menstruasi, serta rencana kontrasepsi berkelanjutan. Komponen kesembilan, dokumentasi dan komunikasi, menuntut penggunaan formulir standar, prinsip keamanan data dan privasi (safeguarding), serta kepatuhan terhadap pelaporan sentinel bila diperlukan.</w:t>
      </w:r>
    </w:p>
    <w:p>
      <w:pPr>
        <w:pStyle w:val="Heading2"/>
        <w:spacing w:after="160" w:before="320"/>
      </w:pPr>
      <w:r>
        <w:rPr>
          <w:rFonts w:ascii="Calibri" w:cs="Calibri" w:eastAsia="Calibri" w:hAnsi="Calibri"/>
          <w:b/>
          <w:bCs/>
          <w:color w:val="7A1F3D"/>
          <w:sz w:val="26"/>
          <w:szCs w:val="26"/>
        </w:rPr>
        <w:t xml:space="preserve">2.2 Kompetensi Manajerial dan Tata Kelola Mutu Rumah Sakit</w:t>
      </w:r>
    </w:p>
    <w:p>
      <w:pPr>
        <w:spacing w:after="160" w:line="300"/>
        <w:jc w:val="both"/>
      </w:pPr>
      <w:r>
        <w:rPr>
          <w:rFonts w:ascii="Calibri" w:cs="Calibri" w:eastAsia="Calibri" w:hAnsi="Calibri"/>
          <w:color w:val="333333"/>
          <w:sz w:val="22"/>
          <w:szCs w:val="22"/>
        </w:rPr>
        <w:t xml:space="preserve">Kompetensi manajerial dan tata kelola mutu rumah sakit menempatkan Konsultan Obstetri Ginekologi Sosial bukan hanya sebagai klinisi individual, melainkan juga sebagai pemimpin sistem pelayanan. Kompetensi ini mencakup kemampuan melakukan audit maternal-perinatal dan audit kasus near-miss secara sistematis dan berorientasi pembelajaran (bukan mencari kesalahan individu), merancang dan mengevaluasi Panduan Praktik Klinis (PPK) yang relevan dengan kasus biopsikososial kompleks, serta memimpin analisis sistem rujukan yang bermasalah — mencakup keterlambatan, informasi rujukan tidak lengkap, atau kesalahan alur rujukan.</w:t>
      </w:r>
    </w:p>
    <w:p>
      <w:pPr>
        <w:spacing w:after="160" w:line="300"/>
        <w:jc w:val="both"/>
      </w:pPr>
      <w:r>
        <w:rPr>
          <w:rFonts w:ascii="Calibri" w:cs="Calibri" w:eastAsia="Calibri" w:hAnsi="Calibri"/>
          <w:color w:val="333333"/>
          <w:sz w:val="22"/>
          <w:szCs w:val="22"/>
        </w:rPr>
        <w:t xml:space="preserve">Dalam kerangka Kepkonsil, kompetensi ini tercermin pada item-item prosedur klinis nomor 18, 21, dan 22 pada Tabel 25 yang secara spesifik mengatur penanganan kasus rujukan bermasalah secara komprehensif, analisis sistem manajemen berbasis mutu, serta pelaksanaan audit mutu pelayanan. Kompetensi manajerial ini dibahas secara mendalam pada Buku 11 (Manajemen Mutu Rumah Sakit), sementara Buku Utama ini memberikan kerangka besarnya sebagai bagian dari peta kompetensi keseluruhan.</w:t>
      </w:r>
    </w:p>
    <w:p>
      <w:pPr>
        <w:spacing w:after="160" w:line="300"/>
        <w:jc w:val="both"/>
      </w:pPr>
      <w:r>
        <w:rPr>
          <w:rFonts w:ascii="Calibri" w:cs="Calibri" w:eastAsia="Calibri" w:hAnsi="Calibri"/>
          <w:color w:val="333333"/>
          <w:sz w:val="22"/>
          <w:szCs w:val="22"/>
        </w:rPr>
        <w:t xml:space="preserve">Selain audit dan tata kelola mutu, kompetensi manajerial juga mencakup peran sebagai pendidik klinis: merencanakan dan memfasilitasi sesi pelatihan klinik bagi tenaga kesehatan lain, termasuk pelatihan keterampilan komunikasi klinis (clinical communication skills/CTS). Peran ganda sebagai klinisi sekaligus pendidik dan manajer mutu inilah yang membedakan tuntutan kompetensi subspesialis dari dokter spesialis Obstetri-Ginekologi umum, dan dibahas lebih rinci pada Buku 12 (Pendidikan Klinis dan Pelatih).</w:t>
      </w:r>
    </w:p>
    <w:p>
      <w:pPr>
        <w:pStyle w:val="Heading2"/>
        <w:spacing w:after="160" w:before="320"/>
      </w:pPr>
      <w:r>
        <w:rPr>
          <w:rFonts w:ascii="Calibri" w:cs="Calibri" w:eastAsia="Calibri" w:hAnsi="Calibri"/>
          <w:b/>
          <w:bCs/>
          <w:color w:val="7A1F3D"/>
          <w:sz w:val="26"/>
          <w:szCs w:val="26"/>
        </w:rPr>
        <w:t xml:space="preserve">2.3 Kompetensi Program dan Populasi Berbasis Masyarakat</w:t>
      </w:r>
    </w:p>
    <w:p>
      <w:pPr>
        <w:spacing w:after="160" w:line="300"/>
        <w:jc w:val="both"/>
      </w:pPr>
      <w:r>
        <w:rPr>
          <w:rFonts w:ascii="Calibri" w:cs="Calibri" w:eastAsia="Calibri" w:hAnsi="Calibri"/>
          <w:color w:val="333333"/>
          <w:sz w:val="22"/>
          <w:szCs w:val="22"/>
        </w:rPr>
        <w:t xml:space="preserve">Kompetensi program dan populasi berbasis masyarakat merupakan domain ketiga yang menuntut Konsultan Obstetri Ginekologi Sosial mampu berpikir pada skala populasi, bukan hanya pasien per pasien. Domain ini mencakup kemampuan menganalisis situasi kesehatan reproduksi suatu wilayah, merancang dan melaksanakan program kesehatan reproduksi berbasis data epidemiologis lokal, mengelola sistem informasi kesehatan reproduksi masyarakat, serta memimpin atau berkontribusi pada riset kesehatan masyarakat yang relevan dengan isu reproduksi sosial.</w:t>
      </w:r>
    </w:p>
    <w:p>
      <w:pPr>
        <w:spacing w:after="160" w:line="300"/>
        <w:jc w:val="both"/>
      </w:pPr>
      <w:r>
        <w:rPr>
          <w:rFonts w:ascii="Calibri" w:cs="Calibri" w:eastAsia="Calibri" w:hAnsi="Calibri"/>
          <w:color w:val="333333"/>
          <w:sz w:val="22"/>
          <w:szCs w:val="22"/>
        </w:rPr>
        <w:t xml:space="preserve">Pada Tabel 25 Kepkonsil, domain ini terwakili oleh item nomor 24 hingga 26, yang masing-masing menuntut kemampuan menyusun program berbasis analisis situasi, mengelola data dan sistem informasi kesehatan reproduksi komunitas, serta menyusun proposal dan melaksanakan riset yang mengikuti kaidah etik penelitian. Kompetensi ini menjadi sangat relevan dalam konteks Indonesia yang memiliki keragaman geografis dan sosial-budaya luas, sehingga program kesehatan reproduksi yang efektif di satu wilayah belum tentu dapat diterapkan tanpa modifikasi di wilayah lain.</w:t>
      </w:r>
    </w:p>
    <w:p>
      <w:pPr>
        <w:spacing w:after="160" w:line="300"/>
        <w:jc w:val="both"/>
      </w:pPr>
      <w:r>
        <w:rPr>
          <w:rFonts w:ascii="Calibri" w:cs="Calibri" w:eastAsia="Calibri" w:hAnsi="Calibri"/>
          <w:color w:val="333333"/>
          <w:sz w:val="22"/>
          <w:szCs w:val="22"/>
        </w:rPr>
        <w:t xml:space="preserve">Domain program berbasis masyarakat juga mencakup kesiapsiagaan terhadap situasi krisis kemanusiaan (bencana, konflik, pengungsian), di mana kerangka Minimum Initial Service Package (MISP) dari Inter-Agency Working Group on Reproductive Health in Crises menjadi acuan standar internasional yang wajib dikuasai. Pembahasan mendalam mengenai domain ini, termasuk instrumen analisis situasi dan contoh program, disajikan pada Buku 13 (Program-Sistem Informasi-Riset Masyarakat), dengan ringkasan lintas topik pada Bab 11 Buku Utama ini.</w:t>
      </w:r>
    </w:p>
    <w:p>
      <w:pPr>
        <w:pStyle w:val="Heading2"/>
        <w:spacing w:after="160" w:before="320"/>
      </w:pPr>
      <w:r>
        <w:rPr>
          <w:rFonts w:ascii="Calibri" w:cs="Calibri" w:eastAsia="Calibri" w:hAnsi="Calibri"/>
          <w:b/>
          <w:bCs/>
          <w:color w:val="7A1F3D"/>
          <w:sz w:val="26"/>
          <w:szCs w:val="26"/>
        </w:rPr>
        <w:t xml:space="preserve">Matriks Kompetensi Tabel 19 dan Tabel 25 Kepkonsil</w:t>
      </w:r>
    </w:p>
    <w:p>
      <w:pPr>
        <w:spacing w:after="160" w:line="300"/>
        <w:jc w:val="both"/>
      </w:pPr>
      <w:r>
        <w:rPr>
          <w:rFonts w:ascii="Calibri" w:cs="Calibri" w:eastAsia="Calibri" w:hAnsi="Calibri"/>
          <w:color w:val="333333"/>
          <w:sz w:val="22"/>
          <w:szCs w:val="22"/>
        </w:rPr>
        <w:t xml:space="preserve">Tabel 1.2 di bawah ini merangkum sembilan komponen Kompetensi Penatalaksanaan Klinis (Tabel 19 Kepkonsil) dan dua puluh enam Kompetensi Prosedur Klinis (Tabel 25 Kepkonsil), memetakan setiap item ke kriteria kinerja minimal atau volume kasus minimal sebagaimana tercantum langsung pada teks Kepkonsil, serta dokumen turunan tempat pembahasan rincinya dapat ditemukan. Seluruh item berada pada Area Kompetensi 2 (Kompetensi Medis) sebagaimana dijelaskan di atas. Pemetaan ini bersifat ringkas untuk kebutuhan navigasi; deskripsi komponen dan kriteria kinerja minimal yang lengkap tetap merujuk pada teks asli Tabel 19 dan Tabel 25 Kepkonsil.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00"/>
        <w:gridCol w:w="2900"/>
        <w:gridCol w:w="3160"/>
      </w:tblGrid>
      <w:tr>
        <w:trPr>
          <w:tblHeader/>
        </w:trPr>
        <w:tc>
          <w:tcPr>
            <w:tcW w:type="dxa" w:w="3300"/>
            <w:shd w:fill="7A1F3D"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Kompetensi (Kepkonsil)</w:t>
            </w:r>
          </w:p>
        </w:tc>
        <w:tc>
          <w:tcPr>
            <w:tcW w:type="dxa" w:w="2900"/>
            <w:shd w:fill="7A1F3D"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Kriteria Kinerja/Volume Minimal (Kepkonsil)</w:t>
            </w:r>
          </w:p>
        </w:tc>
        <w:tc>
          <w:tcPr>
            <w:tcW w:type="dxa" w:w="3160"/>
            <w:shd w:fill="7A1F3D"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Dokumen Turunan</w:t>
            </w:r>
          </w:p>
        </w:tc>
      </w:tr>
      <w:tr>
        <w:tc>
          <w:tcPr>
            <w:tcW w:type="dxa" w:w="33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T19.1 Anamnesis biopsikososial &amp; skrining KDRT</w:t>
            </w:r>
          </w:p>
        </w:tc>
        <w:tc>
          <w:tcPr>
            <w:tcW w:type="dxa" w:w="29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Dokumentasi skrining KDRT 100%</w:t>
            </w:r>
          </w:p>
        </w:tc>
        <w:tc>
          <w:tcPr>
            <w:tcW w:type="dxa" w:w="31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Utama Bab 3; Buku 1; Buku 6</w:t>
            </w:r>
          </w:p>
        </w:tc>
      </w:tr>
      <w:tr>
        <w:tc>
          <w:tcPr>
            <w:tcW w:type="dxa" w:w="33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T19.2 Pemeriksaan fisik &amp; tanda kekerasan</w:t>
            </w:r>
          </w:p>
        </w:tc>
        <w:tc>
          <w:tcPr>
            <w:tcW w:type="dxa" w:w="29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Skor OSCE pemeriksaan fisik &gt;85%</w:t>
            </w:r>
          </w:p>
        </w:tc>
        <w:tc>
          <w:tcPr>
            <w:tcW w:type="dxa" w:w="31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6; PPK Skrining KDRT</w:t>
            </w:r>
          </w:p>
        </w:tc>
      </w:tr>
      <w:tr>
        <w:tc>
          <w:tcPr>
            <w:tcW w:type="dxa" w:w="33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T19.3 Pemeriksaan penunjang kasus sensitif</w:t>
            </w:r>
          </w:p>
        </w:tc>
        <w:tc>
          <w:tcPr>
            <w:tcW w:type="dxa" w:w="29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Kesesuaian pemeriksaan ≥90%</w:t>
            </w:r>
          </w:p>
        </w:tc>
        <w:tc>
          <w:tcPr>
            <w:tcW w:type="dxa" w:w="31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6; Buku 8</w:t>
            </w:r>
          </w:p>
        </w:tc>
      </w:tr>
      <w:tr>
        <w:tc>
          <w:tcPr>
            <w:tcW w:type="dxa" w:w="33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T19.4 Interpretasi hasil terintegrasi sosial-etik</w:t>
            </w:r>
          </w:p>
        </w:tc>
        <w:tc>
          <w:tcPr>
            <w:tcW w:type="dxa" w:w="29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Kepatuhan 100%; dokumentasi mitigasi kategori 3 ≥95%</w:t>
            </w:r>
          </w:p>
        </w:tc>
        <w:tc>
          <w:tcPr>
            <w:tcW w:type="dxa" w:w="31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Utama Bab 3</w:t>
            </w:r>
          </w:p>
        </w:tc>
      </w:tr>
      <w:tr>
        <w:tc>
          <w:tcPr>
            <w:tcW w:type="dxa" w:w="33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T19.5 Diagnosis kerja &amp; banding (algoritma kasus)</w:t>
            </w:r>
          </w:p>
        </w:tc>
        <w:tc>
          <w:tcPr>
            <w:tcW w:type="dxa" w:w="29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Akurasi diagnosis kerja ≥85%; diagnosis banding rasional ≥95% kasus</w:t>
            </w:r>
          </w:p>
        </w:tc>
        <w:tc>
          <w:tcPr>
            <w:tcW w:type="dxa" w:w="31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3; Buku 8</w:t>
            </w:r>
          </w:p>
        </w:tc>
      </w:tr>
      <w:tr>
        <w:tc>
          <w:tcPr>
            <w:tcW w:type="dxa" w:w="33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T19.6 Perencanaan terapi multidisiplin</w:t>
            </w:r>
          </w:p>
        </w:tc>
        <w:tc>
          <w:tcPr>
            <w:tcW w:type="dxa" w:w="29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Skor OSCE &gt;90%</w:t>
            </w:r>
          </w:p>
        </w:tc>
        <w:tc>
          <w:tcPr>
            <w:tcW w:type="dxa" w:w="31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2; Buku 10</w:t>
            </w:r>
          </w:p>
        </w:tc>
      </w:tr>
      <w:tr>
        <w:tc>
          <w:tcPr>
            <w:tcW w:type="dxa" w:w="33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T19.7 Evaluasi respons &amp; tindak lanjut</w:t>
            </w:r>
          </w:p>
        </w:tc>
        <w:tc>
          <w:tcPr>
            <w:tcW w:type="dxa" w:w="29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Kehadiran follow-up ≥80%; penanganan komplikasi sesuai protokol 100%</w:t>
            </w:r>
          </w:p>
        </w:tc>
        <w:tc>
          <w:tcPr>
            <w:tcW w:type="dxa" w:w="31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1</w:t>
            </w:r>
          </w:p>
        </w:tc>
      </w:tr>
      <w:tr>
        <w:tc>
          <w:tcPr>
            <w:tcW w:type="dxa" w:w="33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T19.8 Penetapan prognosis &amp; kontrasepsi lanjutan</w:t>
            </w:r>
          </w:p>
        </w:tc>
        <w:tc>
          <w:tcPr>
            <w:tcW w:type="dxa" w:w="29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Dokumentasi prognosis &amp; rencana kontrasepsi lanjutan 100%</w:t>
            </w:r>
          </w:p>
        </w:tc>
        <w:tc>
          <w:tcPr>
            <w:tcW w:type="dxa" w:w="31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2</w:t>
            </w:r>
          </w:p>
        </w:tc>
      </w:tr>
      <w:tr>
        <w:tc>
          <w:tcPr>
            <w:tcW w:type="dxa" w:w="33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T19.9 Dokumentasi, safeguarding &amp; pelaporan sentinel</w:t>
            </w:r>
          </w:p>
        </w:tc>
        <w:tc>
          <w:tcPr>
            <w:tcW w:type="dxa" w:w="29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Kelengkapan dokumen 100%; edukasi tertulis 100%</w:t>
            </w:r>
          </w:p>
        </w:tc>
        <w:tc>
          <w:tcPr>
            <w:tcW w:type="dxa" w:w="31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6</w:t>
            </w:r>
          </w:p>
        </w:tc>
      </w:tr>
      <w:tr>
        <w:tc>
          <w:tcPr>
            <w:tcW w:type="dxa" w:w="33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T25.1 Kehamilan berisiko sosial-psikososial</w:t>
            </w:r>
          </w:p>
        </w:tc>
        <w:tc>
          <w:tcPr>
            <w:tcW w:type="dxa" w:w="29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Volume minimal 10 kasus</w:t>
            </w:r>
          </w:p>
        </w:tc>
        <w:tc>
          <w:tcPr>
            <w:tcW w:type="dxa" w:w="31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1</w:t>
            </w:r>
          </w:p>
        </w:tc>
      </w:tr>
      <w:tr>
        <w:tc>
          <w:tcPr>
            <w:tcW w:type="dxa" w:w="33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T25.2 Nifas dengan masalah biopsikososial</w:t>
            </w:r>
          </w:p>
        </w:tc>
        <w:tc>
          <w:tcPr>
            <w:tcW w:type="dxa" w:w="29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Volume minimal 10 kasus</w:t>
            </w:r>
          </w:p>
        </w:tc>
        <w:tc>
          <w:tcPr>
            <w:tcW w:type="dxa" w:w="31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1</w:t>
            </w:r>
          </w:p>
        </w:tc>
      </w:tr>
      <w:tr>
        <w:tc>
          <w:tcPr>
            <w:tcW w:type="dxa" w:w="33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T25.3 Konseling &amp; kontrasepsi pada komorbid tinggi</w:t>
            </w:r>
          </w:p>
        </w:tc>
        <w:tc>
          <w:tcPr>
            <w:tcW w:type="dxa" w:w="29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Dokumentasi konseling &amp; informed consent 100%</w:t>
            </w:r>
          </w:p>
        </w:tc>
        <w:tc>
          <w:tcPr>
            <w:tcW w:type="dxa" w:w="31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2</w:t>
            </w:r>
          </w:p>
        </w:tc>
      </w:tr>
      <w:tr>
        <w:tc>
          <w:tcPr>
            <w:tcW w:type="dxa" w:w="33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T25.4 Pemasangan IUD/implan kasus kompleks</w:t>
            </w:r>
          </w:p>
        </w:tc>
        <w:tc>
          <w:tcPr>
            <w:tcW w:type="dxa" w:w="29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Volume minimal 1 kasus</w:t>
            </w:r>
          </w:p>
        </w:tc>
        <w:tc>
          <w:tcPr>
            <w:tcW w:type="dxa" w:w="31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2</w:t>
            </w:r>
          </w:p>
        </w:tc>
      </w:tr>
      <w:tr>
        <w:tc>
          <w:tcPr>
            <w:tcW w:type="dxa" w:w="33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T25.5 Kontrasepsi darurat perkosaan/kegagalan KB</w:t>
            </w:r>
          </w:p>
        </w:tc>
        <w:tc>
          <w:tcPr>
            <w:tcW w:type="dxa" w:w="29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Dokumentasi konseling &amp; informed consent 100%</w:t>
            </w:r>
          </w:p>
        </w:tc>
        <w:tc>
          <w:tcPr>
            <w:tcW w:type="dxa" w:w="31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2; Buku 6</w:t>
            </w:r>
          </w:p>
        </w:tc>
      </w:tr>
      <w:tr>
        <w:tc>
          <w:tcPr>
            <w:tcW w:type="dxa" w:w="33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T25.6 Komplikasi pasca-abortus kompleks</w:t>
            </w:r>
          </w:p>
        </w:tc>
        <w:tc>
          <w:tcPr>
            <w:tcW w:type="dxa" w:w="29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Volume minimal 30 kasus (kompleks)</w:t>
            </w:r>
          </w:p>
        </w:tc>
        <w:tc>
          <w:tcPr>
            <w:tcW w:type="dxa" w:w="31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3; Buku 2</w:t>
            </w:r>
          </w:p>
        </w:tc>
      </w:tr>
      <w:tr>
        <w:tc>
          <w:tcPr>
            <w:tcW w:type="dxa" w:w="33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T25.7 Kehamilan remaja</w:t>
            </w:r>
          </w:p>
        </w:tc>
        <w:tc>
          <w:tcPr>
            <w:tcW w:type="dxa" w:w="29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Volume minimal 5 kasus</w:t>
            </w:r>
          </w:p>
        </w:tc>
        <w:tc>
          <w:tcPr>
            <w:tcW w:type="dxa" w:w="31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3</w:t>
            </w:r>
          </w:p>
        </w:tc>
      </w:tr>
      <w:tr>
        <w:tc>
          <w:tcPr>
            <w:tcW w:type="dxa" w:w="33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T25.8 Kehamilan tidak diinginkan (dewasa)</w:t>
            </w:r>
          </w:p>
        </w:tc>
        <w:tc>
          <w:tcPr>
            <w:tcW w:type="dxa" w:w="29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Volume minimal 2 kasus</w:t>
            </w:r>
          </w:p>
        </w:tc>
        <w:tc>
          <w:tcPr>
            <w:tcW w:type="dxa" w:w="31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3</w:t>
            </w:r>
          </w:p>
        </w:tc>
      </w:tr>
      <w:tr>
        <w:tc>
          <w:tcPr>
            <w:tcW w:type="dxa" w:w="33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T25.9 Gangguan mental pada kehamilan</w:t>
            </w:r>
          </w:p>
        </w:tc>
        <w:tc>
          <w:tcPr>
            <w:tcW w:type="dxa" w:w="29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Volume minimal 2 kasus</w:t>
            </w:r>
          </w:p>
        </w:tc>
        <w:tc>
          <w:tcPr>
            <w:tcW w:type="dxa" w:w="31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4</w:t>
            </w:r>
          </w:p>
        </w:tc>
      </w:tr>
      <w:tr>
        <w:tc>
          <w:tcPr>
            <w:tcW w:type="dxa" w:w="33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T25.10 Konseling prakehamilan risiko biopsikososial</w:t>
            </w:r>
          </w:p>
        </w:tc>
        <w:tc>
          <w:tcPr>
            <w:tcW w:type="dxa" w:w="29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Volume minimal 2 kasus</w:t>
            </w:r>
          </w:p>
        </w:tc>
        <w:tc>
          <w:tcPr>
            <w:tcW w:type="dxa" w:w="31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4; Buku 5</w:t>
            </w:r>
          </w:p>
        </w:tc>
      </w:tr>
      <w:tr>
        <w:tc>
          <w:tcPr>
            <w:tcW w:type="dxa" w:w="33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T25.11 Kontrasepsi darurat perkosaan (rinci)</w:t>
            </w:r>
          </w:p>
        </w:tc>
        <w:tc>
          <w:tcPr>
            <w:tcW w:type="dxa" w:w="29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Volume minimal 1 kasus</w:t>
            </w:r>
          </w:p>
        </w:tc>
        <w:tc>
          <w:tcPr>
            <w:tcW w:type="dxa" w:w="31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6; Buku 2</w:t>
            </w:r>
          </w:p>
        </w:tc>
      </w:tr>
      <w:tr>
        <w:tc>
          <w:tcPr>
            <w:tcW w:type="dxa" w:w="33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T25.12 Permasalahan nutrisi kehamilan</w:t>
            </w:r>
          </w:p>
        </w:tc>
        <w:tc>
          <w:tcPr>
            <w:tcW w:type="dxa" w:w="29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Volume minimal 2 kasus</w:t>
            </w:r>
          </w:p>
        </w:tc>
        <w:tc>
          <w:tcPr>
            <w:tcW w:type="dxa" w:w="31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5</w:t>
            </w:r>
          </w:p>
        </w:tc>
      </w:tr>
      <w:tr>
        <w:tc>
          <w:tcPr>
            <w:tcW w:type="dxa" w:w="33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T25.13 Korban KDRT</w:t>
            </w:r>
          </w:p>
        </w:tc>
        <w:tc>
          <w:tcPr>
            <w:tcW w:type="dxa" w:w="29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Volume minimal 1 kasus</w:t>
            </w:r>
          </w:p>
        </w:tc>
        <w:tc>
          <w:tcPr>
            <w:tcW w:type="dxa" w:w="31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6</w:t>
            </w:r>
          </w:p>
        </w:tc>
      </w:tr>
      <w:tr>
        <w:tc>
          <w:tcPr>
            <w:tcW w:type="dxa" w:w="33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T25.14 Kesehatan reproduksi remaja</w:t>
            </w:r>
          </w:p>
        </w:tc>
        <w:tc>
          <w:tcPr>
            <w:tcW w:type="dxa" w:w="29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Volume minimal 1 kasus</w:t>
            </w:r>
          </w:p>
        </w:tc>
        <w:tc>
          <w:tcPr>
            <w:tcW w:type="dxa" w:w="31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7</w:t>
            </w:r>
          </w:p>
        </w:tc>
      </w:tr>
      <w:tr>
        <w:tc>
          <w:tcPr>
            <w:tcW w:type="dxa" w:w="33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T25.15 Kasus etik medikolegal</w:t>
            </w:r>
          </w:p>
        </w:tc>
        <w:tc>
          <w:tcPr>
            <w:tcW w:type="dxa" w:w="29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Volume minimal 2 kasus</w:t>
            </w:r>
          </w:p>
        </w:tc>
        <w:tc>
          <w:tcPr>
            <w:tcW w:type="dxa" w:w="31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6; Buku 13 (Bab 13 Buku Utama)</w:t>
            </w:r>
          </w:p>
        </w:tc>
      </w:tr>
      <w:tr>
        <w:tc>
          <w:tcPr>
            <w:tcW w:type="dxa" w:w="33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T25.16 Menopause dengan masalah biopsikososial</w:t>
            </w:r>
          </w:p>
        </w:tc>
        <w:tc>
          <w:tcPr>
            <w:tcW w:type="dxa" w:w="29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Volume minimal 2 kasus</w:t>
            </w:r>
          </w:p>
        </w:tc>
        <w:tc>
          <w:tcPr>
            <w:tcW w:type="dxa" w:w="31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9</w:t>
            </w:r>
          </w:p>
        </w:tc>
      </w:tr>
      <w:tr>
        <w:tc>
          <w:tcPr>
            <w:tcW w:type="dxa" w:w="33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T25.17 Manajemen kasus paliatif holistik</w:t>
            </w:r>
          </w:p>
        </w:tc>
        <w:tc>
          <w:tcPr>
            <w:tcW w:type="dxa" w:w="29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Volume minimal 2 kasus</w:t>
            </w:r>
          </w:p>
        </w:tc>
        <w:tc>
          <w:tcPr>
            <w:tcW w:type="dxa" w:w="31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10</w:t>
            </w:r>
          </w:p>
        </w:tc>
      </w:tr>
      <w:tr>
        <w:tc>
          <w:tcPr>
            <w:tcW w:type="dxa" w:w="33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T25.18 Audit kasus rujukan bermasalah</w:t>
            </w:r>
          </w:p>
        </w:tc>
        <w:tc>
          <w:tcPr>
            <w:tcW w:type="dxa" w:w="29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Volume minimal 2 kasus</w:t>
            </w:r>
          </w:p>
        </w:tc>
        <w:tc>
          <w:tcPr>
            <w:tcW w:type="dxa" w:w="31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11</w:t>
            </w:r>
          </w:p>
        </w:tc>
      </w:tr>
      <w:tr>
        <w:tc>
          <w:tcPr>
            <w:tcW w:type="dxa" w:w="33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T25.19 Pelatihan klinik</w:t>
            </w:r>
          </w:p>
        </w:tc>
        <w:tc>
          <w:tcPr>
            <w:tcW w:type="dxa" w:w="29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Volume minimal 1 sesi pelatihan</w:t>
            </w:r>
          </w:p>
        </w:tc>
        <w:tc>
          <w:tcPr>
            <w:tcW w:type="dxa" w:w="31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12</w:t>
            </w:r>
          </w:p>
        </w:tc>
      </w:tr>
      <w:tr>
        <w:tc>
          <w:tcPr>
            <w:tcW w:type="dxa" w:w="33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T25.20 Pelatihan keterampilan komunikasi klinis</w:t>
            </w:r>
          </w:p>
        </w:tc>
        <w:tc>
          <w:tcPr>
            <w:tcW w:type="dxa" w:w="29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Volume minimal 2 sesi</w:t>
            </w:r>
          </w:p>
        </w:tc>
        <w:tc>
          <w:tcPr>
            <w:tcW w:type="dxa" w:w="31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12</w:t>
            </w:r>
          </w:p>
        </w:tc>
      </w:tr>
      <w:tr>
        <w:tc>
          <w:tcPr>
            <w:tcW w:type="dxa" w:w="33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T25.21 Analisis sistem manajemen</w:t>
            </w:r>
          </w:p>
        </w:tc>
        <w:tc>
          <w:tcPr>
            <w:tcW w:type="dxa" w:w="29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Volume minimal 1 laporan analisis</w:t>
            </w:r>
          </w:p>
        </w:tc>
        <w:tc>
          <w:tcPr>
            <w:tcW w:type="dxa" w:w="31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11</w:t>
            </w:r>
          </w:p>
        </w:tc>
      </w:tr>
      <w:tr>
        <w:tc>
          <w:tcPr>
            <w:tcW w:type="dxa" w:w="33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T25.22 Audit mutu berkelanjutan</w:t>
            </w:r>
          </w:p>
        </w:tc>
        <w:tc>
          <w:tcPr>
            <w:tcW w:type="dxa" w:w="29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Volume minimal 2 audit mutu</w:t>
            </w:r>
          </w:p>
        </w:tc>
        <w:tc>
          <w:tcPr>
            <w:tcW w:type="dxa" w:w="31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11</w:t>
            </w:r>
          </w:p>
        </w:tc>
      </w:tr>
      <w:tr>
        <w:tc>
          <w:tcPr>
            <w:tcW w:type="dxa" w:w="33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T25.23 Pendidikan tenaga kesehatan</w:t>
            </w:r>
          </w:p>
        </w:tc>
        <w:tc>
          <w:tcPr>
            <w:tcW w:type="dxa" w:w="29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Volume minimal 2 kegiatan</w:t>
            </w:r>
          </w:p>
        </w:tc>
        <w:tc>
          <w:tcPr>
            <w:tcW w:type="dxa" w:w="31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12</w:t>
            </w:r>
          </w:p>
        </w:tc>
      </w:tr>
      <w:tr>
        <w:tc>
          <w:tcPr>
            <w:tcW w:type="dxa" w:w="33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T25.24 Program masyarakat berbasis analisis situasi</w:t>
            </w:r>
          </w:p>
        </w:tc>
        <w:tc>
          <w:tcPr>
            <w:tcW w:type="dxa" w:w="29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Volume minimal 1 program</w:t>
            </w:r>
          </w:p>
        </w:tc>
        <w:tc>
          <w:tcPr>
            <w:tcW w:type="dxa" w:w="31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13</w:t>
            </w:r>
          </w:p>
        </w:tc>
      </w:tr>
      <w:tr>
        <w:tc>
          <w:tcPr>
            <w:tcW w:type="dxa" w:w="33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T25.25 Sistem informasi kesehatan reproduksi</w:t>
            </w:r>
          </w:p>
        </w:tc>
        <w:tc>
          <w:tcPr>
            <w:tcW w:type="dxa" w:w="29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Volume minimal 1 kegiatan/sistem</w:t>
            </w:r>
          </w:p>
        </w:tc>
        <w:tc>
          <w:tcPr>
            <w:tcW w:type="dxa" w:w="31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13</w:t>
            </w:r>
          </w:p>
        </w:tc>
      </w:tr>
      <w:tr>
        <w:tc>
          <w:tcPr>
            <w:tcW w:type="dxa" w:w="33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T25.26 Riset kesehatan masyarakat reproduksi</w:t>
            </w:r>
          </w:p>
        </w:tc>
        <w:tc>
          <w:tcPr>
            <w:tcW w:type="dxa" w:w="29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Volume minimal 1 penelitian</w:t>
            </w:r>
          </w:p>
        </w:tc>
        <w:tc>
          <w:tcPr>
            <w:tcW w:type="dxa" w:w="31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Buku 13</w:t>
            </w:r>
          </w:p>
        </w:tc>
      </w:tr>
    </w:tbl>
    <w:p>
      <w:pPr>
        <w:spacing w:after="200"/>
      </w:pPr>
    </w:p>
    <w:p>
      <w:pPr>
        <w:spacing w:after="120"/>
      </w:pPr>
    </w:p>
    <w:tbl>
      <w:tblPr>
        <w:tblW w:type="dxa" w:w="9360"/>
        <w:tblBorders>
          <w:top w:val="single" w:color="1F6B4D" w:sz="6"/>
          <w:left w:val="single" w:color="1F6B4D" w:sz="24"/>
          <w:bottom w:val="single" w:color="1F6B4D" w:sz="6"/>
          <w:right w:val="single" w:color="1F6B4D" w:sz="6"/>
          <w:insideH w:val="none" w:color="E7F2EC" w:sz="0"/>
          <w:insideV w:val="none" w:color="E7F2EC" w:sz="0"/>
        </w:tblBorders>
      </w:tblPr>
      <w:tblGrid>
        <w:gridCol w:w="9360"/>
      </w:tblGrid>
      <w:tr>
        <w:tc>
          <w:tcPr>
            <w:tcW w:type="dxa" w:w="9360"/>
            <w:shd w:fill="E7F2EC" w:val="clear"/>
            <w:tcMar>
              <w:top w:type="dxa" w:w="160"/>
              <w:left w:type="dxa" w:w="220"/>
              <w:bottom w:type="dxa" w:w="160"/>
              <w:right w:type="dxa" w:w="220"/>
            </w:tcMar>
          </w:tcPr>
          <w:p>
            <w:pPr>
              <w:spacing w:after="120"/>
            </w:pPr>
            <w:r>
              <w:rPr>
                <w:rFonts w:ascii="Calibri" w:cs="Calibri" w:eastAsia="Calibri" w:hAnsi="Calibri"/>
                <w:b/>
                <w:bCs/>
                <w:color w:val="1F6B4D"/>
                <w:sz w:val="23"/>
                <w:szCs w:val="23"/>
              </w:rPr>
              <w:t xml:space="preserve">✅ Poin Kunci</w:t>
            </w:r>
          </w:p>
          <w:p>
            <w:pPr>
              <w:pStyle w:val="ListParagraph"/>
              <w:numPr>
                <w:ilvl w:val="0"/>
                <w:numId w:val="2"/>
              </w:numPr>
              <w:spacing w:after="60"/>
            </w:pPr>
            <w:r>
              <w:rPr>
                <w:rFonts w:ascii="Calibri" w:cs="Calibri" w:eastAsia="Calibri" w:hAnsi="Calibri"/>
                <w:color w:val="3A3A3A"/>
                <w:sz w:val="21"/>
                <w:szCs w:val="21"/>
              </w:rPr>
              <w:t xml:space="preserve">Kompetensi Konsultan Obstetri Ginekologi Sosial tersusun atas tiga domain: klinis holistik biopsikososial, manajerial-tata kelola mutu, dan program berbasis masyarakat.</w:t>
            </w:r>
          </w:p>
          <w:p>
            <w:pPr>
              <w:pStyle w:val="ListParagraph"/>
              <w:numPr>
                <w:ilvl w:val="0"/>
                <w:numId w:val="2"/>
              </w:numPr>
              <w:spacing w:after="60"/>
            </w:pPr>
            <w:r>
              <w:rPr>
                <w:rFonts w:ascii="Calibri" w:cs="Calibri" w:eastAsia="Calibri" w:hAnsi="Calibri"/>
                <w:color w:val="3A3A3A"/>
                <w:sz w:val="21"/>
                <w:szCs w:val="21"/>
              </w:rPr>
              <w:t xml:space="preserve">Tabel 19 Kepkonsil menjabarkan sembilan komponen kompetensi penatalaksanaan klinis, tersusun mengikuti alur pengambilan keputusan klinis dengan penekanan dimensi sosial-etik.</w:t>
            </w:r>
          </w:p>
          <w:p>
            <w:pPr>
              <w:pStyle w:val="ListParagraph"/>
              <w:numPr>
                <w:ilvl w:val="0"/>
                <w:numId w:val="2"/>
              </w:numPr>
              <w:spacing w:after="60"/>
            </w:pPr>
            <w:r>
              <w:rPr>
                <w:rFonts w:ascii="Calibri" w:cs="Calibri" w:eastAsia="Calibri" w:hAnsi="Calibri"/>
                <w:color w:val="3A3A3A"/>
                <w:sz w:val="21"/>
                <w:szCs w:val="21"/>
              </w:rPr>
              <w:t xml:space="preserve">Tabel 25 Kepkonsil menjabarkan dua puluh enam kompetensi prosedur klinis lengkap dengan kriteria kinerja dan volume kasus minimal.</w:t>
            </w:r>
          </w:p>
          <w:p>
            <w:pPr>
              <w:pStyle w:val="ListParagraph"/>
              <w:numPr>
                <w:ilvl w:val="0"/>
                <w:numId w:val="2"/>
              </w:numPr>
              <w:spacing w:after="60"/>
            </w:pPr>
            <w:r>
              <w:rPr>
                <w:rFonts w:ascii="Calibri" w:cs="Calibri" w:eastAsia="Calibri" w:hAnsi="Calibri"/>
                <w:color w:val="3A3A3A"/>
                <w:sz w:val="21"/>
                <w:szCs w:val="21"/>
              </w:rPr>
              <w:t xml:space="preserve">Seluruh tingkat kompetensi pada domain ini ditetapkan pada tingkat mandiri (tingkat 4), konsisten dengan kedudukan subspesialis sebagai praktisi independen dan penanggung jawab akhir kasus kompleks.</w:t>
            </w:r>
          </w:p>
          <w:p>
            <w:pPr>
              <w:pStyle w:val="ListParagraph"/>
              <w:numPr>
                <w:ilvl w:val="0"/>
                <w:numId w:val="2"/>
              </w:numPr>
              <w:spacing w:after="60"/>
            </w:pPr>
            <w:r>
              <w:rPr>
                <w:rFonts w:ascii="Calibri" w:cs="Calibri" w:eastAsia="Calibri" w:hAnsi="Calibri"/>
                <w:color w:val="3A3A3A"/>
                <w:sz w:val="21"/>
                <w:szCs w:val="21"/>
              </w:rPr>
              <w:t xml:space="preserve">Setiap item kompetensi dapat dipetakan langsung ke buku tematik yang membahasnya secara rinci, memudahkan navigasi lintas seri 14 buku.</w:t>
            </w:r>
          </w:p>
        </w:tc>
      </w:tr>
    </w:tbl>
    <w:p>
      <w:pPr>
        <w:spacing w:after="200"/>
      </w:pPr>
    </w:p>
    <w:p>
      <w:pPr>
        <w:pBdr>
          <w:top w:val="single" w:color="CCCCCC" w:sz="4" w:space="6"/>
        </w:pBdr>
        <w:spacing w:after="120" w:before="300"/>
      </w:pPr>
      <w:r>
        <w:rPr>
          <w:rFonts w:ascii="Calibri" w:cs="Calibri" w:eastAsia="Calibri" w:hAnsi="Calibri"/>
          <w:b/>
          <w:bCs/>
          <w:i/>
          <w:iCs/>
          <w:color w:val="555555"/>
          <w:sz w:val="21"/>
          <w:szCs w:val="21"/>
        </w:rPr>
        <w:t xml:space="preserve">Referensi Bab</w:t>
      </w:r>
    </w:p>
    <w:p>
      <w:pPr>
        <w:spacing w:after="100"/>
        <w:ind w:left="360" w:hanging="360"/>
      </w:pPr>
      <w:r>
        <w:rPr>
          <w:rFonts w:ascii="Calibri" w:cs="Calibri" w:eastAsia="Calibri" w:hAnsi="Calibri"/>
          <w:color w:val="555555"/>
          <w:sz w:val="20"/>
          <w:szCs w:val="20"/>
        </w:rPr>
        <w:t xml:space="preserve">1. </w:t>
      </w:r>
      <w:r>
        <w:rPr>
          <w:rFonts w:ascii="Calibri" w:cs="Calibri" w:eastAsia="Calibri" w:hAnsi="Calibri"/>
          <w:color w:val="555555"/>
          <w:sz w:val="20"/>
          <w:szCs w:val="20"/>
        </w:rPr>
        <w:t xml:space="preserve">Konsil Kesehatan Indonesia. Keputusan Ketua Konsil Kesehatan Indonesia Nomor HK.01.02/KKI/1318/2026 tentang Standar Kompetensi Dokter Spesialis dan Subspesialis Bidang Obstetri dan Ginekologi, Tabel 19 dan Tabel 25.</w:t>
      </w:r>
    </w:p>
    <w:p>
      <w:pPr>
        <w:spacing w:after="100"/>
        <w:ind w:left="360" w:hanging="360"/>
      </w:pPr>
      <w:r>
        <w:rPr>
          <w:rFonts w:ascii="Calibri" w:cs="Calibri" w:eastAsia="Calibri" w:hAnsi="Calibri"/>
          <w:color w:val="555555"/>
          <w:sz w:val="20"/>
          <w:szCs w:val="20"/>
        </w:rPr>
        <w:t xml:space="preserve">2. </w:t>
      </w:r>
      <w:r>
        <w:rPr>
          <w:rFonts w:ascii="Calibri" w:cs="Calibri" w:eastAsia="Calibri" w:hAnsi="Calibri"/>
          <w:color w:val="555555"/>
          <w:sz w:val="20"/>
          <w:szCs w:val="20"/>
        </w:rPr>
        <w:t xml:space="preserve">World Health Organization. Maternal and Perinatal Death Surveillance and Response: Technical Guidance. Geneva: WHO; edisi terkini.</w:t>
      </w:r>
    </w:p>
    <w:p>
      <w:pPr>
        <w:spacing w:after="100"/>
        <w:ind w:left="360" w:hanging="360"/>
      </w:pPr>
      <w:r>
        <w:rPr>
          <w:rFonts w:ascii="Calibri" w:cs="Calibri" w:eastAsia="Calibri" w:hAnsi="Calibri"/>
          <w:color w:val="555555"/>
          <w:sz w:val="20"/>
          <w:szCs w:val="20"/>
        </w:rPr>
        <w:t xml:space="preserve">3. </w:t>
      </w:r>
      <w:r>
        <w:rPr>
          <w:rFonts w:ascii="Calibri" w:cs="Calibri" w:eastAsia="Calibri" w:hAnsi="Calibri"/>
          <w:color w:val="555555"/>
          <w:sz w:val="20"/>
          <w:szCs w:val="20"/>
        </w:rPr>
        <w:t xml:space="preserve">Inter-Agency Working Group on Reproductive Health in Crises. Minimum Initial Service Package (MISP) for Sexual and Reproductive Health in Crisis Situations: Distance Learning Module. Tersedia di: https://iawg.net/resources/minimum-initial-service-package-distance-learning-module/</w:t>
      </w:r>
    </w:p>
    <w:p>
      <w:r>
        <w:br w:type="page"/>
      </w:r>
    </w:p>
    <w:p>
      <w:pPr>
        <w:pStyle w:val="Heading1"/>
        <w:pBdr>
          <w:bottom w:val="single" w:color="7A1F3D" w:sz="12" w:space="8"/>
        </w:pBdr>
        <w:spacing w:after="240" w:before="480"/>
      </w:pPr>
      <w:r>
        <w:rPr>
          <w:rFonts w:ascii="Calibri" w:cs="Calibri" w:eastAsia="Calibri" w:hAnsi="Calibri"/>
          <w:b/>
          <w:bCs/>
          <w:color w:val="7A1F3D"/>
          <w:sz w:val="34"/>
          <w:szCs w:val="34"/>
        </w:rPr>
        <w:t xml:space="preserve">Bab 3. Pendekatan Biopsikososial dalam Pelayanan Obstetri-Ginekologi</w:t>
      </w:r>
    </w:p>
    <w:tbl>
      <w:tblPr>
        <w:tblW w:type="dxa" w:w="9360"/>
        <w:tblBorders>
          <w:top w:val="single" w:color="7A1F3D" w:sz="6"/>
          <w:left w:val="single" w:color="7A1F3D" w:sz="24"/>
          <w:bottom w:val="single" w:color="7A1F3D" w:sz="6"/>
          <w:right w:val="single" w:color="7A1F3D" w:sz="6"/>
          <w:insideH w:val="none" w:color="F3E3E9" w:sz="0"/>
          <w:insideV w:val="none" w:color="F3E3E9" w:sz="0"/>
        </w:tblBorders>
      </w:tblPr>
      <w:tblGrid>
        <w:gridCol w:w="9360"/>
      </w:tblGrid>
      <w:tr>
        <w:tc>
          <w:tcPr>
            <w:tcW w:type="dxa" w:w="9360"/>
            <w:shd w:fill="F3E3E9" w:val="clear"/>
            <w:tcMar>
              <w:top w:type="dxa" w:w="160"/>
              <w:left w:type="dxa" w:w="220"/>
              <w:bottom w:type="dxa" w:w="160"/>
              <w:right w:type="dxa" w:w="220"/>
            </w:tcMar>
          </w:tcPr>
          <w:p>
            <w:pPr>
              <w:spacing w:after="120"/>
            </w:pPr>
            <w:r>
              <w:rPr>
                <w:rFonts w:ascii="Calibri" w:cs="Calibri" w:eastAsia="Calibri" w:hAnsi="Calibri"/>
                <w:b/>
                <w:bCs/>
                <w:color w:val="7A1F3D"/>
                <w:sz w:val="23"/>
                <w:szCs w:val="23"/>
              </w:rPr>
              <w:t xml:space="preserve">🎯 Tujuan Pembelajaran Bab</w:t>
            </w:r>
          </w:p>
          <w:p>
            <w:pPr>
              <w:pStyle w:val="ListParagraph"/>
              <w:numPr>
                <w:ilvl w:val="0"/>
                <w:numId w:val="2"/>
              </w:numPr>
              <w:spacing w:after="60"/>
            </w:pPr>
            <w:r>
              <w:rPr>
                <w:rFonts w:ascii="Calibri" w:cs="Calibri" w:eastAsia="Calibri" w:hAnsi="Calibri"/>
                <w:color w:val="3A3A3A"/>
                <w:sz w:val="21"/>
                <w:szCs w:val="21"/>
              </w:rPr>
              <w:t xml:space="preserve">Menjelaskan model biopsikososial Engel dan aplikasinya secara spesifik pada kesehatan reproduksi perempuan.</w:t>
            </w:r>
          </w:p>
          <w:p>
            <w:pPr>
              <w:pStyle w:val="ListParagraph"/>
              <w:numPr>
                <w:ilvl w:val="0"/>
                <w:numId w:val="2"/>
              </w:numPr>
              <w:spacing w:after="60"/>
            </w:pPr>
            <w:r>
              <w:rPr>
                <w:rFonts w:ascii="Calibri" w:cs="Calibri" w:eastAsia="Calibri" w:hAnsi="Calibri"/>
                <w:color w:val="3A3A3A"/>
                <w:sz w:val="21"/>
                <w:szCs w:val="21"/>
              </w:rPr>
              <w:t xml:space="preserve">Menguraikan prinsip skrining risiko sosial dan psikologis yang terintegrasi dalam alur klinis obstetri-ginekologi rutin.</w:t>
            </w:r>
          </w:p>
          <w:p>
            <w:pPr>
              <w:pStyle w:val="ListParagraph"/>
              <w:numPr>
                <w:ilvl w:val="0"/>
                <w:numId w:val="2"/>
              </w:numPr>
              <w:spacing w:after="60"/>
            </w:pPr>
            <w:r>
              <w:rPr>
                <w:rFonts w:ascii="Calibri" w:cs="Calibri" w:eastAsia="Calibri" w:hAnsi="Calibri"/>
                <w:color w:val="3A3A3A"/>
                <w:sz w:val="21"/>
                <w:szCs w:val="21"/>
              </w:rPr>
              <w:t xml:space="preserve">Menerapkan prinsip komunikasi dan konseling nondirektif pada kasus dengan dimensi etik-sosial sensitif.</w:t>
            </w:r>
          </w:p>
          <w:p>
            <w:pPr>
              <w:pStyle w:val="ListParagraph"/>
              <w:numPr>
                <w:ilvl w:val="0"/>
                <w:numId w:val="2"/>
              </w:numPr>
              <w:spacing w:after="60"/>
            </w:pPr>
            <w:r>
              <w:rPr>
                <w:rFonts w:ascii="Calibri" w:cs="Calibri" w:eastAsia="Calibri" w:hAnsi="Calibri"/>
                <w:color w:val="3A3A3A"/>
                <w:sz w:val="21"/>
                <w:szCs w:val="21"/>
              </w:rPr>
              <w:t xml:space="preserve">Menggunakan algoritma skrining biopsikososial generik sebagai rujukan silang bagi buku-buku tematik.</w:t>
            </w:r>
          </w:p>
        </w:tc>
      </w:tr>
    </w:tbl>
    <w:p>
      <w:pPr>
        <w:spacing w:after="200"/>
      </w:pPr>
    </w:p>
    <w:p>
      <w:pPr>
        <w:pStyle w:val="Heading2"/>
        <w:spacing w:after="160" w:before="320"/>
      </w:pPr>
      <w:r>
        <w:rPr>
          <w:rFonts w:ascii="Calibri" w:cs="Calibri" w:eastAsia="Calibri" w:hAnsi="Calibri"/>
          <w:b/>
          <w:bCs/>
          <w:color w:val="7A1F3D"/>
          <w:sz w:val="26"/>
          <w:szCs w:val="26"/>
        </w:rPr>
        <w:t xml:space="preserve">3.1 Model Biopsikososial dan Aplikasinya pada Kesehatan Reproduksi</w:t>
      </w:r>
    </w:p>
    <w:p>
      <w:pPr>
        <w:spacing w:after="160" w:line="300"/>
        <w:jc w:val="both"/>
      </w:pPr>
      <w:r>
        <w:rPr>
          <w:rFonts w:ascii="Calibri" w:cs="Calibri" w:eastAsia="Calibri" w:hAnsi="Calibri"/>
          <w:color w:val="333333"/>
          <w:sz w:val="22"/>
          <w:szCs w:val="22"/>
        </w:rPr>
        <w:t xml:space="preserve">Model biopsikososial Engel menempatkan tiga sistem — biologis, psikologis, dan sosial — sebagai satu kesatuan hierarkis yang saling memengaruhi, bukan sebagai tiga faktor yang berdiri sendiri lalu dijumlahkan. Diterapkan pada kesehatan reproduksi perempuan, model ini berarti bahwa gejala atau komplikasi biomedis (misalnya perdarahan pascasalin, preeklampsia, atau nyeri panggul kronik) selalu perlu dibaca sekaligus melalui lensa psikologis (bagaimana perempuan tersebut memaknai dan mengalami kondisinya, adakah gangguan mood atau ansietas yang menyertai) dan lensa sosial (dukungan keluarga, status ekonomi, akses layanan, norma budaya setempat mengenai kehamilan dan persalinan).</w:t>
      </w:r>
    </w:p>
    <w:p>
      <w:pPr>
        <w:spacing w:after="160" w:line="300"/>
        <w:jc w:val="both"/>
      </w:pPr>
      <w:r>
        <w:rPr>
          <w:rFonts w:ascii="Calibri" w:cs="Calibri" w:eastAsia="Calibri" w:hAnsi="Calibri"/>
          <w:color w:val="333333"/>
          <w:sz w:val="22"/>
          <w:szCs w:val="22"/>
        </w:rPr>
        <w:t xml:space="preserve">Penerapan praktis model ini pada Obstetri Ginekologi Sosial berbeda dari sekadar "menanyakan riwayat sosial" sebagai pelengkap anamnesis. Model biopsikososial menuntut integrasi aktif: temuan sosial-psikologis harus memengaruhi rencana terapi biomedis, bukan hanya dicatat sebagai catatan tambahan. Misalnya, pada pasien dengan diabetes gestasional yang tinggal jauh dari fasilitas pemantauan gula darah dan memiliki dukungan keluarga terbatas, rencana terapi yang realistis harus mempertimbangkan keterbatasan akses tersebut sejak awal — bukan menyusun rencana ideal secara biomedis lalu berharap pasien "patuh".</w:t>
      </w:r>
    </w:p>
    <w:p>
      <w:pPr>
        <w:spacing w:after="160" w:line="300"/>
        <w:jc w:val="both"/>
      </w:pPr>
      <w:r>
        <w:rPr>
          <w:rFonts w:ascii="Calibri" w:cs="Calibri" w:eastAsia="Calibri" w:hAnsi="Calibri"/>
          <w:color w:val="333333"/>
          <w:sz w:val="22"/>
          <w:szCs w:val="22"/>
        </w:rPr>
        <w:t xml:space="preserve">Selain sebagai kerangka konseptual, model biopsikososial juga berfungsi sebagai kerangka etik: ia mengingatkan klinisi bahwa perempuan yang dilayani bukan sekadar rahim atau organ reproduksi yang perlu ditangani secara teknis, melainkan individu dengan konteks hidup yang kompleks, hak atas otonomi, dan martabat yang harus dihormati bahkan — atau terutama — pada kondisi yang penuh stigma seperti kehamilan tidak diinginkan atau riwayat kekerasan seksual.</w:t>
      </w:r>
    </w:p>
    <w:p>
      <w:pPr>
        <w:pStyle w:val="Heading2"/>
        <w:spacing w:after="160" w:before="320"/>
      </w:pPr>
      <w:r>
        <w:rPr>
          <w:rFonts w:ascii="Calibri" w:cs="Calibri" w:eastAsia="Calibri" w:hAnsi="Calibri"/>
          <w:b/>
          <w:bCs/>
          <w:color w:val="7A1F3D"/>
          <w:sz w:val="26"/>
          <w:szCs w:val="26"/>
        </w:rPr>
        <w:t xml:space="preserve">3.2 Skrining Risiko Sosial dan Psikologis Terintegrasi</w:t>
      </w:r>
    </w:p>
    <w:p>
      <w:pPr>
        <w:spacing w:after="160" w:line="300"/>
        <w:jc w:val="both"/>
      </w:pPr>
      <w:r>
        <w:rPr>
          <w:rFonts w:ascii="Calibri" w:cs="Calibri" w:eastAsia="Calibri" w:hAnsi="Calibri"/>
          <w:color w:val="333333"/>
          <w:sz w:val="22"/>
          <w:szCs w:val="22"/>
        </w:rPr>
        <w:t xml:space="preserve">Skrining risiko sosial dan psikologis yang efektif harus terintegrasi dalam alur pelayanan rutin, bukan menjadi prosedur terpisah yang hanya dilakukan pada kasus yang "tampak" bermasalah. Prinsip ini penting karena banyak kondisi berisiko tinggi — kekerasan dalam rumah tangga, depresi antenatal, atau kehamilan tidak diinginkan yang disembunyikan — tidak selalu tampak dari penampilan atau perilaku pasien saat kunjungan klinik.</w:t>
      </w:r>
    </w:p>
    <w:p>
      <w:pPr>
        <w:spacing w:after="160" w:line="300"/>
        <w:jc w:val="both"/>
      </w:pPr>
      <w:r>
        <w:rPr>
          <w:rFonts w:ascii="Calibri" w:cs="Calibri" w:eastAsia="Calibri" w:hAnsi="Calibri"/>
          <w:color w:val="333333"/>
          <w:sz w:val="22"/>
          <w:szCs w:val="22"/>
        </w:rPr>
        <w:t xml:space="preserve">Skrining terintegrasi memiliki beberapa prinsip operasional. Pertama, prinsip universal namun proporsional: pertanyaan skrining dasar (misalnya mengenai dukungan pasangan, riwayat kekerasan, gejala mood) diajukan kepada seluruh pasien pada momen kontak tertentu (kunjungan antenatal pertama, kontrol nifas), namun kedalaman penggalian disesuaikan dengan respons awal pasien. Kedua, prinsip privasi dan keamanan: pertanyaan sensitif — terutama mengenai kekerasan — harus dilakukan tanpa kehadiran pasangan atau anggota keluarga lain di ruang pemeriksaan, dengan kalimat pembuka yang menormalkan pertanyaan tersebut sebagai bagian rutin pelayanan bagi semua pasien, bukan kecurigaan spesifik terhadap pasien tersebut. Ketiga, prinsip tindak lanjut yang jelas: skrining tanpa alur rujukan dan intervensi yang jelas berisiko menjadi formalitas administratif yang justru dapat membahayakan pasien bila hasil positif tidak ditindaklanjuti secara aman.</w:t>
      </w:r>
    </w:p>
    <w:p>
      <w:pPr>
        <w:spacing w:after="160" w:line="300"/>
        <w:jc w:val="both"/>
      </w:pPr>
      <w:r>
        <w:rPr>
          <w:rFonts w:ascii="Calibri" w:cs="Calibri" w:eastAsia="Calibri" w:hAnsi="Calibri"/>
          <w:color w:val="333333"/>
          <w:sz w:val="22"/>
          <w:szCs w:val="22"/>
        </w:rPr>
        <w:t xml:space="preserve">Instrumen skrining yang digunakan sebaiknya sudah divalidasi dan sederhana untuk diterapkan dalam waktu terbatas, mencakup domain risiko obstetri-medis (usia, paritas, komorbiditas), domain psikologis (gejala depresi/ansietas, riwayat gangguan jiwa, risiko bunuh diri), dan domain sosial (dukungan pasangan/keluarga, status ekonomi, riwayat atau paparan kekerasan, akses transportasi ke fasilitas rujukan). Ketiga domain ini akan dijabarkan secara spesifik pada instrumen skrining tiap buku tematik (Buku 1, 4, dan 6 khususnya), namun kerangka umum alurnya disajikan sebagai algoritma generik pada subbab berikut.</w:t>
      </w:r>
    </w:p>
    <w:p>
      <w:pPr>
        <w:pStyle w:val="Heading2"/>
        <w:spacing w:after="160" w:before="320"/>
      </w:pPr>
      <w:r>
        <w:rPr>
          <w:rFonts w:ascii="Calibri" w:cs="Calibri" w:eastAsia="Calibri" w:hAnsi="Calibri"/>
          <w:b/>
          <w:bCs/>
          <w:color w:val="7A1F3D"/>
          <w:sz w:val="26"/>
          <w:szCs w:val="26"/>
        </w:rPr>
        <w:t xml:space="preserve">3.3 Komunikasi dan Konseling Nondirektif</w:t>
      </w:r>
    </w:p>
    <w:p>
      <w:pPr>
        <w:spacing w:after="160" w:line="300"/>
        <w:jc w:val="both"/>
      </w:pPr>
      <w:r>
        <w:rPr>
          <w:rFonts w:ascii="Calibri" w:cs="Calibri" w:eastAsia="Calibri" w:hAnsi="Calibri"/>
          <w:color w:val="333333"/>
          <w:sz w:val="22"/>
          <w:szCs w:val="22"/>
        </w:rPr>
        <w:t xml:space="preserve">Komunikasi dan konseling nondirektif adalah keterampilan inti yang membedakan pendekatan sosial dari pendekatan instruktif konvensional dalam kedokteran. Konseling nondirektif berarti klinisi memberikan informasi yang lengkap, akurat, dan seimbang mengenai pilihan-pilihan yang tersedia bagi pasien — termasuk konsekuensi medis, psikologis, sosial, dan hukum masing-masing pilihan — tanpa mengarahkan pasien pada satu pilihan tertentu berdasarkan nilai pribadi klinisi.</w:t>
      </w:r>
    </w:p>
    <w:p>
      <w:pPr>
        <w:spacing w:after="160" w:line="300"/>
        <w:jc w:val="both"/>
      </w:pPr>
      <w:r>
        <w:rPr>
          <w:rFonts w:ascii="Calibri" w:cs="Calibri" w:eastAsia="Calibri" w:hAnsi="Calibri"/>
          <w:color w:val="333333"/>
          <w:sz w:val="22"/>
          <w:szCs w:val="22"/>
        </w:rPr>
        <w:t xml:space="preserve">Prinsip ini paling sering diuji pada kasus dengan dimensi etik tinggi: kehamilan tidak diinginkan, kehamilan remaja, atau keputusan terkait kontrasepsi permanen. Pada situasi ini, klinisi wajib memastikan pasien memahami seluruh pilihan yang secara hukum tersedia di Indonesia berikut batasannya masing-masing, memberi ruang bagi pasien untuk mengambil keputusan sesuai nilai dan konteks hidupnya sendiri, serta mendokumentasikan proses konseling tersebut secara jelas sebagai bagian dari informed consent yang sah secara etik dan hukum.</w:t>
      </w:r>
    </w:p>
    <w:p>
      <w:pPr>
        <w:spacing w:after="160" w:line="300"/>
        <w:jc w:val="both"/>
      </w:pPr>
      <w:r>
        <w:rPr>
          <w:rFonts w:ascii="Calibri" w:cs="Calibri" w:eastAsia="Calibri" w:hAnsi="Calibri"/>
          <w:color w:val="333333"/>
          <w:sz w:val="22"/>
          <w:szCs w:val="22"/>
        </w:rPr>
        <w:t xml:space="preserve">Konseling nondirektif bukan berarti klinisi bersikap pasif atau menghindari topik sulit. Sebaliknya, keterampilan ini menuntut kemampuan aktif menggali pemahaman dan kekhawatiran pasien, mengoreksi kesalahpahaman informasi secara netral, serta mengenali kapan pasien memerlukan dukungan psikologis tambahan sebelum mampu mengambil keputusan yang otonom. Bahasa yang digunakan harus konsisten netral dan tidak menghakimi, sebagaimana ditegaskan pada Bagian G Instruksi Umum seri buku ini — menghindari istilah yang bermuatan moral (misalnya menyebut pasien "korban dari kesalahannya sendiri") dan senantiasa menempatkan martabat serta privasi pasien sebagai prioritas.</w:t>
      </w:r>
    </w:p>
    <w:p>
      <w:pPr>
        <w:pStyle w:val="Heading2"/>
        <w:spacing w:after="160" w:before="320"/>
      </w:pPr>
      <w:r>
        <w:rPr>
          <w:rFonts w:ascii="Calibri" w:cs="Calibri" w:eastAsia="Calibri" w:hAnsi="Calibri"/>
          <w:b/>
          <w:bCs/>
          <w:color w:val="7A1F3D"/>
          <w:sz w:val="26"/>
          <w:szCs w:val="26"/>
        </w:rPr>
        <w:t xml:space="preserve">Algoritma Skrining Biopsikososial Generik (Rujukan Silang Buku 1–10)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A1F3D" w:sz="4"/>
              <w:left w:val="single" w:color="7A1F3D" w:sz="4"/>
              <w:bottom w:val="single" w:color="7A1F3D" w:sz="4"/>
              <w:right w:val="single" w:color="7A1F3D" w:sz="4"/>
            </w:tcBorders>
            <w:shd w:fill="F3E3E9" w:val="clear"/>
            <w:tcMar>
              <w:top w:type="dxa" w:w="120"/>
              <w:left w:type="dxa" w:w="200"/>
              <w:bottom w:type="dxa" w:w="120"/>
              <w:right w:type="dxa" w:w="200"/>
            </w:tcMar>
            <w:vAlign w:val="center"/>
          </w:tcPr>
          <w:p>
            <w:pPr>
              <w:jc w:val="center"/>
            </w:pPr>
            <w:r>
              <w:rPr>
                <w:rFonts w:ascii="Calibri" w:cs="Calibri" w:eastAsia="Calibri" w:hAnsi="Calibri"/>
                <w:b/>
                <w:bCs/>
                <w:color w:val="7A1F3D"/>
                <w:sz w:val="22"/>
                <w:szCs w:val="22"/>
              </w:rPr>
              <w:t xml:space="preserve">1. </w:t>
            </w:r>
            <w:r>
              <w:rPr>
                <w:rFonts w:ascii="Calibri" w:cs="Calibri" w:eastAsia="Calibri" w:hAnsi="Calibri"/>
                <w:color w:val="333333"/>
                <w:sz w:val="22"/>
                <w:szCs w:val="22"/>
              </w:rPr>
              <w:t xml:space="preserve">Kontak klinis (kunjungan antenatal/nifas/ginekologi rutin)</w:t>
            </w:r>
          </w:p>
        </w:tc>
      </w:tr>
      <w:tr>
        <w:tc>
          <w:tcPr>
            <w:tcW w:type="dxa" w:w="9360"/>
            <w:tcBorders>
              <w:top w:val="none" w:color="FFFFFF" w:sz="0"/>
              <w:left w:val="none" w:color="FFFFFF" w:sz="0"/>
              <w:bottom w:val="none" w:color="FFFFFF" w:sz="0"/>
              <w:right w:val="none" w:color="FFFFFF" w:sz="0"/>
            </w:tcBorders>
            <w:tcMar>
              <w:top w:type="dxa" w:w="20"/>
              <w:bottom w:type="dxa" w:w="20"/>
            </w:tcMar>
          </w:tcPr>
          <w:p>
            <w:pPr>
              <w:jc w:val="center"/>
            </w:pPr>
            <w:r>
              <w:rPr>
                <w:rFonts w:ascii="Calibri" w:cs="Calibri" w:eastAsia="Calibri" w:hAnsi="Calibri"/>
                <w:b/>
                <w:bCs/>
                <w:color w:val="7A1F3D"/>
                <w:sz w:val="26"/>
                <w:szCs w:val="26"/>
              </w:rPr>
              <w:t xml:space="preserve">▼</w:t>
            </w:r>
          </w:p>
        </w:tc>
      </w:tr>
      <w:tr>
        <w:tc>
          <w:tcPr>
            <w:tcW w:type="dxa" w:w="9360"/>
            <w:tcBorders>
              <w:top w:val="single" w:color="7A1F3D" w:sz="4"/>
              <w:left w:val="single" w:color="7A1F3D" w:sz="4"/>
              <w:bottom w:val="single" w:color="7A1F3D" w:sz="4"/>
              <w:right w:val="single" w:color="7A1F3D" w:sz="4"/>
            </w:tcBorders>
            <w:shd w:fill="FBF3E7" w:val="clear"/>
            <w:tcMar>
              <w:top w:type="dxa" w:w="120"/>
              <w:left w:type="dxa" w:w="200"/>
              <w:bottom w:type="dxa" w:w="120"/>
              <w:right w:type="dxa" w:w="200"/>
            </w:tcMar>
            <w:vAlign w:val="center"/>
          </w:tcPr>
          <w:p>
            <w:pPr>
              <w:jc w:val="center"/>
            </w:pPr>
            <w:r>
              <w:rPr>
                <w:rFonts w:ascii="Calibri" w:cs="Calibri" w:eastAsia="Calibri" w:hAnsi="Calibri"/>
                <w:b/>
                <w:bCs/>
                <w:color w:val="7A1F3D"/>
                <w:sz w:val="22"/>
                <w:szCs w:val="22"/>
              </w:rPr>
              <w:t xml:space="preserve">2. </w:t>
            </w:r>
            <w:r>
              <w:rPr>
                <w:rFonts w:ascii="Calibri" w:cs="Calibri" w:eastAsia="Calibri" w:hAnsi="Calibri"/>
                <w:color w:val="333333"/>
                <w:sz w:val="22"/>
                <w:szCs w:val="22"/>
              </w:rPr>
              <w:t xml:space="preserve">Skrining universal: risiko obstetri-medis, gejala mood/ansietas, dukungan sosial &amp; riwayat kekerasan (pertanyaan tertutup, privat)</w:t>
            </w:r>
          </w:p>
        </w:tc>
      </w:tr>
      <w:tr>
        <w:tc>
          <w:tcPr>
            <w:tcW w:type="dxa" w:w="9360"/>
            <w:tcBorders>
              <w:top w:val="none" w:color="FFFFFF" w:sz="0"/>
              <w:left w:val="none" w:color="FFFFFF" w:sz="0"/>
              <w:bottom w:val="none" w:color="FFFFFF" w:sz="0"/>
              <w:right w:val="none" w:color="FFFFFF" w:sz="0"/>
            </w:tcBorders>
            <w:tcMar>
              <w:top w:type="dxa" w:w="20"/>
              <w:bottom w:type="dxa" w:w="20"/>
            </w:tcMar>
          </w:tcPr>
          <w:p>
            <w:pPr>
              <w:jc w:val="center"/>
            </w:pPr>
            <w:r>
              <w:rPr>
                <w:rFonts w:ascii="Calibri" w:cs="Calibri" w:eastAsia="Calibri" w:hAnsi="Calibri"/>
                <w:b/>
                <w:bCs/>
                <w:color w:val="7A1F3D"/>
                <w:sz w:val="26"/>
                <w:szCs w:val="26"/>
              </w:rPr>
              <w:t xml:space="preserve">▼</w:t>
            </w:r>
          </w:p>
        </w:tc>
      </w:tr>
      <w:tr>
        <w:tc>
          <w:tcPr>
            <w:tcW w:type="dxa" w:w="9360"/>
            <w:tcBorders>
              <w:top w:val="single" w:color="7A1F3D" w:sz="4"/>
              <w:left w:val="single" w:color="7A1F3D" w:sz="4"/>
              <w:bottom w:val="single" w:color="7A1F3D" w:sz="4"/>
              <w:right w:val="single" w:color="7A1F3D" w:sz="4"/>
            </w:tcBorders>
            <w:shd w:fill="F3E3E9" w:val="clear"/>
            <w:tcMar>
              <w:top w:type="dxa" w:w="120"/>
              <w:left w:type="dxa" w:w="200"/>
              <w:bottom w:type="dxa" w:w="120"/>
              <w:right w:type="dxa" w:w="200"/>
            </w:tcMar>
            <w:vAlign w:val="center"/>
          </w:tcPr>
          <w:p>
            <w:pPr>
              <w:jc w:val="center"/>
            </w:pPr>
            <w:r>
              <w:rPr>
                <w:rFonts w:ascii="Calibri" w:cs="Calibri" w:eastAsia="Calibri" w:hAnsi="Calibri"/>
                <w:b/>
                <w:bCs/>
                <w:color w:val="7A1F3D"/>
                <w:sz w:val="22"/>
                <w:szCs w:val="22"/>
              </w:rPr>
              <w:t xml:space="preserve">3. </w:t>
            </w:r>
            <w:r>
              <w:rPr>
                <w:rFonts w:ascii="Calibri" w:cs="Calibri" w:eastAsia="Calibri" w:hAnsi="Calibri"/>
                <w:color w:val="333333"/>
                <w:sz w:val="22"/>
                <w:szCs w:val="22"/>
              </w:rPr>
              <w:t xml:space="preserve">Hasil skrining negatif → lanjutkan asuhan rutin, ulangi skrining pada kontak berikutnya</w:t>
            </w:r>
          </w:p>
        </w:tc>
      </w:tr>
      <w:tr>
        <w:tc>
          <w:tcPr>
            <w:tcW w:type="dxa" w:w="9360"/>
            <w:tcBorders>
              <w:top w:val="none" w:color="FFFFFF" w:sz="0"/>
              <w:left w:val="none" w:color="FFFFFF" w:sz="0"/>
              <w:bottom w:val="none" w:color="FFFFFF" w:sz="0"/>
              <w:right w:val="none" w:color="FFFFFF" w:sz="0"/>
            </w:tcBorders>
            <w:tcMar>
              <w:top w:type="dxa" w:w="20"/>
              <w:bottom w:type="dxa" w:w="20"/>
            </w:tcMar>
          </w:tcPr>
          <w:p>
            <w:pPr>
              <w:jc w:val="center"/>
            </w:pPr>
            <w:r>
              <w:rPr>
                <w:rFonts w:ascii="Calibri" w:cs="Calibri" w:eastAsia="Calibri" w:hAnsi="Calibri"/>
                <w:b/>
                <w:bCs/>
                <w:color w:val="7A1F3D"/>
                <w:sz w:val="26"/>
                <w:szCs w:val="26"/>
              </w:rPr>
              <w:t xml:space="preserve">▼</w:t>
            </w:r>
          </w:p>
        </w:tc>
      </w:tr>
      <w:tr>
        <w:tc>
          <w:tcPr>
            <w:tcW w:type="dxa" w:w="9360"/>
            <w:tcBorders>
              <w:top w:val="single" w:color="7A1F3D" w:sz="4"/>
              <w:left w:val="single" w:color="7A1F3D" w:sz="4"/>
              <w:bottom w:val="single" w:color="7A1F3D" w:sz="4"/>
              <w:right w:val="single" w:color="7A1F3D" w:sz="4"/>
            </w:tcBorders>
            <w:shd w:fill="FBF3E7" w:val="clear"/>
            <w:tcMar>
              <w:top w:type="dxa" w:w="120"/>
              <w:left w:type="dxa" w:w="200"/>
              <w:bottom w:type="dxa" w:w="120"/>
              <w:right w:type="dxa" w:w="200"/>
            </w:tcMar>
            <w:vAlign w:val="center"/>
          </w:tcPr>
          <w:p>
            <w:pPr>
              <w:jc w:val="center"/>
            </w:pPr>
            <w:r>
              <w:rPr>
                <w:rFonts w:ascii="Calibri" w:cs="Calibri" w:eastAsia="Calibri" w:hAnsi="Calibri"/>
                <w:b/>
                <w:bCs/>
                <w:color w:val="7A1F3D"/>
                <w:sz w:val="22"/>
                <w:szCs w:val="22"/>
              </w:rPr>
              <w:t xml:space="preserve">4. </w:t>
            </w:r>
            <w:r>
              <w:rPr>
                <w:rFonts w:ascii="Calibri" w:cs="Calibri" w:eastAsia="Calibri" w:hAnsi="Calibri"/>
                <w:color w:val="333333"/>
                <w:sz w:val="22"/>
                <w:szCs w:val="22"/>
              </w:rPr>
              <w:t xml:space="preserve">Hasil skrining positif/mencurigakan → pendalaman terarah sesuai domain (medis / psikologis / sosial)</w:t>
            </w:r>
          </w:p>
        </w:tc>
      </w:tr>
      <w:tr>
        <w:tc>
          <w:tcPr>
            <w:tcW w:type="dxa" w:w="9360"/>
            <w:tcBorders>
              <w:top w:val="none" w:color="FFFFFF" w:sz="0"/>
              <w:left w:val="none" w:color="FFFFFF" w:sz="0"/>
              <w:bottom w:val="none" w:color="FFFFFF" w:sz="0"/>
              <w:right w:val="none" w:color="FFFFFF" w:sz="0"/>
            </w:tcBorders>
            <w:tcMar>
              <w:top w:type="dxa" w:w="20"/>
              <w:bottom w:type="dxa" w:w="20"/>
            </w:tcMar>
          </w:tcPr>
          <w:p>
            <w:pPr>
              <w:jc w:val="center"/>
            </w:pPr>
            <w:r>
              <w:rPr>
                <w:rFonts w:ascii="Calibri" w:cs="Calibri" w:eastAsia="Calibri" w:hAnsi="Calibri"/>
                <w:b/>
                <w:bCs/>
                <w:color w:val="7A1F3D"/>
                <w:sz w:val="26"/>
                <w:szCs w:val="26"/>
              </w:rPr>
              <w:t xml:space="preserve">▼</w:t>
            </w:r>
          </w:p>
        </w:tc>
      </w:tr>
      <w:tr>
        <w:tc>
          <w:tcPr>
            <w:tcW w:type="dxa" w:w="9360"/>
            <w:tcBorders>
              <w:top w:val="single" w:color="7A1F3D" w:sz="4"/>
              <w:left w:val="single" w:color="7A1F3D" w:sz="4"/>
              <w:bottom w:val="single" w:color="7A1F3D" w:sz="4"/>
              <w:right w:val="single" w:color="7A1F3D" w:sz="4"/>
            </w:tcBorders>
            <w:shd w:fill="F3E3E9" w:val="clear"/>
            <w:tcMar>
              <w:top w:type="dxa" w:w="120"/>
              <w:left w:type="dxa" w:w="200"/>
              <w:bottom w:type="dxa" w:w="120"/>
              <w:right w:type="dxa" w:w="200"/>
            </w:tcMar>
            <w:vAlign w:val="center"/>
          </w:tcPr>
          <w:p>
            <w:pPr>
              <w:jc w:val="center"/>
            </w:pPr>
            <w:r>
              <w:rPr>
                <w:rFonts w:ascii="Calibri" w:cs="Calibri" w:eastAsia="Calibri" w:hAnsi="Calibri"/>
                <w:b/>
                <w:bCs/>
                <w:color w:val="7A1F3D"/>
                <w:sz w:val="22"/>
                <w:szCs w:val="22"/>
              </w:rPr>
              <w:t xml:space="preserve">5. </w:t>
            </w:r>
            <w:r>
              <w:rPr>
                <w:rFonts w:ascii="Calibri" w:cs="Calibri" w:eastAsia="Calibri" w:hAnsi="Calibri"/>
                <w:color w:val="333333"/>
                <w:sz w:val="22"/>
                <w:szCs w:val="22"/>
              </w:rPr>
              <w:t xml:space="preserve">Penilaian risiko akut (bunuh diri, kegawatdaruratan medis, keselamatan fisik segera)</w:t>
            </w:r>
          </w:p>
        </w:tc>
      </w:tr>
      <w:tr>
        <w:tc>
          <w:tcPr>
            <w:tcW w:type="dxa" w:w="9360"/>
            <w:tcBorders>
              <w:top w:val="none" w:color="FFFFFF" w:sz="0"/>
              <w:left w:val="none" w:color="FFFFFF" w:sz="0"/>
              <w:bottom w:val="none" w:color="FFFFFF" w:sz="0"/>
              <w:right w:val="none" w:color="FFFFFF" w:sz="0"/>
            </w:tcBorders>
            <w:tcMar>
              <w:top w:type="dxa" w:w="20"/>
              <w:bottom w:type="dxa" w:w="20"/>
            </w:tcMar>
          </w:tcPr>
          <w:p>
            <w:pPr>
              <w:jc w:val="center"/>
            </w:pPr>
            <w:r>
              <w:rPr>
                <w:rFonts w:ascii="Calibri" w:cs="Calibri" w:eastAsia="Calibri" w:hAnsi="Calibri"/>
                <w:b/>
                <w:bCs/>
                <w:color w:val="7A1F3D"/>
                <w:sz w:val="26"/>
                <w:szCs w:val="26"/>
              </w:rPr>
              <w:t xml:space="preserve">▼</w:t>
            </w:r>
          </w:p>
        </w:tc>
      </w:tr>
      <w:tr>
        <w:tc>
          <w:tcPr>
            <w:tcW w:type="dxa" w:w="9360"/>
            <w:tcBorders>
              <w:top w:val="single" w:color="7A1F3D" w:sz="4"/>
              <w:left w:val="single" w:color="7A1F3D" w:sz="4"/>
              <w:bottom w:val="single" w:color="7A1F3D" w:sz="4"/>
              <w:right w:val="single" w:color="7A1F3D" w:sz="4"/>
            </w:tcBorders>
            <w:shd w:fill="FBF3E7" w:val="clear"/>
            <w:tcMar>
              <w:top w:type="dxa" w:w="120"/>
              <w:left w:type="dxa" w:w="200"/>
              <w:bottom w:type="dxa" w:w="120"/>
              <w:right w:type="dxa" w:w="200"/>
            </w:tcMar>
            <w:vAlign w:val="center"/>
          </w:tcPr>
          <w:p>
            <w:pPr>
              <w:jc w:val="center"/>
            </w:pPr>
            <w:r>
              <w:rPr>
                <w:rFonts w:ascii="Calibri" w:cs="Calibri" w:eastAsia="Calibri" w:hAnsi="Calibri"/>
                <w:b/>
                <w:bCs/>
                <w:color w:val="7A1F3D"/>
                <w:sz w:val="22"/>
                <w:szCs w:val="22"/>
              </w:rPr>
              <w:t xml:space="preserve">6. </w:t>
            </w:r>
            <w:r>
              <w:rPr>
                <w:rFonts w:ascii="Calibri" w:cs="Calibri" w:eastAsia="Calibri" w:hAnsi="Calibri"/>
                <w:color w:val="333333"/>
                <w:sz w:val="22"/>
                <w:szCs w:val="22"/>
              </w:rPr>
              <w:t xml:space="preserve">Risiko akut ada → intervensi/rujukan darurat multidisiplin segera (psikiatri, PPK gawat darurat, layanan pelindungan)</w:t>
            </w:r>
          </w:p>
        </w:tc>
      </w:tr>
      <w:tr>
        <w:tc>
          <w:tcPr>
            <w:tcW w:type="dxa" w:w="9360"/>
            <w:tcBorders>
              <w:top w:val="none" w:color="FFFFFF" w:sz="0"/>
              <w:left w:val="none" w:color="FFFFFF" w:sz="0"/>
              <w:bottom w:val="none" w:color="FFFFFF" w:sz="0"/>
              <w:right w:val="none" w:color="FFFFFF" w:sz="0"/>
            </w:tcBorders>
            <w:tcMar>
              <w:top w:type="dxa" w:w="20"/>
              <w:bottom w:type="dxa" w:w="20"/>
            </w:tcMar>
          </w:tcPr>
          <w:p>
            <w:pPr>
              <w:jc w:val="center"/>
            </w:pPr>
            <w:r>
              <w:rPr>
                <w:rFonts w:ascii="Calibri" w:cs="Calibri" w:eastAsia="Calibri" w:hAnsi="Calibri"/>
                <w:b/>
                <w:bCs/>
                <w:color w:val="7A1F3D"/>
                <w:sz w:val="26"/>
                <w:szCs w:val="26"/>
              </w:rPr>
              <w:t xml:space="preserve">▼</w:t>
            </w:r>
          </w:p>
        </w:tc>
      </w:tr>
      <w:tr>
        <w:tc>
          <w:tcPr>
            <w:tcW w:type="dxa" w:w="9360"/>
            <w:tcBorders>
              <w:top w:val="single" w:color="7A1F3D" w:sz="4"/>
              <w:left w:val="single" w:color="7A1F3D" w:sz="4"/>
              <w:bottom w:val="single" w:color="7A1F3D" w:sz="4"/>
              <w:right w:val="single" w:color="7A1F3D" w:sz="4"/>
            </w:tcBorders>
            <w:shd w:fill="F3E3E9" w:val="clear"/>
            <w:tcMar>
              <w:top w:type="dxa" w:w="120"/>
              <w:left w:type="dxa" w:w="200"/>
              <w:bottom w:type="dxa" w:w="120"/>
              <w:right w:type="dxa" w:w="200"/>
            </w:tcMar>
            <w:vAlign w:val="center"/>
          </w:tcPr>
          <w:p>
            <w:pPr>
              <w:jc w:val="center"/>
            </w:pPr>
            <w:r>
              <w:rPr>
                <w:rFonts w:ascii="Calibri" w:cs="Calibri" w:eastAsia="Calibri" w:hAnsi="Calibri"/>
                <w:b/>
                <w:bCs/>
                <w:color w:val="7A1F3D"/>
                <w:sz w:val="22"/>
                <w:szCs w:val="22"/>
              </w:rPr>
              <w:t xml:space="preserve">7. </w:t>
            </w:r>
            <w:r>
              <w:rPr>
                <w:rFonts w:ascii="Calibri" w:cs="Calibri" w:eastAsia="Calibri" w:hAnsi="Calibri"/>
                <w:color w:val="333333"/>
                <w:sz w:val="22"/>
                <w:szCs w:val="22"/>
              </w:rPr>
              <w:t xml:space="preserve">Risiko tidak akut → konseling nondirektif, rencana tindak lanjut terjadwal, rujukan terencana (psikologi/pekerja sosial/hukum sesuai kebutuhan)</w:t>
            </w:r>
          </w:p>
        </w:tc>
      </w:tr>
      <w:tr>
        <w:tc>
          <w:tcPr>
            <w:tcW w:type="dxa" w:w="9360"/>
            <w:tcBorders>
              <w:top w:val="none" w:color="FFFFFF" w:sz="0"/>
              <w:left w:val="none" w:color="FFFFFF" w:sz="0"/>
              <w:bottom w:val="none" w:color="FFFFFF" w:sz="0"/>
              <w:right w:val="none" w:color="FFFFFF" w:sz="0"/>
            </w:tcBorders>
            <w:tcMar>
              <w:top w:type="dxa" w:w="20"/>
              <w:bottom w:type="dxa" w:w="20"/>
            </w:tcMar>
          </w:tcPr>
          <w:p>
            <w:pPr>
              <w:jc w:val="center"/>
            </w:pPr>
            <w:r>
              <w:rPr>
                <w:rFonts w:ascii="Calibri" w:cs="Calibri" w:eastAsia="Calibri" w:hAnsi="Calibri"/>
                <w:b/>
                <w:bCs/>
                <w:color w:val="7A1F3D"/>
                <w:sz w:val="26"/>
                <w:szCs w:val="26"/>
              </w:rPr>
              <w:t xml:space="preserve">▼</w:t>
            </w:r>
          </w:p>
        </w:tc>
      </w:tr>
      <w:tr>
        <w:tc>
          <w:tcPr>
            <w:tcW w:type="dxa" w:w="9360"/>
            <w:tcBorders>
              <w:top w:val="single" w:color="7A1F3D" w:sz="4"/>
              <w:left w:val="single" w:color="7A1F3D" w:sz="4"/>
              <w:bottom w:val="single" w:color="7A1F3D" w:sz="4"/>
              <w:right w:val="single" w:color="7A1F3D" w:sz="4"/>
            </w:tcBorders>
            <w:shd w:fill="FBF3E7" w:val="clear"/>
            <w:tcMar>
              <w:top w:type="dxa" w:w="120"/>
              <w:left w:type="dxa" w:w="200"/>
              <w:bottom w:type="dxa" w:w="120"/>
              <w:right w:type="dxa" w:w="200"/>
            </w:tcMar>
            <w:vAlign w:val="center"/>
          </w:tcPr>
          <w:p>
            <w:pPr>
              <w:jc w:val="center"/>
            </w:pPr>
            <w:r>
              <w:rPr>
                <w:rFonts w:ascii="Calibri" w:cs="Calibri" w:eastAsia="Calibri" w:hAnsi="Calibri"/>
                <w:b/>
                <w:bCs/>
                <w:color w:val="7A1F3D"/>
                <w:sz w:val="22"/>
                <w:szCs w:val="22"/>
              </w:rPr>
              <w:t xml:space="preserve">8. </w:t>
            </w:r>
            <w:r>
              <w:rPr>
                <w:rFonts w:ascii="Calibri" w:cs="Calibri" w:eastAsia="Calibri" w:hAnsi="Calibri"/>
                <w:color w:val="333333"/>
                <w:sz w:val="22"/>
                <w:szCs w:val="22"/>
              </w:rPr>
              <w:t xml:space="preserve">Dokumentasi lengkap &amp; evaluasi pada kunjungan berikutnya</w:t>
            </w:r>
          </w:p>
        </w:tc>
      </w:tr>
    </w:tbl>
    <w:p>
      <w:pPr>
        <w:spacing w:after="200"/>
      </w:pPr>
    </w:p>
    <w:p>
      <w:pPr>
        <w:spacing w:after="120"/>
      </w:pPr>
    </w:p>
    <w:tbl>
      <w:tblPr>
        <w:tblW w:type="dxa" w:w="9360"/>
        <w:tblBorders>
          <w:top w:val="single" w:color="1F6B4D" w:sz="6"/>
          <w:left w:val="single" w:color="1F6B4D" w:sz="24"/>
          <w:bottom w:val="single" w:color="1F6B4D" w:sz="6"/>
          <w:right w:val="single" w:color="1F6B4D" w:sz="6"/>
          <w:insideH w:val="none" w:color="E7F2EC" w:sz="0"/>
          <w:insideV w:val="none" w:color="E7F2EC" w:sz="0"/>
        </w:tblBorders>
      </w:tblPr>
      <w:tblGrid>
        <w:gridCol w:w="9360"/>
      </w:tblGrid>
      <w:tr>
        <w:tc>
          <w:tcPr>
            <w:tcW w:type="dxa" w:w="9360"/>
            <w:shd w:fill="E7F2EC" w:val="clear"/>
            <w:tcMar>
              <w:top w:type="dxa" w:w="160"/>
              <w:left w:type="dxa" w:w="220"/>
              <w:bottom w:type="dxa" w:w="160"/>
              <w:right w:type="dxa" w:w="220"/>
            </w:tcMar>
          </w:tcPr>
          <w:p>
            <w:pPr>
              <w:spacing w:after="120"/>
            </w:pPr>
            <w:r>
              <w:rPr>
                <w:rFonts w:ascii="Calibri" w:cs="Calibri" w:eastAsia="Calibri" w:hAnsi="Calibri"/>
                <w:b/>
                <w:bCs/>
                <w:color w:val="1F6B4D"/>
                <w:sz w:val="23"/>
                <w:szCs w:val="23"/>
              </w:rPr>
              <w:t xml:space="preserve">✅ Poin Kunci</w:t>
            </w:r>
          </w:p>
          <w:p>
            <w:pPr>
              <w:pStyle w:val="ListParagraph"/>
              <w:numPr>
                <w:ilvl w:val="0"/>
                <w:numId w:val="2"/>
              </w:numPr>
              <w:spacing w:after="60"/>
            </w:pPr>
            <w:r>
              <w:rPr>
                <w:rFonts w:ascii="Calibri" w:cs="Calibri" w:eastAsia="Calibri" w:hAnsi="Calibri"/>
                <w:color w:val="3A3A3A"/>
                <w:sz w:val="21"/>
                <w:szCs w:val="21"/>
              </w:rPr>
              <w:t xml:space="preserve">Model biopsikososial Engel menuntut integrasi aktif temuan sosial-psikologis ke dalam rencana terapi biomedis, bukan sekadar pencatatan tambahan.</w:t>
            </w:r>
          </w:p>
          <w:p>
            <w:pPr>
              <w:pStyle w:val="ListParagraph"/>
              <w:numPr>
                <w:ilvl w:val="0"/>
                <w:numId w:val="2"/>
              </w:numPr>
              <w:spacing w:after="60"/>
            </w:pPr>
            <w:r>
              <w:rPr>
                <w:rFonts w:ascii="Calibri" w:cs="Calibri" w:eastAsia="Calibri" w:hAnsi="Calibri"/>
                <w:color w:val="3A3A3A"/>
                <w:sz w:val="21"/>
                <w:szCs w:val="21"/>
              </w:rPr>
              <w:t xml:space="preserve">Skrining risiko sosial-psikologis harus bersifat universal namun proporsional, dilakukan secara privat dan aman, serta selalu disertai alur tindak lanjut yang jelas.</w:t>
            </w:r>
          </w:p>
          <w:p>
            <w:pPr>
              <w:pStyle w:val="ListParagraph"/>
              <w:numPr>
                <w:ilvl w:val="0"/>
                <w:numId w:val="2"/>
              </w:numPr>
              <w:spacing w:after="60"/>
            </w:pPr>
            <w:r>
              <w:rPr>
                <w:rFonts w:ascii="Calibri" w:cs="Calibri" w:eastAsia="Calibri" w:hAnsi="Calibri"/>
                <w:color w:val="3A3A3A"/>
                <w:sz w:val="21"/>
                <w:szCs w:val="21"/>
              </w:rPr>
              <w:t xml:space="preserve">Konseling nondirektif berarti memberi informasi lengkap dan seimbang tanpa mengarahkan pasien pada pilihan tertentu berdasar nilai pribadi klinisi.</w:t>
            </w:r>
          </w:p>
          <w:p>
            <w:pPr>
              <w:pStyle w:val="ListParagraph"/>
              <w:numPr>
                <w:ilvl w:val="0"/>
                <w:numId w:val="2"/>
              </w:numPr>
              <w:spacing w:after="60"/>
            </w:pPr>
            <w:r>
              <w:rPr>
                <w:rFonts w:ascii="Calibri" w:cs="Calibri" w:eastAsia="Calibri" w:hAnsi="Calibri"/>
                <w:color w:val="3A3A3A"/>
                <w:sz w:val="21"/>
                <w:szCs w:val="21"/>
              </w:rPr>
              <w:t xml:space="preserve">Bahasa yang netral dan tidak menghakimi wajib digunakan terutama pada kasus dengan dimensi etik tinggi seperti kehamilan tidak diinginkan dan kekerasan seksual.</w:t>
            </w:r>
          </w:p>
          <w:p>
            <w:pPr>
              <w:pStyle w:val="ListParagraph"/>
              <w:numPr>
                <w:ilvl w:val="0"/>
                <w:numId w:val="2"/>
              </w:numPr>
              <w:spacing w:after="60"/>
            </w:pPr>
            <w:r>
              <w:rPr>
                <w:rFonts w:ascii="Calibri" w:cs="Calibri" w:eastAsia="Calibri" w:hAnsi="Calibri"/>
                <w:color w:val="3A3A3A"/>
                <w:sz w:val="21"/>
                <w:szCs w:val="21"/>
              </w:rPr>
              <w:t xml:space="preserve">Algoritma skrining biopsikososial generik pada bab ini menjadi rujukan silang bagi instrumen skrining spesifik pada Buku 1 hingga Buku 10.</w:t>
            </w:r>
          </w:p>
        </w:tc>
      </w:tr>
    </w:tbl>
    <w:p>
      <w:pPr>
        <w:spacing w:after="200"/>
      </w:pPr>
    </w:p>
    <w:p>
      <w:pPr>
        <w:pBdr>
          <w:top w:val="single" w:color="CCCCCC" w:sz="4" w:space="6"/>
        </w:pBdr>
        <w:spacing w:after="120" w:before="300"/>
      </w:pPr>
      <w:r>
        <w:rPr>
          <w:rFonts w:ascii="Calibri" w:cs="Calibri" w:eastAsia="Calibri" w:hAnsi="Calibri"/>
          <w:b/>
          <w:bCs/>
          <w:i/>
          <w:iCs/>
          <w:color w:val="555555"/>
          <w:sz w:val="21"/>
          <w:szCs w:val="21"/>
        </w:rPr>
        <w:t xml:space="preserve">Referensi Bab</w:t>
      </w:r>
    </w:p>
    <w:p>
      <w:pPr>
        <w:spacing w:after="100"/>
        <w:ind w:left="360" w:hanging="360"/>
      </w:pPr>
      <w:r>
        <w:rPr>
          <w:rFonts w:ascii="Calibri" w:cs="Calibri" w:eastAsia="Calibri" w:hAnsi="Calibri"/>
          <w:color w:val="555555"/>
          <w:sz w:val="20"/>
          <w:szCs w:val="20"/>
        </w:rPr>
        <w:t xml:space="preserve">1. </w:t>
      </w:r>
      <w:r>
        <w:rPr>
          <w:rFonts w:ascii="Calibri" w:cs="Calibri" w:eastAsia="Calibri" w:hAnsi="Calibri"/>
          <w:color w:val="555555"/>
          <w:sz w:val="20"/>
          <w:szCs w:val="20"/>
        </w:rPr>
        <w:t xml:space="preserve">Engel GL. The clinical application of the biopsychosocial model. Am J Psychiatry. 1980;137(5):535-544.</w:t>
      </w:r>
    </w:p>
    <w:p>
      <w:pPr>
        <w:spacing w:after="100"/>
        <w:ind w:left="360" w:hanging="360"/>
      </w:pPr>
      <w:r>
        <w:rPr>
          <w:rFonts w:ascii="Calibri" w:cs="Calibri" w:eastAsia="Calibri" w:hAnsi="Calibri"/>
          <w:color w:val="555555"/>
          <w:sz w:val="20"/>
          <w:szCs w:val="20"/>
        </w:rPr>
        <w:t xml:space="preserve">2. </w:t>
      </w:r>
      <w:r>
        <w:rPr>
          <w:rFonts w:ascii="Calibri" w:cs="Calibri" w:eastAsia="Calibri" w:hAnsi="Calibri"/>
          <w:color w:val="555555"/>
          <w:sz w:val="20"/>
          <w:szCs w:val="20"/>
        </w:rPr>
        <w:t xml:space="preserve">World Health Organization. Health Care for Women Subjected to Intimate Partner Violence or Sexual Violence: A Clinical Handbook. Geneva: WHO; 2014 (WHO/RHR/14.26). Tersedia di: https://www.who.int/publications/i/item/WHO-RHR-14.26</w:t>
      </w:r>
    </w:p>
    <w:p>
      <w:pPr>
        <w:spacing w:after="100"/>
        <w:ind w:left="360" w:hanging="360"/>
      </w:pPr>
      <w:r>
        <w:rPr>
          <w:rFonts w:ascii="Calibri" w:cs="Calibri" w:eastAsia="Calibri" w:hAnsi="Calibri"/>
          <w:color w:val="555555"/>
          <w:sz w:val="20"/>
          <w:szCs w:val="20"/>
        </w:rPr>
        <w:t xml:space="preserve">3. </w:t>
      </w:r>
      <w:r>
        <w:rPr>
          <w:rFonts w:ascii="Calibri" w:cs="Calibri" w:eastAsia="Calibri" w:hAnsi="Calibri"/>
          <w:color w:val="555555"/>
          <w:sz w:val="20"/>
          <w:szCs w:val="20"/>
        </w:rPr>
        <w:t xml:space="preserve">World Health Organization. Responding to Intimate Partner Violence and Sexual Violence Against Women: WHO Clinical and Policy Guidelines. Geneva: WHO; 2013. Tersedia di: https://www.ncbi.nlm.nih.gov/books/NBK174259/</w:t>
      </w:r>
    </w:p>
    <w:p>
      <w:r>
        <w:br w:type="page"/>
      </w:r>
    </w:p>
    <w:p>
      <w:pPr>
        <w:pStyle w:val="Heading1"/>
        <w:pBdr>
          <w:bottom w:val="single" w:color="7A1F3D" w:sz="12" w:space="8"/>
        </w:pBdr>
        <w:spacing w:after="240" w:before="480"/>
      </w:pPr>
      <w:r>
        <w:rPr>
          <w:rFonts w:ascii="Calibri" w:cs="Calibri" w:eastAsia="Calibri" w:hAnsi="Calibri"/>
          <w:b/>
          <w:bCs/>
          <w:color w:val="7A1F3D"/>
          <w:sz w:val="34"/>
          <w:szCs w:val="34"/>
        </w:rPr>
        <w:t xml:space="preserve">Bab 4. Ringkasan Kehamilan, Persalinan, dan Nifas Berisiko Sosial (Rujuk Buku 1)</w:t>
      </w:r>
    </w:p>
    <w:p>
      <w:pPr>
        <w:spacing w:after="160" w:line="300"/>
        <w:jc w:val="both"/>
      </w:pPr>
      <w:r>
        <w:rPr>
          <w:rFonts w:ascii="Calibri" w:cs="Calibri" w:eastAsia="Calibri" w:hAnsi="Calibri"/>
          <w:color w:val="333333"/>
          <w:sz w:val="22"/>
          <w:szCs w:val="22"/>
        </w:rPr>
        <w:t xml:space="preserve">Buku 1 (Kehamilan-Nifas Biopsikososial) membahas secara rinci penatalaksanaan kehamilan, persalinan, dan masa nifas yang memiliki komponen risiko sosial-psikososial dominan — kondisi yang pada Tabel 25 Kepkonsil tercakup dalam kompetensi prosedur klinis nomor 1 dan 2. Risiko sosial-psikososial kehamilan didefinisikan sebagai kombinasi faktor kemiskinan, keterbatasan pendidikan, paparan kekerasan dalam rumah tangga, stigma sosial, dan keterbatasan dukungan keluarga, yang secara empiris meningkatkan risiko luaran maternal-perinatal buruk melampaui yang dapat dijelaskan oleh faktor biomedis semata.</w:t>
      </w:r>
    </w:p>
    <w:p>
      <w:pPr>
        <w:spacing w:after="160" w:line="300"/>
        <w:jc w:val="both"/>
      </w:pPr>
      <w:r>
        <w:rPr>
          <w:rFonts w:ascii="Calibri" w:cs="Calibri" w:eastAsia="Calibri" w:hAnsi="Calibri"/>
          <w:color w:val="333333"/>
          <w:sz w:val="22"/>
          <w:szCs w:val="22"/>
        </w:rPr>
        <w:t xml:space="preserve">Tiga contoh instrumen skrining yang dibahas secara mendalam pada Buku 1 mencakup: instrumen skrining risiko sosial terintegrasi pada kunjungan antenatal pertama (menilai dukungan pasangan, riwayat KDRT, dan status ekonomi), instrumen skrining depresi dan ansietas perinatal tervalidasi untuk konteks Indonesia, serta instrumen skrining kesiapan psikososial menjelang persalinan dan masa nifas. Ketiga instrumen ini dirancang agar dapat diterapkan dalam waktu terbatas pada layanan antenatal rutin tanpa memerlukan pelatihan khusus tenaga non-spesialis.</w:t>
      </w:r>
    </w:p>
    <w:p>
      <w:pPr>
        <w:spacing w:after="160" w:line="300"/>
        <w:jc w:val="both"/>
      </w:pPr>
      <w:r>
        <w:rPr>
          <w:rFonts w:ascii="Calibri" w:cs="Calibri" w:eastAsia="Calibri" w:hAnsi="Calibri"/>
          <w:color w:val="333333"/>
          <w:sz w:val="22"/>
          <w:szCs w:val="22"/>
        </w:rPr>
        <w:t xml:space="preserve">Alur rujukan yang dibahas pada Buku 1 mengikuti prinsip stratifikasi risiko: kasus dengan risiko sosial-psikososial ringan ditangani dengan konseling dan pemantauan terjadwal di tingkat layanan primer atau poliklinik kebidanan rutin; kasus risiko sedang-berat dirujuk untuk asesmen multidisiplin (psikologi, pekerja sosial) sebelum persalinan; dan kasus dengan tanda bahaya akut (ideasi bunuh diri, kekerasan aktif) memerlukan intervensi darurat lintas sektor segera, termasuk kolaborasi dengan layanan pelindungan perempuan dan anak bila relevan.</w:t>
      </w:r>
    </w:p>
    <w:p>
      <w:pPr>
        <w:spacing w:after="160" w:line="300"/>
        <w:jc w:val="both"/>
      </w:pPr>
      <w:r>
        <w:rPr>
          <w:rFonts w:ascii="Calibri" w:cs="Calibri" w:eastAsia="Calibri" w:hAnsi="Calibri"/>
          <w:color w:val="333333"/>
          <w:sz w:val="22"/>
          <w:szCs w:val="22"/>
        </w:rPr>
        <w:t xml:space="preserve">Pembahasan lengkap mengenai patofisiologi, kriteria diagnosis, algoritma tata laksana tiap kondisi, dan studi kasus mendalam disajikan pada Buku 1: Kehamilan-Nifas Biopsikososial — pembaca yang memerlukan penjelasan rinci mengenai topik ini dipersilakan merujuk langsung ke buku tersebut.</w:t>
      </w:r>
    </w:p>
    <w:p>
      <w:r>
        <w:br w:type="page"/>
      </w:r>
    </w:p>
    <w:p>
      <w:pPr>
        <w:pStyle w:val="Heading1"/>
        <w:pBdr>
          <w:bottom w:val="single" w:color="7A1F3D" w:sz="12" w:space="8"/>
        </w:pBdr>
        <w:spacing w:after="240" w:before="480"/>
      </w:pPr>
      <w:r>
        <w:rPr>
          <w:rFonts w:ascii="Calibri" w:cs="Calibri" w:eastAsia="Calibri" w:hAnsi="Calibri"/>
          <w:b/>
          <w:bCs/>
          <w:color w:val="7A1F3D"/>
          <w:sz w:val="34"/>
          <w:szCs w:val="34"/>
        </w:rPr>
        <w:t xml:space="preserve">Bab 5. Ringkasan Keluarga Berencana dan Kontrasepsi Kompleks (Rujuk Buku 2)</w:t>
      </w:r>
    </w:p>
    <w:p>
      <w:pPr>
        <w:spacing w:after="160" w:line="300"/>
        <w:jc w:val="both"/>
      </w:pPr>
      <w:r>
        <w:rPr>
          <w:rFonts w:ascii="Calibri" w:cs="Calibri" w:eastAsia="Calibri" w:hAnsi="Calibri"/>
          <w:color w:val="333333"/>
          <w:sz w:val="22"/>
          <w:szCs w:val="22"/>
        </w:rPr>
        <w:t xml:space="preserve">Buku 2 (Kontrasepsi Komorbid) membahas konseling dan pemilihan kontrasepsi pada pasien dengan kondisi komorbid tinggi — kardiovaskular, hematologi, kelainan anatomi, atau riwayat komplikasi obstetri berat — sebagaimana tercakup dalam kompetensi prosedur klinis nomor 3, 4, 5, dan 6 pada Tabel 25 Kepkonsil. Prinsip konseling kontrasepsi nondirektif menuntut klinisi menyajikan seluruh pilihan metode yang secara medis aman bagi kondisi komorbid pasien, berikut keuntungan, risiko, dan cara kerja masing-masing, tanpa mengarahkan pasien pada metode tertentu berdasarkan preferensi klinisi maupun kemudahan administratif fasilitas.</w:t>
      </w:r>
    </w:p>
    <w:p>
      <w:pPr>
        <w:spacing w:after="160" w:line="300"/>
        <w:jc w:val="both"/>
      </w:pPr>
      <w:r>
        <w:rPr>
          <w:rFonts w:ascii="Calibri" w:cs="Calibri" w:eastAsia="Calibri" w:hAnsi="Calibri"/>
          <w:color w:val="333333"/>
          <w:sz w:val="22"/>
          <w:szCs w:val="22"/>
        </w:rPr>
        <w:t xml:space="preserve">Kategori komorbiditas tinggi yang dibahas mencakup pasien dengan gangguan koagulasi (memerlukan penilaian profil koagulasi sebelum pemasangan Long-Acting Reversible Contraception/LARC), kelainan anatomi uterus, riwayat tromboemboli, serta kondisi yang membatasi pilihan hormonal seperti migrain dengan aura atau riwayat kanker payudara. Pemasangan IUD/implan pada kasus kompleks menuntut persiapan pasien yang matang (laboratorium, pencitraan, profil risiko), kesiapan resusitasi, checklist keselamatan prosedur (WHO Surgical/Procedural Safety Checklist), serta dokumentasi templat lengkap mencakup indikasi, temuan, langkah prosedur, komplikasi, dan rencana tindak lanjut.</w:t>
      </w:r>
    </w:p>
    <w:p>
      <w:pPr>
        <w:spacing w:after="160" w:line="300"/>
        <w:jc w:val="both"/>
      </w:pPr>
      <w:r>
        <w:rPr>
          <w:rFonts w:ascii="Calibri" w:cs="Calibri" w:eastAsia="Calibri" w:hAnsi="Calibri"/>
          <w:color w:val="333333"/>
          <w:sz w:val="22"/>
          <w:szCs w:val="22"/>
        </w:rPr>
        <w:t xml:space="preserve">Indikasi kontrasepsi darurat dibahas dalam dua konteks berbeda: kegagalan penggunaan kontrasepsi rutin pada pasangan yang telah menikah, dan kasus perkosaan yang memerlukan pendekatan konseling psikologis khusus di samping edukasi metode (pil levonorgestrel atau IUD tembaga) serta pertimbangan waktu efektivitas pemberian. Pada kasus perkosaan, konseling kontrasepsi darurat harus terintegrasi dengan dokumentasi medikolegal dan rujukan psikososial sebagaimana dibahas lebih rinci pada Buku 6.</w:t>
      </w:r>
    </w:p>
    <w:p>
      <w:pPr>
        <w:spacing w:after="160" w:line="300"/>
        <w:jc w:val="both"/>
      </w:pPr>
      <w:r>
        <w:rPr>
          <w:rFonts w:ascii="Calibri" w:cs="Calibri" w:eastAsia="Calibri" w:hAnsi="Calibri"/>
          <w:color w:val="333333"/>
          <w:sz w:val="22"/>
          <w:szCs w:val="22"/>
        </w:rPr>
        <w:t xml:space="preserve">Pembahasan lengkap mengenai algoritma pemilihan metode per kondisi komorbid, teknik prosedural pemasangan LARC pada kasus sulit, dan tata laksana komplikasi pasca-pemasangan disajikan pada Buku 2: Kontrasepsi Komorbid.</w:t>
      </w:r>
    </w:p>
    <w:p>
      <w:r>
        <w:br w:type="page"/>
      </w:r>
    </w:p>
    <w:p>
      <w:pPr>
        <w:pStyle w:val="Heading1"/>
        <w:pBdr>
          <w:bottom w:val="single" w:color="7A1F3D" w:sz="12" w:space="8"/>
        </w:pBdr>
        <w:spacing w:after="240" w:before="480"/>
      </w:pPr>
      <w:r>
        <w:rPr>
          <w:rFonts w:ascii="Calibri" w:cs="Calibri" w:eastAsia="Calibri" w:hAnsi="Calibri"/>
          <w:b/>
          <w:bCs/>
          <w:color w:val="7A1F3D"/>
          <w:sz w:val="34"/>
          <w:szCs w:val="34"/>
        </w:rPr>
        <w:t xml:space="preserve">Bab 6. Ringkasan Kehamilan Remaja dan Kehamilan Tidak Diinginkan (Rujuk Buku 3)</w:t>
      </w:r>
    </w:p>
    <w:p>
      <w:pPr>
        <w:spacing w:after="160" w:line="300"/>
        <w:jc w:val="both"/>
      </w:pPr>
      <w:r>
        <w:rPr>
          <w:rFonts w:ascii="Calibri" w:cs="Calibri" w:eastAsia="Calibri" w:hAnsi="Calibri"/>
          <w:color w:val="333333"/>
          <w:sz w:val="22"/>
          <w:szCs w:val="22"/>
        </w:rPr>
        <w:t xml:space="preserve">Buku 3 (Kehamilan Remaja dan Kehamilan Tidak Diinginkan) membahas dua kelompok kasus yang sering disandingkan namun memerlukan pendekatan berbeda, sebagaimana tercakup dalam kompetensi prosedur klinis nomor 6, 7, dan 8 pada Tabel 25 Kepkonsil. Kehamilan remaja menuntut perhatian khusus pada aspek tumbuh-kembang, ketergantungan pada orang tua/wali dalam pengambilan keputusan, risiko obstetri yang meningkat akibat kematangan biologis yang belum optimal, serta kebutuhan pendidikan berkelanjutan yang sering terganggu oleh kehamilan. Volume kasus minimal yang dituntut Kepkonsil untuk kompetensi ini adalah lima kasus kehamilan remaja yang ditangani selama pendidikan.</w:t>
      </w:r>
    </w:p>
    <w:p>
      <w:pPr>
        <w:spacing w:after="160" w:line="300"/>
        <w:jc w:val="both"/>
      </w:pPr>
      <w:r>
        <w:rPr>
          <w:rFonts w:ascii="Calibri" w:cs="Calibri" w:eastAsia="Calibri" w:hAnsi="Calibri"/>
          <w:color w:val="333333"/>
          <w:sz w:val="22"/>
          <w:szCs w:val="22"/>
        </w:rPr>
        <w:t xml:space="preserve">Kehamilan tidak diinginkan pada perempuan dewasa memiliki spektrum penyebab yang lebih luas — kegagalan kontrasepsi, tekanan ekonomi, ketidaksiapan psikologis, atau kehamilan hasil kekerasan seksual — dan menuntut konseling nondirektif yang mencakup seluruh pilihan yang secara hukum tersedia: melanjutkan kehamilan dengan dukungan yang memadai, opsi adopsi, atau terminasi kehamilan sesuai ketentuan hukum yang berlaku di Indonesia. Kepkonsil menegaskan bahwa penilaian risiko medis dan psikososial harus dilakukan secara komprehensif, disertai informed consent yang mempertimbangkan aspek etikolegal, tanpa ada pelanggaran etikolegal dalam penanganan.</w:t>
      </w:r>
    </w:p>
    <w:p>
      <w:pPr>
        <w:spacing w:after="160" w:line="300"/>
        <w:jc w:val="both"/>
      </w:pPr>
      <w:r>
        <w:rPr>
          <w:rFonts w:ascii="Calibri" w:cs="Calibri" w:eastAsia="Calibri" w:hAnsi="Calibri"/>
          <w:color w:val="333333"/>
          <w:sz w:val="22"/>
          <w:szCs w:val="22"/>
        </w:rPr>
        <w:t xml:space="preserve">Batas hukum terminasi kehamilan di Indonesia diatur secara ketat dan berbeda dari beberapa standar internasional yang lebih permisif; ketentuan mengenai indikasi kedaruratan medis dan kehamilan akibat perkosaan (dengan batas usia kehamilan tertentu dan persyaratan keterangan yang berwenang) wajib dipahami secara presisi oleh klinisi, mengingat konsekuensi hukum pidana bagi tindakan yang tidak sesuai ketentuan. Pembahasan rinci mengenai kerangka hukum ini, termasuk kotak perbandingan standar WHO Abortion Care Guideline 2022 dengan ketentuan hukum nasional, disajikan secara mendalam pada Buku 3.</w:t>
      </w:r>
    </w:p>
    <w:p>
      <w:pPr>
        <w:spacing w:after="160" w:line="300"/>
        <w:jc w:val="both"/>
      </w:pPr>
      <w:r>
        <w:rPr>
          <w:rFonts w:ascii="Calibri" w:cs="Calibri" w:eastAsia="Calibri" w:hAnsi="Calibri"/>
          <w:color w:val="333333"/>
          <w:sz w:val="22"/>
          <w:szCs w:val="22"/>
        </w:rPr>
        <w:t xml:space="preserve">Pembaca yang menangani kasus kehamilan remaja atau kehamilan tidak diinginkan secara klinis dipersilakan merujuk pembahasan algoritma konseling lengkap, instrumen penilaian risiko, dan studi kasus pada Buku 3: Kehamilan Remaja dan Kehamilan Tidak Diinginkan.</w:t>
      </w:r>
    </w:p>
    <w:p>
      <w:r>
        <w:br w:type="page"/>
      </w:r>
    </w:p>
    <w:p>
      <w:pPr>
        <w:pStyle w:val="Heading1"/>
        <w:pBdr>
          <w:bottom w:val="single" w:color="7A1F3D" w:sz="12" w:space="8"/>
        </w:pBdr>
        <w:spacing w:after="240" w:before="480"/>
      </w:pPr>
      <w:r>
        <w:rPr>
          <w:rFonts w:ascii="Calibri" w:cs="Calibri" w:eastAsia="Calibri" w:hAnsi="Calibri"/>
          <w:b/>
          <w:bCs/>
          <w:color w:val="7A1F3D"/>
          <w:sz w:val="34"/>
          <w:szCs w:val="34"/>
        </w:rPr>
        <w:t xml:space="preserve">Bab 7. Ringkasan Kesehatan Mental Perinatal (Rujuk Buku 4)</w:t>
      </w:r>
    </w:p>
    <w:p>
      <w:pPr>
        <w:spacing w:after="160" w:line="300"/>
        <w:jc w:val="both"/>
      </w:pPr>
      <w:r>
        <w:rPr>
          <w:rFonts w:ascii="Calibri" w:cs="Calibri" w:eastAsia="Calibri" w:hAnsi="Calibri"/>
          <w:color w:val="333333"/>
          <w:sz w:val="22"/>
          <w:szCs w:val="22"/>
        </w:rPr>
        <w:t xml:space="preserve">Buku 4 (Kesehatan Mental Perinatal) membahas spektrum gangguan mental yang dapat muncul sepanjang periode kehamilan hingga pascasalin, sebagaimana tercakup dalam kompetensi prosedur klinis nomor 9 dan 10 pada Tabel 25 Kepkonsil. Spektrum ini mencakup gangguan mood ringan hingga sedang (baby blues, depresi antenatal dan postpartum), gangguan ansietas, hingga kondisi berat seperti psikosis postpartum dan gangguan bipolar yang dapat kambuh atau muncul pertama kali pada periode perinatal.</w:t>
      </w:r>
    </w:p>
    <w:p>
      <w:pPr>
        <w:spacing w:after="160" w:line="300"/>
        <w:jc w:val="both"/>
      </w:pPr>
      <w:r>
        <w:rPr>
          <w:rFonts w:ascii="Calibri" w:cs="Calibri" w:eastAsia="Calibri" w:hAnsi="Calibri"/>
          <w:color w:val="333333"/>
          <w:sz w:val="22"/>
          <w:szCs w:val="22"/>
        </w:rPr>
        <w:t xml:space="preserve">Skrining risiko bunuh diri merupakan komponen yang ditekankan secara eksplisit oleh Kepkonsil sebagai bagian tidak terpisahkan dari penilaian gangguan mental perinatal, mengingat periode ini merupakan salah satu masa dengan risiko bunuh diri dan bahkan risiko membahayakan bayi (dalam kasus psikosis berat) yang memerlukan deteksi dini dan intervensi segera. Target Kepkonsil menetapkan seratus persen pasien yang dicurigai mengalami gangguan mental wajib mendapat asesmen psikiatri, dengan angka deteksi dini depresi/ansietas ditargetkan minimal delapan puluh persen.</w:t>
      </w:r>
    </w:p>
    <w:p>
      <w:pPr>
        <w:spacing w:after="160" w:line="300"/>
        <w:jc w:val="both"/>
      </w:pPr>
      <w:r>
        <w:rPr>
          <w:rFonts w:ascii="Calibri" w:cs="Calibri" w:eastAsia="Calibri" w:hAnsi="Calibri"/>
          <w:color w:val="333333"/>
          <w:sz w:val="22"/>
          <w:szCs w:val="22"/>
        </w:rPr>
        <w:t xml:space="preserve">Standar ini selaras dengan rekomendasi American College of Obstetricians and Gynecologists (ACOG) Committee Opinion No. 757 (2018) yang merekomendasikan skrining depresi dan ansietas perinatal menggunakan instrumen tervalidasi minimal satu kali selama masa kehamilan dan sekali lagi pada masa nifas, dengan penekanan bahwa skrining tanpa rencana tindak lanjut dan rujukan yang jelas tidak memberikan manfaat klinis yang bermakna bagi pasien.</w:t>
      </w:r>
    </w:p>
    <w:p>
      <w:pPr>
        <w:spacing w:after="160" w:line="300"/>
        <w:jc w:val="both"/>
      </w:pPr>
      <w:r>
        <w:rPr>
          <w:rFonts w:ascii="Calibri" w:cs="Calibri" w:eastAsia="Calibri" w:hAnsi="Calibri"/>
          <w:color w:val="333333"/>
          <w:sz w:val="22"/>
          <w:szCs w:val="22"/>
        </w:rPr>
        <w:t xml:space="preserve">Prinsip kolaborasi psikiatri yang ditekankan bukan sekadar rujukan satu arah, melainkan model kolaborasi berkelanjutan antara Konsultan Obstetri Ginekologi Sosial, psikiater, psikolog, dan pekerja sosial, dengan pembagian peran yang jelas: obstetri-ginekologi memantau aspek kehamilan dan keselamatan fisik, sementara tim kesehatan jiwa menangani tata laksana psikiatri spesifik, dengan komunikasi dua arah yang terdokumentasi mengenai rencana manajemen bersama.</w:t>
      </w:r>
    </w:p>
    <w:p>
      <w:pPr>
        <w:spacing w:after="160" w:line="300"/>
        <w:jc w:val="both"/>
      </w:pPr>
      <w:r>
        <w:rPr>
          <w:rFonts w:ascii="Calibri" w:cs="Calibri" w:eastAsia="Calibri" w:hAnsi="Calibri"/>
          <w:color w:val="333333"/>
          <w:sz w:val="22"/>
          <w:szCs w:val="22"/>
        </w:rPr>
        <w:t xml:space="preserve">Pembahasan mendalam mengenai kriteria diagnosis tiap gangguan, farmakoterapi yang aman pada kehamilan dan laktasi, serta protokol kolaborasi multidisiplin disajikan pada Buku 4: Kesehatan Mental Perinatal.</w:t>
      </w:r>
    </w:p>
    <w:p>
      <w:r>
        <w:br w:type="page"/>
      </w:r>
    </w:p>
    <w:p>
      <w:pPr>
        <w:pStyle w:val="Heading1"/>
        <w:pBdr>
          <w:bottom w:val="single" w:color="7A1F3D" w:sz="12" w:space="8"/>
        </w:pBdr>
        <w:spacing w:after="240" w:before="480"/>
      </w:pPr>
      <w:r>
        <w:rPr>
          <w:rFonts w:ascii="Calibri" w:cs="Calibri" w:eastAsia="Calibri" w:hAnsi="Calibri"/>
          <w:b/>
          <w:bCs/>
          <w:color w:val="7A1F3D"/>
          <w:sz w:val="34"/>
          <w:szCs w:val="34"/>
        </w:rPr>
        <w:t xml:space="preserve">Bab 8. Ringkasan Gizi Reproduksi (Rujuk Buku 5)</w:t>
      </w:r>
    </w:p>
    <w:p>
      <w:pPr>
        <w:spacing w:after="160" w:line="300"/>
        <w:jc w:val="both"/>
      </w:pPr>
      <w:r>
        <w:rPr>
          <w:rFonts w:ascii="Calibri" w:cs="Calibri" w:eastAsia="Calibri" w:hAnsi="Calibri"/>
          <w:color w:val="333333"/>
          <w:sz w:val="22"/>
          <w:szCs w:val="22"/>
        </w:rPr>
        <w:t xml:space="preserve">Buku 5 (Gizi Reproduksi) membahas penilaian dan tata laksana status gizi pada kehamilan, sebagaimana tercakup dalam kompetensi prosedur klinis nomor 12 pada Tabel 25 Kepkonsil. Parameter status gizi kehamilan yang dinilai secara rutin mencakup Indeks Massa Tubuh (IMT) pregestasional, Lingkar Lengan Atas (LILA) sebagai indikator risiko kurang energi kronik, kadar hemoglobin untuk deteksi anemia defisiensi besi, serta kadar albumin pada kasus dengan kecurigaan malnutrisi berat.</w:t>
      </w:r>
    </w:p>
    <w:p>
      <w:pPr>
        <w:spacing w:after="160" w:line="300"/>
        <w:jc w:val="both"/>
      </w:pPr>
      <w:r>
        <w:rPr>
          <w:rFonts w:ascii="Calibri" w:cs="Calibri" w:eastAsia="Calibri" w:hAnsi="Calibri"/>
          <w:color w:val="333333"/>
          <w:sz w:val="22"/>
          <w:szCs w:val="22"/>
        </w:rPr>
        <w:t xml:space="preserve">Kelompok berisiko malnutrisi yang memerlukan perhatian khusus mencakup remaja hamil (kebutuhan gizi ganda untuk pertumbuhan diri dan janin), perempuan dengan status sosial-ekonomi rendah, pasien dengan penyakit kronis yang memengaruhi asupan atau penyerapan nutrisi, serta kehamilan dengan jarak yang terlalu dekat dari kehamilan sebelumnya. Kepkonsil menetapkan target seratus persen ibu hamil diskrining status gizi dan perbaikan status gizi tercapai pada minimal tujuh puluh persen kasus follow-up.</w:t>
      </w:r>
    </w:p>
    <w:p>
      <w:pPr>
        <w:spacing w:after="160" w:line="300"/>
        <w:jc w:val="both"/>
      </w:pPr>
      <w:r>
        <w:rPr>
          <w:rFonts w:ascii="Calibri" w:cs="Calibri" w:eastAsia="Calibri" w:hAnsi="Calibri"/>
          <w:color w:val="333333"/>
          <w:sz w:val="22"/>
          <w:szCs w:val="22"/>
        </w:rPr>
        <w:t xml:space="preserve">Pembahasan lengkap mengenai kebutuhan gizi mikro dan makro spesifik kehamilan, protokol suplementasi zat besi-asam folat-kalsium, serta kolaborasi dengan ahli gizi dan spesialis penyakit dalam pada kasus kompleks disajikan pada Buku 5: Gizi Reproduksi.</w:t>
      </w:r>
    </w:p>
    <w:p>
      <w:r>
        <w:br w:type="page"/>
      </w:r>
    </w:p>
    <w:p>
      <w:pPr>
        <w:pStyle w:val="Heading1"/>
        <w:pBdr>
          <w:bottom w:val="single" w:color="7A1F3D" w:sz="12" w:space="8"/>
        </w:pBdr>
        <w:spacing w:after="240" w:before="480"/>
      </w:pPr>
      <w:r>
        <w:rPr>
          <w:rFonts w:ascii="Calibri" w:cs="Calibri" w:eastAsia="Calibri" w:hAnsi="Calibri"/>
          <w:b/>
          <w:bCs/>
          <w:color w:val="7A1F3D"/>
          <w:sz w:val="34"/>
          <w:szCs w:val="34"/>
        </w:rPr>
        <w:t xml:space="preserve">Bab 9. Ringkasan Kekerasan Berbasis Gender dan Medikolegal (Rujuk Buku 6)</w:t>
      </w:r>
    </w:p>
    <w:p>
      <w:pPr>
        <w:spacing w:after="160" w:line="300"/>
        <w:jc w:val="both"/>
      </w:pPr>
      <w:r>
        <w:rPr>
          <w:rFonts w:ascii="Calibri" w:cs="Calibri" w:eastAsia="Calibri" w:hAnsi="Calibri"/>
          <w:color w:val="333333"/>
          <w:sz w:val="22"/>
          <w:szCs w:val="22"/>
        </w:rPr>
        <w:t xml:space="preserve">Buku 6 (Kekerasan Gender dan Medikolegal) membahas kerangka hukum dan tata laksana klinis kekerasan berbasis gender, sebagaimana tercakup dalam kompetensi prosedur klinis nomor 11 dan 13 pada Tabel 25 Kepkonsil. Kerangka hukum utama yang dibahas adalah Undang-Undang Nomor 12 Tahun 2022 tentang Tindak Pidana Kekerasan Seksual (UU TPKS), yang antara lain mengatur mekanisme pelindungan korban, hak atas pendampingan, dan kewajiban penyedia layanan kesehatan dalam proses pembuktian, serta Undang-Undang Nomor 23 Tahun 2004 tentang Penghapusan Kekerasan Dalam Rumah Tangga (UU PKDRT) yang menjadi dasar hukum penanganan korban KDRT termasuk kewajiban dokumentasi dan rujukan.</w:t>
      </w:r>
    </w:p>
    <w:p>
      <w:pPr>
        <w:spacing w:after="160" w:line="300"/>
        <w:jc w:val="both"/>
      </w:pPr>
      <w:r>
        <w:rPr>
          <w:rFonts w:ascii="Calibri" w:cs="Calibri" w:eastAsia="Calibri" w:hAnsi="Calibri"/>
          <w:color w:val="333333"/>
          <w:sz w:val="22"/>
          <w:szCs w:val="22"/>
        </w:rPr>
        <w:t xml:space="preserve">Prinsip dasar visum et repertum yang wajib dikuasai mencakup pemahaman bahwa visum adalah keterangan tertulis dokter atas permintaan resmi penyidik mengenai apa yang dilihat dan ditemukan pada pemeriksaan korban, disusun secara objektif tanpa opini hukum, dengan rantai bukti (chain of custody) yang terjaga. Klinisi wajib memahami perbedaan antara pemeriksaan medis untuk kepentingan terapi (yang dapat dan harus tetap dilakukan meski korban belum atau tidak berencana melapor ke polisi) dan pemeriksaan untuk kepentingan visum formal.</w:t>
      </w:r>
    </w:p>
    <w:p>
      <w:pPr>
        <w:spacing w:after="160" w:line="300"/>
        <w:jc w:val="both"/>
      </w:pPr>
      <w:r>
        <w:rPr>
          <w:rFonts w:ascii="Calibri" w:cs="Calibri" w:eastAsia="Calibri" w:hAnsi="Calibri"/>
          <w:color w:val="333333"/>
          <w:sz w:val="22"/>
          <w:szCs w:val="22"/>
        </w:rPr>
        <w:t xml:space="preserve">Prinsip safeguarding korban menekankan keselamatan dan kerahasiaan sebagai prioritas utama: pemeriksaan dilakukan di ruang privat, dengan pendamping yang dipilih atau disetujui korban, informed consent eksplisit untuk setiap tahap pemeriksaan (termasuk hak menolak dokumentasi foto), serta rujukan proaktif ke layanan pelindungan (shelter, psikolog, Dinas Pemberdayaan Perempuan dan Perlindungan Anak/DP3A) tanpa memaksa korban mengambil langkah hukum tertentu. Kepkonsil menetapkan target seratus persen kasus KDRT terdokumentasi lengkap dan seluruh korban ditawari rujukan psikososial-hukum, dengan kepatuhan prinsip keamanan-kerahasiaan minimal sembilan puluh lima persen.</w:t>
      </w:r>
    </w:p>
    <w:p>
      <w:pPr>
        <w:spacing w:after="160" w:line="300"/>
        <w:jc w:val="both"/>
      </w:pPr>
      <w:r>
        <w:rPr>
          <w:rFonts w:ascii="Calibri" w:cs="Calibri" w:eastAsia="Calibri" w:hAnsi="Calibri"/>
          <w:color w:val="333333"/>
          <w:sz w:val="22"/>
          <w:szCs w:val="22"/>
        </w:rPr>
        <w:t xml:space="preserve">Standar internasional yang selaras dan memperkuat prinsip di atas adalah pendekatan dukungan lini pertama LIVES dari WHO Clinical Handbook 2014 (Listen/mendengarkan secara empatik tanpa menghakimi, Inquire/menanyakan kebutuhan dan kekhawatiran korban, Validate/menegaskan bahwa korban tidak bersalah atas kekerasan yang dialami, Enhance safety/menilai dan meningkatkan keamanan korban, Support/menghubungkan korban dengan dukungan sosial dan layanan lanjutan). Kerangka LIVES bersifat generik dan dapat diterapkan oleh tenaga kesehatan non-spesialis sekalipun, sehingga menjadi bahasa bersama yang memudahkan koordinasi antara Konsultan Obstetri Ginekologi Sosial dengan tenaga kesehatan primer, psikolog, dan pekerja sosial dalam satu alur rujukan yang konsisten.</w:t>
      </w:r>
    </w:p>
    <w:p>
      <w:pPr>
        <w:spacing w:after="160" w:line="300"/>
        <w:jc w:val="both"/>
      </w:pPr>
      <w:r>
        <w:rPr>
          <w:rFonts w:ascii="Calibri" w:cs="Calibri" w:eastAsia="Calibri" w:hAnsi="Calibri"/>
          <w:color w:val="333333"/>
          <w:sz w:val="22"/>
          <w:szCs w:val="22"/>
        </w:rPr>
        <w:t xml:space="preserve">Pembahasan lengkap mengenai teknik wawancara trauma-informed, format visum et repertum, serta kolaborasi dengan kepolisian dan lembaga hukum disajikan pada Buku 6: Kekerasan Gender dan Medikolegal.</w:t>
      </w:r>
    </w:p>
    <w:p>
      <w:r>
        <w:br w:type="page"/>
      </w:r>
    </w:p>
    <w:p>
      <w:pPr>
        <w:pStyle w:val="Heading1"/>
        <w:pBdr>
          <w:bottom w:val="single" w:color="7A1F3D" w:sz="12" w:space="8"/>
        </w:pBdr>
        <w:spacing w:after="240" w:before="480"/>
      </w:pPr>
      <w:r>
        <w:rPr>
          <w:rFonts w:ascii="Calibri" w:cs="Calibri" w:eastAsia="Calibri" w:hAnsi="Calibri"/>
          <w:b/>
          <w:bCs/>
          <w:color w:val="7A1F3D"/>
          <w:sz w:val="34"/>
          <w:szCs w:val="34"/>
        </w:rPr>
        <w:t xml:space="preserve">Bab 10. Ringkasan Kesehatan Reproduksi dan Seksual Remaja-Dewasa (Rujuk Buku 7-8)</w:t>
      </w:r>
    </w:p>
    <w:p>
      <w:pPr>
        <w:spacing w:after="160" w:line="300"/>
        <w:jc w:val="both"/>
      </w:pPr>
      <w:r>
        <w:rPr>
          <w:rFonts w:ascii="Calibri" w:cs="Calibri" w:eastAsia="Calibri" w:hAnsi="Calibri"/>
          <w:color w:val="333333"/>
          <w:sz w:val="22"/>
          <w:szCs w:val="22"/>
        </w:rPr>
        <w:t xml:space="preserve">Buku 7 (Kesehatan Reproduksi Remaja) dan Buku 8 (Infeksi Menular Seksual dan Kesehatan Seksual) membahas pelayanan kesehatan reproduksi dan seksual pada rentang usia remaja hingga dewasa, sebagaimana tercakup dalam kompetensi prosedur klinis nomor 14 pada Tabel 25 Kepkonsil. Prinsip pelayanan ramah remaja (youth-friendly services) menekankan lingkungan layanan yang tidak menghakimi, jaminan kerahasiaan sejauh diperbolehkan hukum, waktu tunggu dan jam layanan yang mempertimbangkan jadwal sekolah, serta keterampilan komunikasi yang sesuai tahap perkembangan kognitif dan emosional remaja.</w:t>
      </w:r>
    </w:p>
    <w:p>
      <w:pPr>
        <w:spacing w:after="160" w:line="300"/>
        <w:jc w:val="both"/>
      </w:pPr>
      <w:r>
        <w:rPr>
          <w:rFonts w:ascii="Calibri" w:cs="Calibri" w:eastAsia="Calibri" w:hAnsi="Calibri"/>
          <w:color w:val="333333"/>
          <w:sz w:val="22"/>
          <w:szCs w:val="22"/>
        </w:rPr>
        <w:t xml:space="preserve">Spektrum infeksi menular seksual (IMS) yang dibahas mencakup infeksi bakterial (klamidia, gonore, sifilis), viral (HPV, herpes genital, HIV), serta infeksi lain yang relevan dengan kesehatan reproduksi (vaginosis bakterial, trikomoniasis). Pendekatan tata laksana IMS pada Obstetri Ginekologi Sosial menekankan tidak hanya pengobatan individu, tetapi juga notifikasi dan tata laksana pasangan, edukasi pencegahan, serta destigmatisasi layanan skrining IMS agar tidak menghalangi akses pasien yang membutuhkan.</w:t>
      </w:r>
    </w:p>
    <w:p>
      <w:pPr>
        <w:spacing w:after="160" w:line="300"/>
        <w:jc w:val="both"/>
      </w:pPr>
      <w:r>
        <w:rPr>
          <w:rFonts w:ascii="Calibri" w:cs="Calibri" w:eastAsia="Calibri" w:hAnsi="Calibri"/>
          <w:color w:val="333333"/>
          <w:sz w:val="22"/>
          <w:szCs w:val="22"/>
        </w:rPr>
        <w:t xml:space="preserve">Kesehatan seksual holistik dipahami melampaui sekadar ketiadaan penyakit, mencakup pengalaman seksual yang aman, memuaskan, dan bebas dari paksaan, diskriminasi, atau kekerasan. Prinsip ini relevan pada konseling fungsi seksual pascapersalinan, pascaoperasi ginekologi, maupun pada kondisi kronis yang memengaruhi fungsi seksual, dengan pendekatan yang tetap menghormati nilai dan konteks budaya pasien tanpa mengorbankan akurasi informasi medis.</w:t>
      </w:r>
    </w:p>
    <w:p>
      <w:pPr>
        <w:spacing w:after="160" w:line="300"/>
        <w:jc w:val="both"/>
      </w:pPr>
      <w:r>
        <w:rPr>
          <w:rFonts w:ascii="Calibri" w:cs="Calibri" w:eastAsia="Calibri" w:hAnsi="Calibri"/>
          <w:color w:val="333333"/>
          <w:sz w:val="22"/>
          <w:szCs w:val="22"/>
        </w:rPr>
        <w:t xml:space="preserve">Pembahasan mendalam mengenai algoritma skrining dan tata laksana IMS, kurikulum edukasi kesehatan reproduksi remaja, serta instrumen penilaian kesehatan seksual disajikan pada Buku 7: Kesehatan Reproduksi Remaja dan Buku 8: Infeksi Menular Seksual dan Kesehatan Seksual.</w:t>
      </w:r>
    </w:p>
    <w:p>
      <w:r>
        <w:br w:type="page"/>
      </w:r>
    </w:p>
    <w:p>
      <w:pPr>
        <w:pStyle w:val="Heading1"/>
        <w:pBdr>
          <w:bottom w:val="single" w:color="7A1F3D" w:sz="12" w:space="8"/>
        </w:pBdr>
        <w:spacing w:after="240" w:before="480"/>
      </w:pPr>
      <w:r>
        <w:rPr>
          <w:rFonts w:ascii="Calibri" w:cs="Calibri" w:eastAsia="Calibri" w:hAnsi="Calibri"/>
          <w:b/>
          <w:bCs/>
          <w:color w:val="7A1F3D"/>
          <w:sz w:val="34"/>
          <w:szCs w:val="34"/>
        </w:rPr>
        <w:t xml:space="preserve">Bab 11. Ringkasan Menopause, Paliatif, dan Kesehatan Reproduksi Krisis (Rujuk Buku 9-10-13)</w:t>
      </w:r>
    </w:p>
    <w:p>
      <w:pPr>
        <w:spacing w:after="160" w:line="300"/>
        <w:jc w:val="both"/>
      </w:pPr>
      <w:r>
        <w:rPr>
          <w:rFonts w:ascii="Calibri" w:cs="Calibri" w:eastAsia="Calibri" w:hAnsi="Calibri"/>
          <w:color w:val="333333"/>
          <w:sz w:val="22"/>
          <w:szCs w:val="22"/>
        </w:rPr>
        <w:t xml:space="preserve">Buku 9 (Menopause), Buku 10 (Paliatif Ginekologi), dan Buku 13 (Program-Sistem Informasi-Riset Masyarakat) membahas tiga topik yang menyatukan fase akhir kehidupan reproduktif perempuan dengan kesiapsiagaan sistem kesehatan pada tingkat populasi, sebagaimana tercakup dalam kompetensi prosedur klinis nomor 16, 17, dan 24-26 pada Tabel 25 Kepkonsil.</w:t>
      </w:r>
    </w:p>
    <w:p>
      <w:pPr>
        <w:spacing w:after="160" w:line="300"/>
        <w:jc w:val="both"/>
      </w:pPr>
      <w:r>
        <w:rPr>
          <w:rFonts w:ascii="Calibri" w:cs="Calibri" w:eastAsia="Calibri" w:hAnsi="Calibri"/>
          <w:color w:val="333333"/>
          <w:sz w:val="22"/>
          <w:szCs w:val="22"/>
        </w:rPr>
        <w:t xml:space="preserve">Gejala dan tata laksana menopause mencakup identifikasi gejala vasomotor (hot flashes, keringat malam), gejala urogenital (atrofi vagina, gejala saluran kemih bawah), gejala psikologis (perubahan mood, gangguan tidur), serta penilaian risiko metabolik jangka panjang (osteoporosis, penyakit kardiovaskular). Tata laksana meliputi terapi hormon pengganti (Hormone Replacement Therapy/HRT) maupun alternatif non-hormonal, dipadukan dengan konseling psikososial mengenai perubahan kualitas hidup dan relasi keluarga yang menyertai transisi ini.</w:t>
      </w:r>
    </w:p>
    <w:p>
      <w:pPr>
        <w:spacing w:after="160" w:line="300"/>
        <w:jc w:val="both"/>
      </w:pPr>
      <w:r>
        <w:rPr>
          <w:rFonts w:ascii="Calibri" w:cs="Calibri" w:eastAsia="Calibri" w:hAnsi="Calibri"/>
          <w:color w:val="333333"/>
          <w:sz w:val="22"/>
          <w:szCs w:val="22"/>
        </w:rPr>
        <w:t xml:space="preserve">Prinsip paliatif ginekologi holistik diterapkan pada pasien dengan kanker ginekologi stadium lanjut atau komplikasi obstetri berisiko tinggi yang memerlukan pendekatan perawatan akhir kehidupan (end-of-life care). Prinsip ini menekankan asesmen multidimensi (fisik, nyeri, psikologis, spiritual, sosial), tata laksana farmakologis dan non-farmakologis yang berimbang, kolaborasi tim multidisiplin, serta dukungan pengambilan keputusan bagi pasien dan keluarga mengenai preferensi perawatan pada akhir kehidupan, dilandasi prinsip etik dan pedoman paliatif nasional.</w:t>
      </w:r>
    </w:p>
    <w:p>
      <w:pPr>
        <w:spacing w:after="160" w:line="300"/>
        <w:jc w:val="both"/>
      </w:pPr>
      <w:r>
        <w:rPr>
          <w:rFonts w:ascii="Calibri" w:cs="Calibri" w:eastAsia="Calibri" w:hAnsi="Calibri"/>
          <w:color w:val="333333"/>
          <w:sz w:val="22"/>
          <w:szCs w:val="22"/>
        </w:rPr>
        <w:t xml:space="preserve">Kerangka Minimum Initial Service Package (MISP) untuk kesehatan reproduksi krisis, yang dikembangkan Inter-Agency Working Group on Reproductive Health in Crises (IAWG), menjadi standar operasional saat terjadi bencana atau situasi darurat kemanusiaan. MISP mencakup enam tujuan utama yang harus mulai dilaksanakan sejak awal krisis: (1) memastikan sektor/klaster kesehatan menunjuk organisasi pengampu pelaksanaan MISP; (2) mencegah kekerasan seksual dan merespons kebutuhan penyintas; (3) mencegah penularan serta menurunkan kesakitan dan kematian akibat HIV dan infeksi menular seksual lain; (4) mencegah kesakitan dan kematian maternal-neonatal berlebih; (5) mencegah kehamilan yang tidak diinginkan, termasuk penyediaan kontrasepsi darurat dan metode kontrasepsi lain sesuai kebutuhan; serta (6) merencanakan transisi menuju layanan kesehatan reproduksi komprehensif yang terintegrasi ke pelayanan kesehatan primer begitu situasi mulai stabil.</w:t>
      </w:r>
    </w:p>
    <w:p>
      <w:pPr>
        <w:spacing w:after="160" w:line="300"/>
        <w:jc w:val="both"/>
      </w:pPr>
      <w:r>
        <w:rPr>
          <w:rFonts w:ascii="Calibri" w:cs="Calibri" w:eastAsia="Calibri" w:hAnsi="Calibri"/>
          <w:color w:val="333333"/>
          <w:sz w:val="22"/>
          <w:szCs w:val="22"/>
        </w:rPr>
        <w:t xml:space="preserve">Pembahasan mendalam mengenai ketiga topik ini disajikan pada Buku 9: Menopause, Buku 10: Paliatif Ginekologi, dan Buku 13: Program-Sistem Informasi-Riset Masyarakat.</w:t>
      </w:r>
    </w:p>
    <w:p>
      <w:r>
        <w:br w:type="page"/>
      </w:r>
    </w:p>
    <w:p>
      <w:pPr>
        <w:pStyle w:val="Heading1"/>
        <w:pBdr>
          <w:bottom w:val="single" w:color="7A1F3D" w:sz="12" w:space="8"/>
        </w:pBdr>
        <w:spacing w:after="240" w:before="480"/>
      </w:pPr>
      <w:r>
        <w:rPr>
          <w:rFonts w:ascii="Calibri" w:cs="Calibri" w:eastAsia="Calibri" w:hAnsi="Calibri"/>
          <w:b/>
          <w:bCs/>
          <w:color w:val="7A1F3D"/>
          <w:sz w:val="34"/>
          <w:szCs w:val="34"/>
        </w:rPr>
        <w:t xml:space="preserve">Bab 12. Ringkasan Tata Kelola Mutu RS dan Pendidikan Tenaga Kesehatan (Rujuk Buku 11-12)</w:t>
      </w:r>
    </w:p>
    <w:p>
      <w:pPr>
        <w:spacing w:after="160" w:line="300"/>
        <w:jc w:val="both"/>
      </w:pPr>
      <w:r>
        <w:rPr>
          <w:rFonts w:ascii="Calibri" w:cs="Calibri" w:eastAsia="Calibri" w:hAnsi="Calibri"/>
          <w:color w:val="333333"/>
          <w:sz w:val="22"/>
          <w:szCs w:val="22"/>
        </w:rPr>
        <w:t xml:space="preserve">Buku 11 (Manajemen Mutu Rumah Sakit) dan Buku 12 (Pendidikan Klinis dan Pelatih) membahas dua domain non-klinis yang menjadi ciri khas kompetensi subspesialis, sebagaimana tercakup dalam kompetensi prosedur klinis nomor 18 hingga 23 pada Tabel 25 Kepkonsil.</w:t>
      </w:r>
    </w:p>
    <w:p>
      <w:pPr>
        <w:spacing w:after="160" w:line="300"/>
        <w:jc w:val="both"/>
      </w:pPr>
      <w:r>
        <w:rPr>
          <w:rFonts w:ascii="Calibri" w:cs="Calibri" w:eastAsia="Calibri" w:hAnsi="Calibri"/>
          <w:color w:val="333333"/>
          <w:sz w:val="22"/>
          <w:szCs w:val="22"/>
        </w:rPr>
        <w:t xml:space="preserve">Audit maternal-perinatal dan near-miss adalah metode sistematis untuk mengidentifikasi dan mempelajari kasus kematian atau nyaris-kematian ibu dan bayi dengan tujuan perbaikan sistem, bukan mencari kesalahan individu (blame-free, systems-based approach). Proses audit yang baik melibatkan pengumpulan data kasus secara terstruktur, diskusi multidisiplin dalam forum yang aman secara psikologis bagi seluruh tenaga kesehatan yang terlibat, identifikasi faktor yang dapat dicegah (avoidable factors) pada tiga tingkat keterlambatan, serta perumusan rencana tindak lanjut sistemik yang dapat dipantau pelaksanaannya.</w:t>
      </w:r>
    </w:p>
    <w:p>
      <w:pPr>
        <w:spacing w:after="160" w:line="300"/>
        <w:jc w:val="both"/>
      </w:pPr>
      <w:r>
        <w:rPr>
          <w:rFonts w:ascii="Calibri" w:cs="Calibri" w:eastAsia="Calibri" w:hAnsi="Calibri"/>
          <w:color w:val="333333"/>
          <w:sz w:val="22"/>
          <w:szCs w:val="22"/>
        </w:rPr>
        <w:t xml:space="preserve">Prinsip pendidikan klinis andragogi (pembelajaran orang dewasa) menekankan bahwa peserta didik dewasa belajar paling efektif melalui pengalaman langsung yang direfleksikan, relevansi praktis terhadap masalah nyata yang dihadapi, serta pengakuan atas pengetahuan dan pengalaman yang telah dimiliki peserta didik sebelumnya. Prinsip ini mendasari rancangan sesi pelatihan klinik dan pelatihan keterampilan komunikasi klinis (Clinical Teaching Skills/CTS) yang dituntut Kepkonsil, dengan pendekatan yang menggabungkan simulasi, umpan balik terstruktur, dan refleksi berpasangan.</w:t>
      </w:r>
    </w:p>
    <w:p>
      <w:pPr>
        <w:spacing w:after="160" w:line="300"/>
        <w:jc w:val="both"/>
      </w:pPr>
      <w:r>
        <w:rPr>
          <w:rFonts w:ascii="Calibri" w:cs="Calibri" w:eastAsia="Calibri" w:hAnsi="Calibri"/>
          <w:color w:val="333333"/>
          <w:sz w:val="22"/>
          <w:szCs w:val="22"/>
        </w:rPr>
        <w:t xml:space="preserve">Pembahasan mendalam mengenai metodologi audit maternal-perinatal, instrumen evaluasi mutu rumah sakit, serta rancangan kurikulum dan modul pelatihan klinik disajikan pada Buku 11: Manajemen Mutu Rumah Sakit dan Buku 12: Pendidikan Klinis dan Pelatih.</w:t>
      </w:r>
    </w:p>
    <w:p>
      <w:r>
        <w:br w:type="page"/>
      </w:r>
    </w:p>
    <w:p>
      <w:pPr>
        <w:pStyle w:val="Heading1"/>
        <w:pBdr>
          <w:bottom w:val="single" w:color="7A1F3D" w:sz="12" w:space="8"/>
        </w:pBdr>
        <w:spacing w:after="240" w:before="480"/>
      </w:pPr>
      <w:r>
        <w:rPr>
          <w:rFonts w:ascii="Calibri" w:cs="Calibri" w:eastAsia="Calibri" w:hAnsi="Calibri"/>
          <w:b/>
          <w:bCs/>
          <w:color w:val="7A1F3D"/>
          <w:sz w:val="34"/>
          <w:szCs w:val="34"/>
        </w:rPr>
        <w:t xml:space="preserve">Bab 13. Etika, Profesionalisme, dan Arah Pengembangan Karier Subspesialis</w:t>
      </w:r>
    </w:p>
    <w:tbl>
      <w:tblPr>
        <w:tblW w:type="dxa" w:w="9360"/>
        <w:tblBorders>
          <w:top w:val="single" w:color="7A1F3D" w:sz="6"/>
          <w:left w:val="single" w:color="7A1F3D" w:sz="24"/>
          <w:bottom w:val="single" w:color="7A1F3D" w:sz="6"/>
          <w:right w:val="single" w:color="7A1F3D" w:sz="6"/>
          <w:insideH w:val="none" w:color="F3E3E9" w:sz="0"/>
          <w:insideV w:val="none" w:color="F3E3E9" w:sz="0"/>
        </w:tblBorders>
      </w:tblPr>
      <w:tblGrid>
        <w:gridCol w:w="9360"/>
      </w:tblGrid>
      <w:tr>
        <w:tc>
          <w:tcPr>
            <w:tcW w:type="dxa" w:w="9360"/>
            <w:shd w:fill="F3E3E9" w:val="clear"/>
            <w:tcMar>
              <w:top w:type="dxa" w:w="160"/>
              <w:left w:type="dxa" w:w="220"/>
              <w:bottom w:type="dxa" w:w="160"/>
              <w:right w:type="dxa" w:w="220"/>
            </w:tcMar>
          </w:tcPr>
          <w:p>
            <w:pPr>
              <w:spacing w:after="120"/>
            </w:pPr>
            <w:r>
              <w:rPr>
                <w:rFonts w:ascii="Calibri" w:cs="Calibri" w:eastAsia="Calibri" w:hAnsi="Calibri"/>
                <w:b/>
                <w:bCs/>
                <w:color w:val="7A1F3D"/>
                <w:sz w:val="23"/>
                <w:szCs w:val="23"/>
              </w:rPr>
              <w:t xml:space="preserve">🎯 Tujuan Pembelajaran Bab</w:t>
            </w:r>
          </w:p>
          <w:p>
            <w:pPr>
              <w:pStyle w:val="ListParagraph"/>
              <w:numPr>
                <w:ilvl w:val="0"/>
                <w:numId w:val="2"/>
              </w:numPr>
              <w:spacing w:after="60"/>
            </w:pPr>
            <w:r>
              <w:rPr>
                <w:rFonts w:ascii="Calibri" w:cs="Calibri" w:eastAsia="Calibri" w:hAnsi="Calibri"/>
                <w:color w:val="3A3A3A"/>
                <w:sz w:val="21"/>
                <w:szCs w:val="21"/>
              </w:rPr>
              <w:t xml:space="preserve">Menganalisis dilema etik khas Obstetri Ginekologi Sosial menggunakan empat kaidah dasar bioetik.</w:t>
            </w:r>
          </w:p>
          <w:p>
            <w:pPr>
              <w:pStyle w:val="ListParagraph"/>
              <w:numPr>
                <w:ilvl w:val="0"/>
                <w:numId w:val="2"/>
              </w:numPr>
              <w:spacing w:after="60"/>
            </w:pPr>
            <w:r>
              <w:rPr>
                <w:rFonts w:ascii="Calibri" w:cs="Calibri" w:eastAsia="Calibri" w:hAnsi="Calibri"/>
                <w:color w:val="3A3A3A"/>
                <w:sz w:val="21"/>
                <w:szCs w:val="21"/>
              </w:rPr>
              <w:t xml:space="preserve">Menjelaskan penerapan prinsip otonomi, non-maleficence, beneficence, dan justice pada kasus aborsi, kerahasiaan korban kekerasan, dan otonomi remaja.</w:t>
            </w:r>
          </w:p>
          <w:p>
            <w:pPr>
              <w:pStyle w:val="ListParagraph"/>
              <w:numPr>
                <w:ilvl w:val="0"/>
                <w:numId w:val="2"/>
              </w:numPr>
              <w:spacing w:after="60"/>
            </w:pPr>
            <w:r>
              <w:rPr>
                <w:rFonts w:ascii="Calibri" w:cs="Calibri" w:eastAsia="Calibri" w:hAnsi="Calibri"/>
                <w:color w:val="3A3A3A"/>
                <w:sz w:val="21"/>
                <w:szCs w:val="21"/>
              </w:rPr>
              <w:t xml:space="preserve">Memetakan jenjang pengembangan karier subspesialis Obstetri Ginekologi Sosial di Indonesia.</w:t>
            </w:r>
          </w:p>
        </w:tc>
      </w:tr>
    </w:tbl>
    <w:p>
      <w:pPr>
        <w:spacing w:after="200"/>
      </w:pPr>
    </w:p>
    <w:p>
      <w:pPr>
        <w:pStyle w:val="Heading2"/>
        <w:spacing w:after="160" w:before="320"/>
      </w:pPr>
      <w:r>
        <w:rPr>
          <w:rFonts w:ascii="Calibri" w:cs="Calibri" w:eastAsia="Calibri" w:hAnsi="Calibri"/>
          <w:b/>
          <w:bCs/>
          <w:color w:val="7A1F3D"/>
          <w:sz w:val="26"/>
          <w:szCs w:val="26"/>
        </w:rPr>
        <w:t xml:space="preserve">Empat Kaidah Dasar Bioetik pada Praktik Obstetri Ginekologi Sosial</w:t>
      </w:r>
    </w:p>
    <w:p>
      <w:pPr>
        <w:spacing w:after="160" w:line="300"/>
        <w:jc w:val="both"/>
      </w:pPr>
      <w:r>
        <w:rPr>
          <w:rFonts w:ascii="Calibri" w:cs="Calibri" w:eastAsia="Calibri" w:hAnsi="Calibri"/>
          <w:color w:val="333333"/>
          <w:sz w:val="22"/>
          <w:szCs w:val="22"/>
        </w:rPr>
        <w:t xml:space="preserve">Empat kaidah dasar bioetik — otonomi (autonomy), tidak merugikan (non-maleficence), berbuat baik (beneficence), dan keadilan (justice) — memberikan kerangka analisis yang dapat diterapkan secara konsisten pada dilema etik khas Obstetri Ginekologi Sosial, meskipun kerangka ini tidak selalu menghasilkan jawaban tunggal yang tidak terbantahkan.</w:t>
      </w:r>
    </w:p>
    <w:p>
      <w:pPr>
        <w:pStyle w:val="Heading3"/>
        <w:spacing w:after="120" w:before="220"/>
      </w:pPr>
      <w:r>
        <w:rPr>
          <w:rFonts w:ascii="Calibri" w:cs="Calibri" w:eastAsia="Calibri" w:hAnsi="Calibri"/>
          <w:b/>
          <w:bCs/>
          <w:i/>
          <w:iCs/>
          <w:color w:val="8A3352"/>
          <w:sz w:val="23"/>
          <w:szCs w:val="23"/>
        </w:rPr>
        <w:t xml:space="preserve">Dilema Etik: Terminasi Kehamilan</w:t>
      </w:r>
    </w:p>
    <w:p>
      <w:pPr>
        <w:spacing w:after="160" w:line="300"/>
        <w:jc w:val="both"/>
      </w:pPr>
      <w:r>
        <w:rPr>
          <w:rFonts w:ascii="Calibri" w:cs="Calibri" w:eastAsia="Calibri" w:hAnsi="Calibri"/>
          <w:color w:val="333333"/>
          <w:sz w:val="22"/>
          <w:szCs w:val="22"/>
        </w:rPr>
        <w:t xml:space="preserve">Kasus permintaan atau kebutuhan terminasi kehamilan menghadirkan ketegangan langsung antara prinsip otonomi (hak perempuan menentukan pilihan reproduksinya) dan batasan hukum nasional yang mengizinkan terminasi hanya pada indikasi tertentu (kedaruratan medis dan kehamilan akibat perkosaan dengan persyaratan ketat). Prinsip non-maleficence menuntut klinisi mempertimbangkan bahwa penolakan tanpa rujukan yang memadai dapat mendorong pasien mencari terminasi tidak aman yang jauh lebih membahayakan. Prinsip beneficence menuntut konseling komprehensif mengenai seluruh pilihan yang tersedia secara legal. Prinsip keadilan mengingatkan bahwa akses terhadap layanan yang legal sekalipun sering tidak merata antarwilayah dan antarkelompok sosial-ekonomi, sehingga peran klinisi turut mencakup advokasi sistem rujukan yang adil.</w:t>
      </w:r>
    </w:p>
    <w:p>
      <w:pPr>
        <w:pStyle w:val="Heading3"/>
        <w:spacing w:after="120" w:before="220"/>
      </w:pPr>
      <w:r>
        <w:rPr>
          <w:rFonts w:ascii="Calibri" w:cs="Calibri" w:eastAsia="Calibri" w:hAnsi="Calibri"/>
          <w:b/>
          <w:bCs/>
          <w:i/>
          <w:iCs/>
          <w:color w:val="8A3352"/>
          <w:sz w:val="23"/>
          <w:szCs w:val="23"/>
        </w:rPr>
        <w:t xml:space="preserve">Dilema Etik: Kerahasiaan Korban Kekerasan</w:t>
      </w:r>
    </w:p>
    <w:p>
      <w:pPr>
        <w:spacing w:after="160" w:line="300"/>
        <w:jc w:val="both"/>
      </w:pPr>
      <w:r>
        <w:rPr>
          <w:rFonts w:ascii="Calibri" w:cs="Calibri" w:eastAsia="Calibri" w:hAnsi="Calibri"/>
          <w:color w:val="333333"/>
          <w:sz w:val="22"/>
          <w:szCs w:val="22"/>
        </w:rPr>
        <w:t xml:space="preserve">Ketegangan etik utama pada kasus kekerasan berbasis gender adalah antara kewajiban menjaga kerahasiaan pasien (otonomi, kepercayaan terapeutik) dan kewajiban pelaporan tertentu yang diatur hukum, terutama pada kasus yang melibatkan anak atau ketika terdapat ancaman berkelanjutan terhadap keselamatan nyawa. Prinsip non-maleficence menuntut klinisi mempertimbangkan risiko pelaporan tanpa persetujuan korban dewasa terhadap keselamatannya (misalnya risiko pembalasan dari pelaku), sementara prinsip beneficence dan keadilan mendukung upaya proaktif menawarkan rujukan pelindungan. Pendekatan yang direkomendasikan adalah pengambilan keputusan bersama korban sejauh hukum memungkinkan, dengan transparansi penuh mengenai batasan kerahasiaan sejak awal interaksi.</w:t>
      </w:r>
    </w:p>
    <w:p>
      <w:pPr>
        <w:pStyle w:val="Heading3"/>
        <w:spacing w:after="120" w:before="220"/>
      </w:pPr>
      <w:r>
        <w:rPr>
          <w:rFonts w:ascii="Calibri" w:cs="Calibri" w:eastAsia="Calibri" w:hAnsi="Calibri"/>
          <w:b/>
          <w:bCs/>
          <w:i/>
          <w:iCs/>
          <w:color w:val="8A3352"/>
          <w:sz w:val="23"/>
          <w:szCs w:val="23"/>
        </w:rPr>
        <w:t xml:space="preserve">Dilema Etik: Otonomi Remaja</w:t>
      </w:r>
    </w:p>
    <w:p>
      <w:pPr>
        <w:spacing w:after="160" w:line="300"/>
        <w:jc w:val="both"/>
      </w:pPr>
      <w:r>
        <w:rPr>
          <w:rFonts w:ascii="Calibri" w:cs="Calibri" w:eastAsia="Calibri" w:hAnsi="Calibri"/>
          <w:color w:val="333333"/>
          <w:sz w:val="22"/>
          <w:szCs w:val="22"/>
        </w:rPr>
        <w:t xml:space="preserve">Kehamilan atau permintaan layanan kesehatan reproduksi oleh remaja menghadirkan ketegangan antara otonomi remaja yang sedang berkembang (evolving autonomy) dan peran orang tua/wali dalam pengambilan keputusan menurut hukum dan norma sosial Indonesia. Prinsip beneficence dan non-maleficence mendukung keterlibatan orang tua pada sebagian besar kasus demi dukungan optimal bagi remaja, namun pada kasus tertentu (misalnya kehamilan akibat kekerasan dalam keluarga) keterlibatan orang tua justru dapat membahayakan remaja. Klinisi dituntut melakukan penilaian kasus per kasus yang cermat, memprioritaskan keselamatan dan kepentingan terbaik remaja, sambil tetap menghormati kerangka hukum mengenai kewenangan mengambil keputusan medis pada anak di bawah umur.</w:t>
      </w:r>
    </w:p>
    <w:p>
      <w:pPr>
        <w:pStyle w:val="Heading2"/>
        <w:spacing w:after="160" w:before="320"/>
      </w:pPr>
      <w:r>
        <w:rPr>
          <w:rFonts w:ascii="Calibri" w:cs="Calibri" w:eastAsia="Calibri" w:hAnsi="Calibri"/>
          <w:b/>
          <w:bCs/>
          <w:color w:val="7A1F3D"/>
          <w:sz w:val="26"/>
          <w:szCs w:val="26"/>
        </w:rPr>
        <w:t xml:space="preserve">Peta Jenjang Karier Subspesialis</w:t>
      </w:r>
    </w:p>
    <w:p>
      <w:pPr>
        <w:spacing w:after="160" w:line="300"/>
        <w:jc w:val="both"/>
      </w:pPr>
      <w:r>
        <w:rPr>
          <w:rFonts w:ascii="Calibri" w:cs="Calibri" w:eastAsia="Calibri" w:hAnsi="Calibri"/>
          <w:color w:val="333333"/>
          <w:sz w:val="22"/>
          <w:szCs w:val="22"/>
        </w:rPr>
        <w:t xml:space="preserve">Jenjang pengembangan karier Konsultan Obstetri Ginekologi Sosial di Indonesia umumnya mengikuti pola bertahap: dimulai dari penugasan sebagai konsultan di rumah sakit rujukan (tipe B atau tipe A) dengan fokus awal pada pelayanan klinis langsung kasus biopsikososial kompleks; berkembang menuju peran kepemimpinan tim (misalnya koordinator tim penanganan kekerasan berbasis gender rumah sakit, atau ketua komite audit maternal-perinatal); hingga peran pada tingkat kebijakan dan akademik, seperti menjadi pengajar/penguji program pendidikan subspesialis, anggota tim penyusun pedoman nasional, atau peneliti senior pada isu kesehatan reproduksi berbasis komunitas. Jalur pengembangan ini tidak bersifat linier tunggal; banyak konsultan menjalankan kombinasi peran klinis, manajerial, dan akademik secara bersamaan sesuai kebutuhan institusi tempat mereka bertugas.</w:t>
      </w:r>
    </w:p>
    <w:p>
      <w:pPr>
        <w:spacing w:after="120"/>
      </w:pPr>
    </w:p>
    <w:tbl>
      <w:tblPr>
        <w:tblW w:type="dxa" w:w="9360"/>
        <w:tblBorders>
          <w:top w:val="single" w:color="1F6B4D" w:sz="6"/>
          <w:left w:val="single" w:color="1F6B4D" w:sz="24"/>
          <w:bottom w:val="single" w:color="1F6B4D" w:sz="6"/>
          <w:right w:val="single" w:color="1F6B4D" w:sz="6"/>
          <w:insideH w:val="none" w:color="E7F2EC" w:sz="0"/>
          <w:insideV w:val="none" w:color="E7F2EC" w:sz="0"/>
        </w:tblBorders>
      </w:tblPr>
      <w:tblGrid>
        <w:gridCol w:w="9360"/>
      </w:tblGrid>
      <w:tr>
        <w:tc>
          <w:tcPr>
            <w:tcW w:type="dxa" w:w="9360"/>
            <w:shd w:fill="E7F2EC" w:val="clear"/>
            <w:tcMar>
              <w:top w:type="dxa" w:w="160"/>
              <w:left w:type="dxa" w:w="220"/>
              <w:bottom w:type="dxa" w:w="160"/>
              <w:right w:type="dxa" w:w="220"/>
            </w:tcMar>
          </w:tcPr>
          <w:p>
            <w:pPr>
              <w:spacing w:after="120"/>
            </w:pPr>
            <w:r>
              <w:rPr>
                <w:rFonts w:ascii="Calibri" w:cs="Calibri" w:eastAsia="Calibri" w:hAnsi="Calibri"/>
                <w:b/>
                <w:bCs/>
                <w:color w:val="1F6B4D"/>
                <w:sz w:val="23"/>
                <w:szCs w:val="23"/>
              </w:rPr>
              <w:t xml:space="preserve">✅ Poin Kunci</w:t>
            </w:r>
          </w:p>
          <w:p>
            <w:pPr>
              <w:pStyle w:val="ListParagraph"/>
              <w:numPr>
                <w:ilvl w:val="0"/>
                <w:numId w:val="2"/>
              </w:numPr>
              <w:spacing w:after="60"/>
            </w:pPr>
            <w:r>
              <w:rPr>
                <w:rFonts w:ascii="Calibri" w:cs="Calibri" w:eastAsia="Calibri" w:hAnsi="Calibri"/>
                <w:color w:val="3A3A3A"/>
                <w:sz w:val="21"/>
                <w:szCs w:val="21"/>
              </w:rPr>
              <w:t xml:space="preserve">Empat kaidah dasar bioetik (otonomi, non-maleficence, beneficence, keadilan) memberi kerangka analisis konsisten untuk dilema etik khas Obginsos, meski tidak selalu menghasilkan jawaban tunggal.</w:t>
            </w:r>
          </w:p>
          <w:p>
            <w:pPr>
              <w:pStyle w:val="ListParagraph"/>
              <w:numPr>
                <w:ilvl w:val="0"/>
                <w:numId w:val="2"/>
              </w:numPr>
              <w:spacing w:after="60"/>
            </w:pPr>
            <w:r>
              <w:rPr>
                <w:rFonts w:ascii="Calibri" w:cs="Calibri" w:eastAsia="Calibri" w:hAnsi="Calibri"/>
                <w:color w:val="3A3A3A"/>
                <w:sz w:val="21"/>
                <w:szCs w:val="21"/>
              </w:rPr>
              <w:t xml:space="preserve">Dilema terminasi kehamilan menuntut keseimbangan antara otonomi pasien dan batasan hukum nasional, dengan pertimbangan risiko tindakan tidak aman bila akses legal tidak memadai.</w:t>
            </w:r>
          </w:p>
          <w:p>
            <w:pPr>
              <w:pStyle w:val="ListParagraph"/>
              <w:numPr>
                <w:ilvl w:val="0"/>
                <w:numId w:val="2"/>
              </w:numPr>
              <w:spacing w:after="60"/>
            </w:pPr>
            <w:r>
              <w:rPr>
                <w:rFonts w:ascii="Calibri" w:cs="Calibri" w:eastAsia="Calibri" w:hAnsi="Calibri"/>
                <w:color w:val="3A3A3A"/>
                <w:sz w:val="21"/>
                <w:szCs w:val="21"/>
              </w:rPr>
              <w:t xml:space="preserve">Dilema kerahasiaan korban kekerasan menuntut transparansi sejak awal mengenai batasan kerahasiaan dan pengambilan keputusan bersama korban sejauh hukum memungkinkan.</w:t>
            </w:r>
          </w:p>
          <w:p>
            <w:pPr>
              <w:pStyle w:val="ListParagraph"/>
              <w:numPr>
                <w:ilvl w:val="0"/>
                <w:numId w:val="2"/>
              </w:numPr>
              <w:spacing w:after="60"/>
            </w:pPr>
            <w:r>
              <w:rPr>
                <w:rFonts w:ascii="Calibri" w:cs="Calibri" w:eastAsia="Calibri" w:hAnsi="Calibri"/>
                <w:color w:val="3A3A3A"/>
                <w:sz w:val="21"/>
                <w:szCs w:val="21"/>
              </w:rPr>
              <w:t xml:space="preserve">Dilema otonomi remaja menuntut penilaian kasus per kasus yang mengutamakan keselamatan dan kepentingan terbaik remaja dalam kerangka hukum yang berlaku.</w:t>
            </w:r>
          </w:p>
          <w:p>
            <w:pPr>
              <w:pStyle w:val="ListParagraph"/>
              <w:numPr>
                <w:ilvl w:val="0"/>
                <w:numId w:val="2"/>
              </w:numPr>
              <w:spacing w:after="60"/>
            </w:pPr>
            <w:r>
              <w:rPr>
                <w:rFonts w:ascii="Calibri" w:cs="Calibri" w:eastAsia="Calibri" w:hAnsi="Calibri"/>
                <w:color w:val="3A3A3A"/>
                <w:sz w:val="21"/>
                <w:szCs w:val="21"/>
              </w:rPr>
              <w:t xml:space="preserve">Jenjang karier subspesialis mencakup kombinasi peran klinis, kepemimpinan tim, dan peran kebijakan-akademik yang dapat dijalankan secara paralel.</w:t>
            </w:r>
          </w:p>
        </w:tc>
      </w:tr>
    </w:tbl>
    <w:p>
      <w:pPr>
        <w:spacing w:after="200"/>
      </w:pPr>
    </w:p>
    <w:p>
      <w:pPr>
        <w:pBdr>
          <w:top w:val="single" w:color="CCCCCC" w:sz="4" w:space="6"/>
        </w:pBdr>
        <w:spacing w:after="120" w:before="300"/>
      </w:pPr>
      <w:r>
        <w:rPr>
          <w:rFonts w:ascii="Calibri" w:cs="Calibri" w:eastAsia="Calibri" w:hAnsi="Calibri"/>
          <w:b/>
          <w:bCs/>
          <w:i/>
          <w:iCs/>
          <w:color w:val="555555"/>
          <w:sz w:val="21"/>
          <w:szCs w:val="21"/>
        </w:rPr>
        <w:t xml:space="preserve">Referensi Bab</w:t>
      </w:r>
    </w:p>
    <w:p>
      <w:pPr>
        <w:spacing w:after="100"/>
        <w:ind w:left="360" w:hanging="360"/>
      </w:pPr>
      <w:r>
        <w:rPr>
          <w:rFonts w:ascii="Calibri" w:cs="Calibri" w:eastAsia="Calibri" w:hAnsi="Calibri"/>
          <w:color w:val="555555"/>
          <w:sz w:val="20"/>
          <w:szCs w:val="20"/>
        </w:rPr>
        <w:t xml:space="preserve">1. </w:t>
      </w:r>
      <w:r>
        <w:rPr>
          <w:rFonts w:ascii="Calibri" w:cs="Calibri" w:eastAsia="Calibri" w:hAnsi="Calibri"/>
          <w:color w:val="555555"/>
          <w:sz w:val="20"/>
          <w:szCs w:val="20"/>
        </w:rPr>
        <w:t xml:space="preserve">Beauchamp TL, Childress JF. Principles of Biomedical Ethics. 8th ed. New York: Oxford University Press; 2019.</w:t>
      </w:r>
    </w:p>
    <w:p>
      <w:pPr>
        <w:spacing w:after="100"/>
        <w:ind w:left="360" w:hanging="360"/>
      </w:pPr>
      <w:r>
        <w:rPr>
          <w:rFonts w:ascii="Calibri" w:cs="Calibri" w:eastAsia="Calibri" w:hAnsi="Calibri"/>
          <w:color w:val="555555"/>
          <w:sz w:val="20"/>
          <w:szCs w:val="20"/>
        </w:rPr>
        <w:t xml:space="preserve">2. </w:t>
      </w:r>
      <w:r>
        <w:rPr>
          <w:rFonts w:ascii="Calibri" w:cs="Calibri" w:eastAsia="Calibri" w:hAnsi="Calibri"/>
          <w:color w:val="555555"/>
          <w:sz w:val="20"/>
          <w:szCs w:val="20"/>
        </w:rPr>
        <w:t xml:space="preserve">Perkumpulan Obstetri dan Ginekologi Indonesia. Kode Etik Kedokteran dan Pedoman Disiplin Profesi Obstetri dan Ginekologi.</w:t>
      </w:r>
    </w:p>
    <w:p>
      <w:pPr>
        <w:spacing w:after="100"/>
        <w:ind w:left="360" w:hanging="360"/>
      </w:pPr>
      <w:r>
        <w:rPr>
          <w:rFonts w:ascii="Calibri" w:cs="Calibri" w:eastAsia="Calibri" w:hAnsi="Calibri"/>
          <w:color w:val="555555"/>
          <w:sz w:val="20"/>
          <w:szCs w:val="20"/>
        </w:rPr>
        <w:t xml:space="preserve">3. </w:t>
      </w:r>
      <w:r>
        <w:rPr>
          <w:rFonts w:ascii="Calibri" w:cs="Calibri" w:eastAsia="Calibri" w:hAnsi="Calibri"/>
          <w:color w:val="555555"/>
          <w:sz w:val="20"/>
          <w:szCs w:val="20"/>
        </w:rPr>
        <w:t xml:space="preserve">World Health Organization. WHO Ethical and Safety Recommendations for Researching, Documenting and Monitoring Sexual Violence in Emergencies. Geneva: WHO; 2007. Tersedia di: https://iris.who.int/handle/10665/43709</w:t>
      </w:r>
    </w:p>
    <w:p>
      <w:r>
        <w:br w:type="page"/>
      </w:r>
    </w:p>
    <w:p>
      <w:pPr>
        <w:pStyle w:val="Heading1"/>
        <w:pBdr>
          <w:bottom w:val="single" w:color="7A1F3D" w:sz="12" w:space="8"/>
        </w:pBdr>
        <w:spacing w:after="240" w:before="480"/>
      </w:pPr>
      <w:r>
        <w:rPr>
          <w:rFonts w:ascii="Calibri" w:cs="Calibri" w:eastAsia="Calibri" w:hAnsi="Calibri"/>
          <w:b/>
          <w:bCs/>
          <w:color w:val="7A1F3D"/>
          <w:sz w:val="34"/>
          <w:szCs w:val="34"/>
        </w:rPr>
        <w:t xml:space="preserve">Bab 14. Integrasi Kompetensi: Studi Kasus Multidisiplin Lintas Rumah Sakit-Komunitas</w:t>
      </w:r>
    </w:p>
    <w:tbl>
      <w:tblPr>
        <w:tblW w:type="dxa" w:w="9360"/>
        <w:tblBorders>
          <w:top w:val="single" w:color="7A1F3D" w:sz="6"/>
          <w:left w:val="single" w:color="7A1F3D" w:sz="24"/>
          <w:bottom w:val="single" w:color="7A1F3D" w:sz="6"/>
          <w:right w:val="single" w:color="7A1F3D" w:sz="6"/>
          <w:insideH w:val="none" w:color="F3E3E9" w:sz="0"/>
          <w:insideV w:val="none" w:color="F3E3E9" w:sz="0"/>
        </w:tblBorders>
      </w:tblPr>
      <w:tblGrid>
        <w:gridCol w:w="9360"/>
      </w:tblGrid>
      <w:tr>
        <w:tc>
          <w:tcPr>
            <w:tcW w:type="dxa" w:w="9360"/>
            <w:shd w:fill="F3E3E9" w:val="clear"/>
            <w:tcMar>
              <w:top w:type="dxa" w:w="160"/>
              <w:left w:type="dxa" w:w="220"/>
              <w:bottom w:type="dxa" w:w="160"/>
              <w:right w:type="dxa" w:w="220"/>
            </w:tcMar>
          </w:tcPr>
          <w:p>
            <w:pPr>
              <w:spacing w:after="120"/>
            </w:pPr>
            <w:r>
              <w:rPr>
                <w:rFonts w:ascii="Calibri" w:cs="Calibri" w:eastAsia="Calibri" w:hAnsi="Calibri"/>
                <w:b/>
                <w:bCs/>
                <w:color w:val="7A1F3D"/>
                <w:sz w:val="23"/>
                <w:szCs w:val="23"/>
              </w:rPr>
              <w:t xml:space="preserve">🎯 Tujuan Pembelajaran Bab</w:t>
            </w:r>
          </w:p>
          <w:p>
            <w:pPr>
              <w:pStyle w:val="ListParagraph"/>
              <w:numPr>
                <w:ilvl w:val="0"/>
                <w:numId w:val="2"/>
              </w:numPr>
              <w:spacing w:after="60"/>
            </w:pPr>
            <w:r>
              <w:rPr>
                <w:rFonts w:ascii="Calibri" w:cs="Calibri" w:eastAsia="Calibri" w:hAnsi="Calibri"/>
                <w:color w:val="3A3A3A"/>
                <w:sz w:val="21"/>
                <w:szCs w:val="21"/>
              </w:rPr>
              <w:t xml:space="preserve">Mengintegrasikan kompetensi klinis, manajerial, dan berbasis masyarakat melalui studi kasus multidisiplin lintas rumah sakit-komunitas.</w:t>
            </w:r>
          </w:p>
          <w:p>
            <w:pPr>
              <w:pStyle w:val="ListParagraph"/>
              <w:numPr>
                <w:ilvl w:val="0"/>
                <w:numId w:val="2"/>
              </w:numPr>
              <w:spacing w:after="60"/>
            </w:pPr>
            <w:r>
              <w:rPr>
                <w:rFonts w:ascii="Calibri" w:cs="Calibri" w:eastAsia="Calibri" w:hAnsi="Calibri"/>
                <w:color w:val="3A3A3A"/>
                <w:sz w:val="21"/>
                <w:szCs w:val="21"/>
              </w:rPr>
              <w:t xml:space="preserve">Menganalisis penerapan kompetensi Tabel 19 dan Tabel 25 Kepkonsil pada kasus terintegrasi lintas buku tematik.</w:t>
            </w:r>
          </w:p>
        </w:tc>
      </w:tr>
    </w:tbl>
    <w:p>
      <w:pPr>
        <w:spacing w:after="200"/>
      </w:pPr>
    </w:p>
    <w:p>
      <w:pPr>
        <w:spacing w:after="160" w:line="300"/>
        <w:jc w:val="both"/>
      </w:pPr>
      <w:r>
        <w:rPr>
          <w:rFonts w:ascii="Calibri" w:cs="Calibri" w:eastAsia="Calibri" w:hAnsi="Calibri"/>
          <w:color w:val="333333"/>
          <w:sz w:val="22"/>
          <w:szCs w:val="22"/>
        </w:rPr>
        <w:t xml:space="preserve">Bab penutup ini menyajikan tiga vignette kasus terintegrasi yang masing-masing menggabungkan elemen dari beberapa buku tematik sekaligus, mencerminkan realitas praktik Obstetri Ginekologi Sosial yang jarang menghadirkan masalah tunggal yang rapi sesuai batas bab. Setiap vignette diikuti analisis eksplisit mengenai kompetensi Tabel 19 dan Tabel 25 Kepkonsil yang teruji di dalamnya.</w:t>
      </w:r>
    </w:p>
    <w:p>
      <w:pPr>
        <w:pStyle w:val="Heading2"/>
        <w:spacing w:after="160" w:before="320"/>
      </w:pPr>
      <w:r>
        <w:rPr>
          <w:rFonts w:ascii="Calibri" w:cs="Calibri" w:eastAsia="Calibri" w:hAnsi="Calibri"/>
          <w:b/>
          <w:bCs/>
          <w:color w:val="7A1F3D"/>
          <w:sz w:val="26"/>
          <w:szCs w:val="26"/>
        </w:rPr>
        <w:t xml:space="preserve">Remaja dengan Kehamilan Tidak Diinginkan dan Dugaan KDRT (Rujuk Buku 3, Buku 6, Buku 4)</w:t>
      </w:r>
    </w:p>
    <w:tbl>
      <w:tblPr>
        <w:tblW w:type="dxa" w:w="9360"/>
        <w:tblBorders>
          <w:top w:val="single" w:color="555555" w:sz="6"/>
          <w:left w:val="single" w:color="555555" w:sz="24"/>
          <w:bottom w:val="single" w:color="555555" w:sz="6"/>
          <w:right w:val="single" w:color="555555" w:sz="6"/>
          <w:insideH w:val="none" w:color="F2F2F2" w:sz="0"/>
          <w:insideV w:val="none" w:color="F2F2F2" w:sz="0"/>
        </w:tblBorders>
      </w:tblPr>
      <w:tblGrid>
        <w:gridCol w:w="9360"/>
      </w:tblGrid>
      <w:tr>
        <w:tc>
          <w:tcPr>
            <w:tcW w:type="dxa" w:w="9360"/>
            <w:shd w:fill="F2F2F2" w:val="clear"/>
            <w:tcMar>
              <w:top w:type="dxa" w:w="160"/>
              <w:left w:type="dxa" w:w="220"/>
              <w:bottom w:type="dxa" w:w="160"/>
              <w:right w:type="dxa" w:w="220"/>
            </w:tcMar>
          </w:tcPr>
          <w:p>
            <w:pPr>
              <w:spacing w:after="120"/>
            </w:pPr>
            <w:r>
              <w:rPr>
                <w:rFonts w:ascii="Calibri" w:cs="Calibri" w:eastAsia="Calibri" w:hAnsi="Calibri"/>
                <w:b/>
                <w:bCs/>
                <w:color w:val="555555"/>
                <w:sz w:val="23"/>
                <w:szCs w:val="23"/>
              </w:rPr>
              <w:t xml:space="preserve">📋 Vignette Kasus: Remaja dengan Kehamilan Tidak Diinginkan dan Dugaan KDRT</w:t>
            </w:r>
          </w:p>
          <w:p>
            <w:pPr>
              <w:spacing w:after="100" w:line="300"/>
              <w:jc w:val="both"/>
            </w:pPr>
            <w:r>
              <w:rPr>
                <w:rFonts w:ascii="Calibri" w:cs="Calibri" w:eastAsia="Calibri" w:hAnsi="Calibri"/>
                <w:i/>
                <w:iCs/>
                <w:color w:val="3A3A3A"/>
                <w:sz w:val="21"/>
                <w:szCs w:val="21"/>
              </w:rPr>
              <w:t xml:space="preserve">N, perempuan berusia 16 tahun, datang ke poliklinik kebidanan diantar bibinya dengan keluhan terlambat haid tiga bulan. Pemeriksaan mengonfirmasi kehamilan intrauterin usia 13 minggu. Saat anamnesis privat tanpa bibinya, N mengungkapkan bahwa kehamilan terjadi akibat hubungan dengan pacarnya yang berusia 19 tahun, namun juga menceritakan bahwa ia sering menerima kekerasan fisik dari ayah tirinya di rumah dan takut pulang. N tampak murung, sulit tidur, dan sesekali menyebut "lebih baik semua ini berakhir".</w:t>
            </w:r>
          </w:p>
          <w:p>
            <w:pPr>
              <w:spacing w:after="100" w:line="300"/>
              <w:jc w:val="both"/>
            </w:pPr>
            <w:r>
              <w:rPr>
                <w:rFonts w:ascii="Calibri" w:cs="Calibri" w:eastAsia="Calibri" w:hAnsi="Calibri"/>
                <w:i/>
                <w:iCs/>
                <w:color w:val="3A3A3A"/>
                <w:sz w:val="21"/>
                <w:szCs w:val="21"/>
              </w:rPr>
              <w:t xml:space="preserve">Tim menjalankan skrining risiko bunuh diri terstruktur (hasil menunjukkan risiko sedang), melakukan konseling nondirektif mengenai pilihan kehamilan sesuai kerangka hukum yang berlaku, serta melakukan asesmen keselamatan terkait dugaan KDRT dari ayah tiri. Kasus ini melibatkan psikiater untuk tata laksana risiko bunuh diri, pekerja sosial dan DP3A untuk asesmen keselamatan rumah, serta konselor remaja untuk pendampingan berkelanjutan.</w:t>
            </w:r>
          </w:p>
        </w:tc>
      </w:tr>
    </w:tbl>
    <w:p>
      <w:pPr>
        <w:spacing w:after="200"/>
      </w:pPr>
    </w:p>
    <w:p>
      <w:pPr>
        <w:pStyle w:val="Heading3"/>
        <w:spacing w:after="120" w:before="220"/>
      </w:pPr>
      <w:r>
        <w:rPr>
          <w:rFonts w:ascii="Calibri" w:cs="Calibri" w:eastAsia="Calibri" w:hAnsi="Calibri"/>
          <w:b/>
          <w:bCs/>
          <w:i/>
          <w:iCs/>
          <w:color w:val="8A3352"/>
          <w:sz w:val="23"/>
          <w:szCs w:val="23"/>
        </w:rPr>
        <w:t xml:space="preserve">Analisis Kompetensi</w:t>
      </w:r>
    </w:p>
    <w:p>
      <w:pPr>
        <w:spacing w:after="160" w:line="300"/>
        <w:jc w:val="both"/>
      </w:pPr>
      <w:r>
        <w:rPr>
          <w:rFonts w:ascii="Calibri" w:cs="Calibri" w:eastAsia="Calibri" w:hAnsi="Calibri"/>
          <w:color w:val="333333"/>
          <w:sz w:val="22"/>
          <w:szCs w:val="22"/>
        </w:rPr>
        <w:t xml:space="preserve">Kasus ini menguji kompetensi T19.1 (anamnesis biopsikososial dengan skrining KDRT), T19.4 (interpretasi hasil terintegrasi sosial-etik), T25.7 (penatalaksanaan kehamilan remaja), T25.9 (gangguan mental pada kehamilan, termasuk risiko bunuh diri), dan T25.13 (korban KDRT). Keputusan klinis yang diambil harus mengutamakan keselamatan segera (risiko bunuh diri dan risiko kekerasan berkelanjutan di rumah) sebelum menyelesaikan konseling mengenai pilihan kehamilan, mencerminkan prinsip stratifikasi risiko akut yang dibahas pada algoritma Bab 3.</w:t>
      </w:r>
    </w:p>
    <w:p>
      <w:pPr>
        <w:pStyle w:val="Heading2"/>
        <w:spacing w:after="160" w:before="320"/>
      </w:pPr>
      <w:r>
        <w:rPr>
          <w:rFonts w:ascii="Calibri" w:cs="Calibri" w:eastAsia="Calibri" w:hAnsi="Calibri"/>
          <w:b/>
          <w:bCs/>
          <w:color w:val="7A1F3D"/>
          <w:sz w:val="26"/>
          <w:szCs w:val="26"/>
        </w:rPr>
        <w:t xml:space="preserve">Ibu Hamil dengan Diabetes Gestasional, Malnutrisi, dan Keterbatasan Akses Layanan (Rujuk Buku 1, Buku 5, Buku 11)</w:t>
      </w:r>
    </w:p>
    <w:tbl>
      <w:tblPr>
        <w:tblW w:type="dxa" w:w="9360"/>
        <w:tblBorders>
          <w:top w:val="single" w:color="555555" w:sz="6"/>
          <w:left w:val="single" w:color="555555" w:sz="24"/>
          <w:bottom w:val="single" w:color="555555" w:sz="6"/>
          <w:right w:val="single" w:color="555555" w:sz="6"/>
          <w:insideH w:val="none" w:color="F2F2F2" w:sz="0"/>
          <w:insideV w:val="none" w:color="F2F2F2" w:sz="0"/>
        </w:tblBorders>
      </w:tblPr>
      <w:tblGrid>
        <w:gridCol w:w="9360"/>
      </w:tblGrid>
      <w:tr>
        <w:tc>
          <w:tcPr>
            <w:tcW w:type="dxa" w:w="9360"/>
            <w:shd w:fill="F2F2F2" w:val="clear"/>
            <w:tcMar>
              <w:top w:type="dxa" w:w="160"/>
              <w:left w:type="dxa" w:w="220"/>
              <w:bottom w:type="dxa" w:w="160"/>
              <w:right w:type="dxa" w:w="220"/>
            </w:tcMar>
          </w:tcPr>
          <w:p>
            <w:pPr>
              <w:spacing w:after="120"/>
            </w:pPr>
            <w:r>
              <w:rPr>
                <w:rFonts w:ascii="Calibri" w:cs="Calibri" w:eastAsia="Calibri" w:hAnsi="Calibri"/>
                <w:b/>
                <w:bCs/>
                <w:color w:val="555555"/>
                <w:sz w:val="23"/>
                <w:szCs w:val="23"/>
              </w:rPr>
              <w:t xml:space="preserve">📋 Vignette Kasus: Ibu Hamil dengan Diabetes Gestasional, Malnutrisi, dan Keterbatasan Akses Layanan</w:t>
            </w:r>
          </w:p>
          <w:p>
            <w:pPr>
              <w:spacing w:after="100" w:line="300"/>
              <w:jc w:val="both"/>
            </w:pPr>
            <w:r>
              <w:rPr>
                <w:rFonts w:ascii="Calibri" w:cs="Calibri" w:eastAsia="Calibri" w:hAnsi="Calibri"/>
                <w:i/>
                <w:iCs/>
                <w:color w:val="3A3A3A"/>
                <w:sz w:val="21"/>
                <w:szCs w:val="21"/>
              </w:rPr>
              <w:t xml:space="preserve">S, perempuan berusia 29 tahun, G3P2A0 usia kehamilan 28 minggu, tinggal di daerah pesisir dengan jarak tempuh dua jam menuju puskesmas terdekat. Skrining laboratorium menunjukkan hasil gula darah puasa dan dua jam post-prandial yang memenuhi kriteria diabetes gestasional, disertai kadar hemoglobin rendah (anemia sedang) dan Lingkar Lengan Atas di bawah ambang normal, mengindikasikan risiko kurang energi kronik.</w:t>
            </w:r>
          </w:p>
          <w:p>
            <w:pPr>
              <w:spacing w:after="100" w:line="300"/>
              <w:jc w:val="both"/>
            </w:pPr>
            <w:r>
              <w:rPr>
                <w:rFonts w:ascii="Calibri" w:cs="Calibri" w:eastAsia="Calibri" w:hAnsi="Calibri"/>
                <w:i/>
                <w:iCs/>
                <w:color w:val="3A3A3A"/>
                <w:sz w:val="21"/>
                <w:szCs w:val="21"/>
              </w:rPr>
              <w:t xml:space="preserve">Rencana tata laksana awal berupa diet ketat dan pemantauan gula darah mandiri empat kali sehari tidak realistis mengingat keterbatasan akses S terhadap alat pemantauan gula darah dan bahan pangan bergizi. Tim menyusun rencana alternatif yang mempertimbangkan sumber daya lokal yang tersedia, kolaborasi dengan kader kesehatan desa untuk pemantauan berkala, serta rujukan terjadwal ke fasilitas rujukan pada trimester ketiga. Kasus ini juga menjadi bahan diskusi audit maternal-perinatal di rumah sakit rujukan mengenai kesenjangan akses layanan di wilayah tersebut.</w:t>
            </w:r>
          </w:p>
        </w:tc>
      </w:tr>
    </w:tbl>
    <w:p>
      <w:pPr>
        <w:spacing w:after="200"/>
      </w:pPr>
    </w:p>
    <w:p>
      <w:pPr>
        <w:pStyle w:val="Heading3"/>
        <w:spacing w:after="120" w:before="220"/>
      </w:pPr>
      <w:r>
        <w:rPr>
          <w:rFonts w:ascii="Calibri" w:cs="Calibri" w:eastAsia="Calibri" w:hAnsi="Calibri"/>
          <w:b/>
          <w:bCs/>
          <w:i/>
          <w:iCs/>
          <w:color w:val="8A3352"/>
          <w:sz w:val="23"/>
          <w:szCs w:val="23"/>
        </w:rPr>
        <w:t xml:space="preserve">Analisis Kompetensi</w:t>
      </w:r>
    </w:p>
    <w:p>
      <w:pPr>
        <w:spacing w:after="160" w:line="300"/>
        <w:jc w:val="both"/>
      </w:pPr>
      <w:r>
        <w:rPr>
          <w:rFonts w:ascii="Calibri" w:cs="Calibri" w:eastAsia="Calibri" w:hAnsi="Calibri"/>
          <w:color w:val="333333"/>
          <w:sz w:val="22"/>
          <w:szCs w:val="22"/>
        </w:rPr>
        <w:t xml:space="preserve">Kasus ini menguji kompetensi T19.6 (perencanaan terapi yang mempertimbangkan konteks sosial-ekonomi pasien, bukan hanya standar biomedis ideal), T25.1 (kehamilan berisiko sosial-psikososial), T25.12 (permasalahan nutrisi kehamilan), dan T25.18/T25.21 (analisis sistem rujukan dan manajemen berbasis mutu). Kasus ini menegaskan prinsip Bab 3 bahwa rencana terapi biomedis harus diintegrasikan secara aktif dengan realitas sumber daya sosial pasien.</w:t>
      </w:r>
    </w:p>
    <w:p>
      <w:pPr>
        <w:pStyle w:val="Heading2"/>
        <w:spacing w:after="160" w:before="320"/>
      </w:pPr>
      <w:r>
        <w:rPr>
          <w:rFonts w:ascii="Calibri" w:cs="Calibri" w:eastAsia="Calibri" w:hAnsi="Calibri"/>
          <w:b/>
          <w:bCs/>
          <w:color w:val="7A1F3D"/>
          <w:sz w:val="26"/>
          <w:szCs w:val="26"/>
        </w:rPr>
        <w:t xml:space="preserve">Perempuan Perimenopause dengan Kecurigaan Keganasan Ginekologi dan Kebutuhan Paliatif (Rujuk Buku 9, Buku 10, Buku 13)</w:t>
      </w:r>
    </w:p>
    <w:tbl>
      <w:tblPr>
        <w:tblW w:type="dxa" w:w="9360"/>
        <w:tblBorders>
          <w:top w:val="single" w:color="555555" w:sz="6"/>
          <w:left w:val="single" w:color="555555" w:sz="24"/>
          <w:bottom w:val="single" w:color="555555" w:sz="6"/>
          <w:right w:val="single" w:color="555555" w:sz="6"/>
          <w:insideH w:val="none" w:color="F2F2F2" w:sz="0"/>
          <w:insideV w:val="none" w:color="F2F2F2" w:sz="0"/>
        </w:tblBorders>
      </w:tblPr>
      <w:tblGrid>
        <w:gridCol w:w="9360"/>
      </w:tblGrid>
      <w:tr>
        <w:tc>
          <w:tcPr>
            <w:tcW w:type="dxa" w:w="9360"/>
            <w:shd w:fill="F2F2F2" w:val="clear"/>
            <w:tcMar>
              <w:top w:type="dxa" w:w="160"/>
              <w:left w:type="dxa" w:w="220"/>
              <w:bottom w:type="dxa" w:w="160"/>
              <w:right w:type="dxa" w:w="220"/>
            </w:tcMar>
          </w:tcPr>
          <w:p>
            <w:pPr>
              <w:spacing w:after="120"/>
            </w:pPr>
            <w:r>
              <w:rPr>
                <w:rFonts w:ascii="Calibri" w:cs="Calibri" w:eastAsia="Calibri" w:hAnsi="Calibri"/>
                <w:b/>
                <w:bCs/>
                <w:color w:val="555555"/>
                <w:sz w:val="23"/>
                <w:szCs w:val="23"/>
              </w:rPr>
              <w:t xml:space="preserve">📋 Vignette Kasus: Perempuan Perimenopause dengan Kecurigaan Keganasan Ginekologi dan Kebutuhan Paliatif</w:t>
            </w:r>
          </w:p>
          <w:p>
            <w:pPr>
              <w:spacing w:after="100" w:line="300"/>
              <w:jc w:val="both"/>
            </w:pPr>
            <w:r>
              <w:rPr>
                <w:rFonts w:ascii="Calibri" w:cs="Calibri" w:eastAsia="Calibri" w:hAnsi="Calibri"/>
                <w:i/>
                <w:iCs/>
                <w:color w:val="3A3A3A"/>
                <w:sz w:val="21"/>
                <w:szCs w:val="21"/>
              </w:rPr>
              <w:t xml:space="preserve">R, perempuan berusia 52 tahun, datang dengan keluhan perdarahan pervaginam pascamenopause disertai gejala vasomotor berat dan penurunan berat badan progresif. Pemeriksaan penunjang mengarah pada kecurigaan keganasan endometrium stadium lanjut. R tinggal sendiri setelah suaminya meninggal dan memiliki dukungan keluarga terbatas, dengan gejala kecemasan berat terkait diagnosis yang mungkin ditegakkan.</w:t>
            </w:r>
          </w:p>
          <w:p>
            <w:pPr>
              <w:spacing w:after="100" w:line="300"/>
              <w:jc w:val="both"/>
            </w:pPr>
            <w:r>
              <w:rPr>
                <w:rFonts w:ascii="Calibri" w:cs="Calibri" w:eastAsia="Calibri" w:hAnsi="Calibri"/>
                <w:i/>
                <w:iCs/>
                <w:color w:val="3A3A3A"/>
                <w:sz w:val="21"/>
                <w:szCs w:val="21"/>
              </w:rPr>
              <w:t xml:space="preserve">Tim menyusun rencana asesmen multidimensi mencakup tata laksana gejala menopause, konseling psikologis menghadapi kemungkinan diagnosis keganasan, serta persiapan rujukan onkologi ginekologi bila diagnosis dikonfirmasi. Diskusi tim turut mempertimbangkan preferensi R mengenai perawatan bila prognosis ternyata buruk, termasuk pengenalan awal terhadap prinsip perawatan paliatif sebagai bagian integral asuhan, bukan hanya pilihan pada tahap akhir semata.</w:t>
            </w:r>
          </w:p>
        </w:tc>
      </w:tr>
    </w:tbl>
    <w:p>
      <w:pPr>
        <w:spacing w:after="200"/>
      </w:pPr>
    </w:p>
    <w:p>
      <w:pPr>
        <w:pStyle w:val="Heading3"/>
        <w:spacing w:after="120" w:before="220"/>
      </w:pPr>
      <w:r>
        <w:rPr>
          <w:rFonts w:ascii="Calibri" w:cs="Calibri" w:eastAsia="Calibri" w:hAnsi="Calibri"/>
          <w:b/>
          <w:bCs/>
          <w:i/>
          <w:iCs/>
          <w:color w:val="8A3352"/>
          <w:sz w:val="23"/>
          <w:szCs w:val="23"/>
        </w:rPr>
        <w:t xml:space="preserve">Analisis Kompetensi</w:t>
      </w:r>
    </w:p>
    <w:p>
      <w:pPr>
        <w:spacing w:after="160" w:line="300"/>
        <w:jc w:val="both"/>
      </w:pPr>
      <w:r>
        <w:rPr>
          <w:rFonts w:ascii="Calibri" w:cs="Calibri" w:eastAsia="Calibri" w:hAnsi="Calibri"/>
          <w:color w:val="333333"/>
          <w:sz w:val="22"/>
          <w:szCs w:val="22"/>
        </w:rPr>
        <w:t xml:space="preserve">Kasus ini menguji kompetensi T25.16 (kasus menopause dengan masalah biopsikososial) dan T25.17 (manajemen kasus paliatif holistik), sekaligus T19.8 (penetapan prognosis dengan dukungan psikososial). Kasus ini menggambarkan bagaimana pendekatan biopsikososial tetap relevan bahkan pada fase kehidupan reproduktif yang telah berakhir (pascamenopause), menegaskan bahwa Obstetri Ginekologi Sosial mencakup rentang kehidupan perempuan secara menyeluruh, bukan hanya periode kehamilan-persalinan.</w:t>
      </w:r>
    </w:p>
    <w:p>
      <w:pPr>
        <w:spacing w:after="120"/>
      </w:pPr>
    </w:p>
    <w:tbl>
      <w:tblPr>
        <w:tblW w:type="dxa" w:w="9360"/>
        <w:tblBorders>
          <w:top w:val="single" w:color="1F6B4D" w:sz="6"/>
          <w:left w:val="single" w:color="1F6B4D" w:sz="24"/>
          <w:bottom w:val="single" w:color="1F6B4D" w:sz="6"/>
          <w:right w:val="single" w:color="1F6B4D" w:sz="6"/>
          <w:insideH w:val="none" w:color="E7F2EC" w:sz="0"/>
          <w:insideV w:val="none" w:color="E7F2EC" w:sz="0"/>
        </w:tblBorders>
      </w:tblPr>
      <w:tblGrid>
        <w:gridCol w:w="9360"/>
      </w:tblGrid>
      <w:tr>
        <w:tc>
          <w:tcPr>
            <w:tcW w:type="dxa" w:w="9360"/>
            <w:shd w:fill="E7F2EC" w:val="clear"/>
            <w:tcMar>
              <w:top w:type="dxa" w:w="160"/>
              <w:left w:type="dxa" w:w="220"/>
              <w:bottom w:type="dxa" w:w="160"/>
              <w:right w:type="dxa" w:w="220"/>
            </w:tcMar>
          </w:tcPr>
          <w:p>
            <w:pPr>
              <w:spacing w:after="120"/>
            </w:pPr>
            <w:r>
              <w:rPr>
                <w:rFonts w:ascii="Calibri" w:cs="Calibri" w:eastAsia="Calibri" w:hAnsi="Calibri"/>
                <w:b/>
                <w:bCs/>
                <w:color w:val="1F6B4D"/>
                <w:sz w:val="23"/>
                <w:szCs w:val="23"/>
              </w:rPr>
              <w:t xml:space="preserve">✅ Poin Kunci</w:t>
            </w:r>
          </w:p>
          <w:p>
            <w:pPr>
              <w:pStyle w:val="ListParagraph"/>
              <w:numPr>
                <w:ilvl w:val="0"/>
                <w:numId w:val="2"/>
              </w:numPr>
              <w:spacing w:after="60"/>
            </w:pPr>
            <w:r>
              <w:rPr>
                <w:rFonts w:ascii="Calibri" w:cs="Calibri" w:eastAsia="Calibri" w:hAnsi="Calibri"/>
                <w:color w:val="3A3A3A"/>
                <w:sz w:val="21"/>
                <w:szCs w:val="21"/>
              </w:rPr>
              <w:t xml:space="preserve">Kasus nyata dalam praktik Obstetri Ginekologi Sosial jarang berdiri sendiri pada satu topik tematik; integrasi lintas buku adalah norma, bukan pengecualian.</w:t>
            </w:r>
          </w:p>
          <w:p>
            <w:pPr>
              <w:pStyle w:val="ListParagraph"/>
              <w:numPr>
                <w:ilvl w:val="0"/>
                <w:numId w:val="2"/>
              </w:numPr>
              <w:spacing w:after="60"/>
            </w:pPr>
            <w:r>
              <w:rPr>
                <w:rFonts w:ascii="Calibri" w:cs="Calibri" w:eastAsia="Calibri" w:hAnsi="Calibri"/>
                <w:color w:val="3A3A3A"/>
                <w:sz w:val="21"/>
                <w:szCs w:val="21"/>
              </w:rPr>
              <w:t xml:space="preserve">Stratifikasi risiko akut (keselamatan fisik, risiko bunuh diri) harus diselesaikan lebih dulu sebelum melanjutkan konseling atau tata laksana definitif lainnya.</w:t>
            </w:r>
          </w:p>
          <w:p>
            <w:pPr>
              <w:pStyle w:val="ListParagraph"/>
              <w:numPr>
                <w:ilvl w:val="0"/>
                <w:numId w:val="2"/>
              </w:numPr>
              <w:spacing w:after="60"/>
            </w:pPr>
            <w:r>
              <w:rPr>
                <w:rFonts w:ascii="Calibri" w:cs="Calibri" w:eastAsia="Calibri" w:hAnsi="Calibri"/>
                <w:color w:val="3A3A3A"/>
                <w:sz w:val="21"/>
                <w:szCs w:val="21"/>
              </w:rPr>
              <w:t xml:space="preserve">Rencana terapi biomedis yang realistis wajib mempertimbangkan sumber daya sosial-ekonomi dan geografis aktual yang dimiliki pasien.</w:t>
            </w:r>
          </w:p>
          <w:p>
            <w:pPr>
              <w:pStyle w:val="ListParagraph"/>
              <w:numPr>
                <w:ilvl w:val="0"/>
                <w:numId w:val="2"/>
              </w:numPr>
              <w:spacing w:after="60"/>
            </w:pPr>
            <w:r>
              <w:rPr>
                <w:rFonts w:ascii="Calibri" w:cs="Calibri" w:eastAsia="Calibri" w:hAnsi="Calibri"/>
                <w:color w:val="3A3A3A"/>
                <w:sz w:val="21"/>
                <w:szCs w:val="21"/>
              </w:rPr>
              <w:t xml:space="preserve">Pendekatan biopsikososial relevan sepanjang rentang kehidupan reproduktif perempuan, termasuk pada fase pascamenopause dan situasi paliatif.</w:t>
            </w:r>
          </w:p>
          <w:p>
            <w:pPr>
              <w:pStyle w:val="ListParagraph"/>
              <w:numPr>
                <w:ilvl w:val="0"/>
                <w:numId w:val="2"/>
              </w:numPr>
              <w:spacing w:after="60"/>
            </w:pPr>
            <w:r>
              <w:rPr>
                <w:rFonts w:ascii="Calibri" w:cs="Calibri" w:eastAsia="Calibri" w:hAnsi="Calibri"/>
                <w:color w:val="3A3A3A"/>
                <w:sz w:val="21"/>
                <w:szCs w:val="21"/>
              </w:rPr>
              <w:t xml:space="preserve">Setiap kasus terintegrasi memberi kesempatan menguji beberapa item kompetensi Tabel 19 dan Tabel 25 Kepkonsil secara simultan, mencerminkan sifat holistik penilaian kompetensi subspesialis ini.</w:t>
            </w:r>
          </w:p>
        </w:tc>
      </w:tr>
    </w:tbl>
    <w:p>
      <w:pPr>
        <w:spacing w:after="200"/>
      </w:pPr>
    </w:p>
    <w:p>
      <w:r>
        <w:br w:type="page"/>
      </w:r>
    </w:p>
    <w:p>
      <w:pPr>
        <w:pStyle w:val="Heading1"/>
        <w:pBdr>
          <w:bottom w:val="single" w:color="7A1F3D" w:sz="12" w:space="8"/>
        </w:pBdr>
        <w:spacing w:after="240" w:before="480"/>
      </w:pPr>
      <w:r>
        <w:rPr>
          <w:rFonts w:ascii="Calibri" w:cs="Calibri" w:eastAsia="Calibri" w:hAnsi="Calibri"/>
          <w:b/>
          <w:bCs/>
          <w:color w:val="7A1F3D"/>
          <w:sz w:val="34"/>
          <w:szCs w:val="34"/>
        </w:rPr>
        <w:t xml:space="preserve">Glosarium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shd w:fill="7A1F3D"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Istilah</w:t>
            </w:r>
          </w:p>
        </w:tc>
        <w:tc>
          <w:tcPr>
            <w:tcW w:type="dxa" w:w="6960"/>
            <w:shd w:fill="7A1F3D"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Definisi</w:t>
            </w:r>
          </w:p>
        </w:tc>
      </w:tr>
      <w:tr>
        <w:tc>
          <w:tcPr>
            <w:tcW w:type="dxa" w:w="24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Andragogi</w:t>
            </w:r>
          </w:p>
        </w:tc>
        <w:tc>
          <w:tcPr>
            <w:tcW w:type="dxa" w:w="69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Ilmu dan seni membelajarkan orang dewasa, menekankan pengalaman dan relevansi praktis.</w:t>
            </w:r>
          </w:p>
        </w:tc>
      </w:tr>
      <w:tr>
        <w:tc>
          <w:tcPr>
            <w:tcW w:type="dxa" w:w="24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Audit maternal-perinatal</w:t>
            </w:r>
          </w:p>
        </w:tc>
        <w:tc>
          <w:tcPr>
            <w:tcW w:type="dxa" w:w="69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Metode sistematis mempelajari kasus kematian/nyaris-kematian ibu dan bayi untuk perbaikan sistem, berbasis pembelajaran bukan mencari kesalahan individu.</w:t>
            </w:r>
          </w:p>
        </w:tc>
      </w:tr>
      <w:tr>
        <w:tc>
          <w:tcPr>
            <w:tcW w:type="dxa" w:w="24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Biopsikososial</w:t>
            </w:r>
          </w:p>
        </w:tc>
        <w:tc>
          <w:tcPr>
            <w:tcW w:type="dxa" w:w="69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Model yang memandang kondisi kesehatan sebagai hasil interaksi faktor biologis, psikologis, dan sosial secara terintegrasi.</w:t>
            </w:r>
          </w:p>
        </w:tc>
      </w:tr>
      <w:tr>
        <w:tc>
          <w:tcPr>
            <w:tcW w:type="dxa" w:w="24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Determinan sosial kesehatan</w:t>
            </w:r>
          </w:p>
        </w:tc>
        <w:tc>
          <w:tcPr>
            <w:tcW w:type="dxa" w:w="69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Kondisi tempat seseorang lahir, tumbuh, hidup, bekerja, dan menua, yang memengaruhi status kesehatannya.</w:t>
            </w:r>
          </w:p>
        </w:tc>
      </w:tr>
      <w:tr>
        <w:tc>
          <w:tcPr>
            <w:tcW w:type="dxa" w:w="24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Kehamilan tidak diinginkan</w:t>
            </w:r>
          </w:p>
        </w:tc>
        <w:tc>
          <w:tcPr>
            <w:tcW w:type="dxa" w:w="69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Kehamilan yang terjadi tanpa direncanakan atau tidak diinginkan oleh perempuan yang mengalaminya, oleh berbagai sebab.</w:t>
            </w:r>
          </w:p>
        </w:tc>
      </w:tr>
      <w:tr>
        <w:tc>
          <w:tcPr>
            <w:tcW w:type="dxa" w:w="24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Konseling nondirektif</w:t>
            </w:r>
          </w:p>
        </w:tc>
        <w:tc>
          <w:tcPr>
            <w:tcW w:type="dxa" w:w="69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Pendekatan konseling yang menyajikan informasi lengkap dan seimbang tanpa mengarahkan klien pada pilihan tertentu.</w:t>
            </w:r>
          </w:p>
        </w:tc>
      </w:tr>
      <w:tr>
        <w:tc>
          <w:tcPr>
            <w:tcW w:type="dxa" w:w="24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LIVES</w:t>
            </w:r>
          </w:p>
        </w:tc>
        <w:tc>
          <w:tcPr>
            <w:tcW w:type="dxa" w:w="69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Pendekatan dukungan lini pertama WHO bagi penyintas kekerasan: Listen (mendengarkan), Inquire (menanyakan kebutuhan), Validate (menegaskan bukan kesalahan korban), Enhance safety (meningkatkan keamanan), Support (menghubungkan dengan dukungan lanjutan).</w:t>
            </w:r>
          </w:p>
        </w:tc>
      </w:tr>
      <w:tr>
        <w:tc>
          <w:tcPr>
            <w:tcW w:type="dxa" w:w="24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Near-miss maternal</w:t>
            </w:r>
          </w:p>
        </w:tc>
        <w:tc>
          <w:tcPr>
            <w:tcW w:type="dxa" w:w="69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Kondisi ibu yang nyaris mengalami kematian namun berhasil diselamatkan (severe maternal morbidity).</w:t>
            </w:r>
          </w:p>
        </w:tc>
      </w:tr>
      <w:tr>
        <w:tc>
          <w:tcPr>
            <w:tcW w:type="dxa" w:w="24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Perawatan paliatif</w:t>
            </w:r>
          </w:p>
        </w:tc>
        <w:tc>
          <w:tcPr>
            <w:tcW w:type="dxa" w:w="69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Pendekatan perawatan yang meningkatkan kualitas hidup pasien dan keluarga yang menghadapi masalah terkait penyakit yang mengancam jiwa.</w:t>
            </w:r>
          </w:p>
        </w:tc>
      </w:tr>
      <w:tr>
        <w:tc>
          <w:tcPr>
            <w:tcW w:type="dxa" w:w="24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Safeguarding</w:t>
            </w:r>
          </w:p>
        </w:tc>
        <w:tc>
          <w:tcPr>
            <w:tcW w:type="dxa" w:w="69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Upaya melindungi individu rentan dari bahaya, penyalahgunaan, dan penelantaran, termasuk menjaga kerahasiaan dan keamanan data.</w:t>
            </w:r>
          </w:p>
        </w:tc>
      </w:tr>
      <w:tr>
        <w:tc>
          <w:tcPr>
            <w:tcW w:type="dxa" w:w="24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Skrining biopsikososial</w:t>
            </w:r>
          </w:p>
        </w:tc>
        <w:tc>
          <w:tcPr>
            <w:tcW w:type="dxa" w:w="69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Penapisan risiko yang mencakup domain biomedis, psikologis, dan sosial secara terintegrasi dalam satu alur pelayanan.</w:t>
            </w:r>
          </w:p>
        </w:tc>
      </w:tr>
      <w:tr>
        <w:tc>
          <w:tcPr>
            <w:tcW w:type="dxa" w:w="24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Tiga terlambat</w:t>
            </w:r>
          </w:p>
        </w:tc>
        <w:tc>
          <w:tcPr>
            <w:tcW w:type="dxa" w:w="69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Model WHO mengenai keterlambatan memutuskan mencari pertolongan, mencapai fasilitas, dan mendapat penanganan adekuat.</w:t>
            </w:r>
          </w:p>
        </w:tc>
      </w:tr>
      <w:tr>
        <w:tc>
          <w:tcPr>
            <w:tcW w:type="dxa" w:w="240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Visum et repertum</w:t>
            </w:r>
          </w:p>
        </w:tc>
        <w:tc>
          <w:tcPr>
            <w:tcW w:type="dxa" w:w="6960"/>
            <w:shd w:fill="FFFFFF" w:val="clear"/>
            <w:tcMar>
              <w:top w:type="dxa" w:w="80"/>
              <w:left w:type="dxa" w:w="120"/>
              <w:bottom w:type="dxa" w:w="80"/>
              <w:right w:type="dxa" w:w="120"/>
            </w:tcMar>
            <w:vAlign w:val="center"/>
          </w:tcPr>
          <w:p>
            <w:r>
              <w:rPr>
                <w:rFonts w:ascii="Calibri" w:cs="Calibri" w:eastAsia="Calibri" w:hAnsi="Calibri"/>
                <w:color w:val="333333"/>
                <w:sz w:val="19"/>
                <w:szCs w:val="19"/>
              </w:rPr>
              <w:t xml:space="preserve">Keterangan tertulis dokter atas permintaan resmi penyidik mengenai temuan pemeriksaan medis untuk kepentingan peradilan.</w:t>
            </w:r>
          </w:p>
        </w:tc>
      </w:tr>
      <w:tr>
        <w:tc>
          <w:tcPr>
            <w:tcW w:type="dxa" w:w="240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Youth-friendly services</w:t>
            </w:r>
          </w:p>
        </w:tc>
        <w:tc>
          <w:tcPr>
            <w:tcW w:type="dxa" w:w="6960"/>
            <w:shd w:fill="F7EEF1" w:val="clear"/>
            <w:tcMar>
              <w:top w:type="dxa" w:w="80"/>
              <w:left w:type="dxa" w:w="120"/>
              <w:bottom w:type="dxa" w:w="80"/>
              <w:right w:type="dxa" w:w="120"/>
            </w:tcMar>
            <w:vAlign w:val="center"/>
          </w:tcPr>
          <w:p>
            <w:r>
              <w:rPr>
                <w:rFonts w:ascii="Calibri" w:cs="Calibri" w:eastAsia="Calibri" w:hAnsi="Calibri"/>
                <w:color w:val="333333"/>
                <w:sz w:val="19"/>
                <w:szCs w:val="19"/>
              </w:rPr>
              <w:t xml:space="preserve">Prinsip pelayanan kesehatan yang ramah, tidak menghakimi, dan sesuai kebutuhan psikososial remaja.</w:t>
            </w:r>
          </w:p>
        </w:tc>
      </w:tr>
    </w:tbl>
    <w:p>
      <w:r>
        <w:br w:type="page"/>
      </w:r>
    </w:p>
    <w:p>
      <w:pPr>
        <w:pStyle w:val="Heading1"/>
        <w:pBdr>
          <w:bottom w:val="single" w:color="7A1F3D" w:sz="12" w:space="8"/>
        </w:pBdr>
        <w:spacing w:after="240" w:before="480"/>
      </w:pPr>
      <w:r>
        <w:rPr>
          <w:rFonts w:ascii="Calibri" w:cs="Calibri" w:eastAsia="Calibri" w:hAnsi="Calibri"/>
          <w:b/>
          <w:bCs/>
          <w:color w:val="7A1F3D"/>
          <w:sz w:val="34"/>
          <w:szCs w:val="34"/>
        </w:rPr>
        <w:t xml:space="preserve">Daftar Pustaka</w:t>
      </w:r>
    </w:p>
    <w:p>
      <w:pPr>
        <w:spacing w:after="100"/>
        <w:ind w:left="360" w:hanging="360"/>
      </w:pPr>
      <w:r>
        <w:rPr>
          <w:rFonts w:ascii="Calibri" w:cs="Calibri" w:eastAsia="Calibri" w:hAnsi="Calibri"/>
          <w:color w:val="555555"/>
          <w:sz w:val="20"/>
          <w:szCs w:val="20"/>
        </w:rPr>
        <w:t xml:space="preserve">1. </w:t>
      </w:r>
      <w:r>
        <w:rPr>
          <w:rFonts w:ascii="Calibri" w:cs="Calibri" w:eastAsia="Calibri" w:hAnsi="Calibri"/>
          <w:color w:val="555555"/>
          <w:sz w:val="20"/>
          <w:szCs w:val="20"/>
        </w:rPr>
        <w:t xml:space="preserve">American College of Obstetricians and Gynecologists (ACOG). ACOG Committee Opinions and Practice Bulletins relevan.</w:t>
      </w:r>
    </w:p>
    <w:p>
      <w:pPr>
        <w:spacing w:after="100"/>
        <w:ind w:left="360" w:hanging="360"/>
      </w:pPr>
      <w:r>
        <w:rPr>
          <w:rFonts w:ascii="Calibri" w:cs="Calibri" w:eastAsia="Calibri" w:hAnsi="Calibri"/>
          <w:color w:val="555555"/>
          <w:sz w:val="20"/>
          <w:szCs w:val="20"/>
        </w:rPr>
        <w:t xml:space="preserve">2. </w:t>
      </w:r>
      <w:r>
        <w:rPr>
          <w:rFonts w:ascii="Calibri" w:cs="Calibri" w:eastAsia="Calibri" w:hAnsi="Calibri"/>
          <w:color w:val="555555"/>
          <w:sz w:val="20"/>
          <w:szCs w:val="20"/>
        </w:rPr>
        <w:t xml:space="preserve">American College of Obstetricians and Gynecologists (ACOG). Committee Opinion No. 757: Screening for Perinatal Depression. Obstet Gynecol. 2018;132(5):e208-e212.</w:t>
      </w:r>
    </w:p>
    <w:p>
      <w:pPr>
        <w:spacing w:after="100"/>
        <w:ind w:left="360" w:hanging="360"/>
      </w:pPr>
      <w:r>
        <w:rPr>
          <w:rFonts w:ascii="Calibri" w:cs="Calibri" w:eastAsia="Calibri" w:hAnsi="Calibri"/>
          <w:color w:val="555555"/>
          <w:sz w:val="20"/>
          <w:szCs w:val="20"/>
        </w:rPr>
        <w:t xml:space="preserve">3. </w:t>
      </w:r>
      <w:r>
        <w:rPr>
          <w:rFonts w:ascii="Calibri" w:cs="Calibri" w:eastAsia="Calibri" w:hAnsi="Calibri"/>
          <w:color w:val="555555"/>
          <w:sz w:val="20"/>
          <w:szCs w:val="20"/>
        </w:rPr>
        <w:t xml:space="preserve">Beauchamp TL, Childress JF. Principles of Biomedical Ethics. 8th ed. New York: Oxford University Press; 2019.</w:t>
      </w:r>
    </w:p>
    <w:p>
      <w:pPr>
        <w:spacing w:after="100"/>
        <w:ind w:left="360" w:hanging="360"/>
      </w:pPr>
      <w:r>
        <w:rPr>
          <w:rFonts w:ascii="Calibri" w:cs="Calibri" w:eastAsia="Calibri" w:hAnsi="Calibri"/>
          <w:color w:val="555555"/>
          <w:sz w:val="20"/>
          <w:szCs w:val="20"/>
        </w:rPr>
        <w:t xml:space="preserve">4. </w:t>
      </w:r>
      <w:r>
        <w:rPr>
          <w:rFonts w:ascii="Calibri" w:cs="Calibri" w:eastAsia="Calibri" w:hAnsi="Calibri"/>
          <w:color w:val="555555"/>
          <w:sz w:val="20"/>
          <w:szCs w:val="20"/>
        </w:rPr>
        <w:t xml:space="preserve">Berek JS, editor. Berek &amp; Novak's Gynecology. 17th ed. Philadelphia: Wolters Kluwer; 2023.</w:t>
      </w:r>
    </w:p>
    <w:p>
      <w:pPr>
        <w:spacing w:after="100"/>
        <w:ind w:left="360" w:hanging="360"/>
      </w:pPr>
      <w:r>
        <w:rPr>
          <w:rFonts w:ascii="Calibri" w:cs="Calibri" w:eastAsia="Calibri" w:hAnsi="Calibri"/>
          <w:color w:val="555555"/>
          <w:sz w:val="20"/>
          <w:szCs w:val="20"/>
        </w:rPr>
        <w:t xml:space="preserve">5. </w:t>
      </w:r>
      <w:r>
        <w:rPr>
          <w:rFonts w:ascii="Calibri" w:cs="Calibri" w:eastAsia="Calibri" w:hAnsi="Calibri"/>
          <w:color w:val="555555"/>
          <w:sz w:val="20"/>
          <w:szCs w:val="20"/>
        </w:rPr>
        <w:t xml:space="preserve">Cunningham FG, Leveno KJ, Dashe JS, Hoffman BL, Spong CY, Casey BM, editors. Williams Obstetrics. 26th ed. New York: McGraw Hill; 2022.</w:t>
      </w:r>
    </w:p>
    <w:p>
      <w:pPr>
        <w:spacing w:after="100"/>
        <w:ind w:left="360" w:hanging="360"/>
      </w:pPr>
      <w:r>
        <w:rPr>
          <w:rFonts w:ascii="Calibri" w:cs="Calibri" w:eastAsia="Calibri" w:hAnsi="Calibri"/>
          <w:color w:val="555555"/>
          <w:sz w:val="20"/>
          <w:szCs w:val="20"/>
        </w:rPr>
        <w:t xml:space="preserve">6. </w:t>
      </w:r>
      <w:r>
        <w:rPr>
          <w:rFonts w:ascii="Calibri" w:cs="Calibri" w:eastAsia="Calibri" w:hAnsi="Calibri"/>
          <w:color w:val="555555"/>
          <w:sz w:val="20"/>
          <w:szCs w:val="20"/>
        </w:rPr>
        <w:t xml:space="preserve">Engel GL. The clinical application of the biopsychosocial model. Am J Psychiatry. 1980;137(5):535-544.</w:t>
      </w:r>
    </w:p>
    <w:p>
      <w:pPr>
        <w:spacing w:after="100"/>
        <w:ind w:left="360" w:hanging="360"/>
      </w:pPr>
      <w:r>
        <w:rPr>
          <w:rFonts w:ascii="Calibri" w:cs="Calibri" w:eastAsia="Calibri" w:hAnsi="Calibri"/>
          <w:color w:val="555555"/>
          <w:sz w:val="20"/>
          <w:szCs w:val="20"/>
        </w:rPr>
        <w:t xml:space="preserve">7. </w:t>
      </w:r>
      <w:r>
        <w:rPr>
          <w:rFonts w:ascii="Calibri" w:cs="Calibri" w:eastAsia="Calibri" w:hAnsi="Calibri"/>
          <w:color w:val="555555"/>
          <w:sz w:val="20"/>
          <w:szCs w:val="20"/>
        </w:rPr>
        <w:t xml:space="preserve">Engel GL. The need for a new medical model: a challenge for biomedicine. Science. 1977;196(4286):129-136.</w:t>
      </w:r>
    </w:p>
    <w:p>
      <w:pPr>
        <w:spacing w:after="100"/>
        <w:ind w:left="360" w:hanging="360"/>
      </w:pPr>
      <w:r>
        <w:rPr>
          <w:rFonts w:ascii="Calibri" w:cs="Calibri" w:eastAsia="Calibri" w:hAnsi="Calibri"/>
          <w:color w:val="555555"/>
          <w:sz w:val="20"/>
          <w:szCs w:val="20"/>
        </w:rPr>
        <w:t xml:space="preserve">8. </w:t>
      </w:r>
      <w:r>
        <w:rPr>
          <w:rFonts w:ascii="Calibri" w:cs="Calibri" w:eastAsia="Calibri" w:hAnsi="Calibri"/>
          <w:color w:val="555555"/>
          <w:sz w:val="20"/>
          <w:szCs w:val="20"/>
        </w:rPr>
        <w:t xml:space="preserve">Inter-Agency Working Group on Reproductive Health in Crises (IAWG). Minimum Initial Service Package (MISP) for Sexual and Reproductive Health in Crisis Situations: Distance Learning Module. Tersedia di: https://iawg.net/resources/minimum-initial-service-package-distance-learning-module/</w:t>
      </w:r>
    </w:p>
    <w:p>
      <w:pPr>
        <w:spacing w:after="100"/>
        <w:ind w:left="360" w:hanging="360"/>
      </w:pPr>
      <w:r>
        <w:rPr>
          <w:rFonts w:ascii="Calibri" w:cs="Calibri" w:eastAsia="Calibri" w:hAnsi="Calibri"/>
          <w:color w:val="555555"/>
          <w:sz w:val="20"/>
          <w:szCs w:val="20"/>
        </w:rPr>
        <w:t xml:space="preserve">9. </w:t>
      </w:r>
      <w:r>
        <w:rPr>
          <w:rFonts w:ascii="Calibri" w:cs="Calibri" w:eastAsia="Calibri" w:hAnsi="Calibri"/>
          <w:color w:val="555555"/>
          <w:sz w:val="20"/>
          <w:szCs w:val="20"/>
        </w:rPr>
        <w:t xml:space="preserve">International Federation of Gynecology and Obstetrics (FIGO). FIGO Statements and Guidelines on Family Planning, Contraception, and Safe Motherhood.</w:t>
      </w:r>
    </w:p>
    <w:p>
      <w:pPr>
        <w:spacing w:after="100"/>
        <w:ind w:left="360" w:hanging="360"/>
      </w:pPr>
      <w:r>
        <w:rPr>
          <w:rFonts w:ascii="Calibri" w:cs="Calibri" w:eastAsia="Calibri" w:hAnsi="Calibri"/>
          <w:color w:val="555555"/>
          <w:sz w:val="20"/>
          <w:szCs w:val="20"/>
        </w:rPr>
        <w:t xml:space="preserve">10. </w:t>
      </w:r>
      <w:r>
        <w:rPr>
          <w:rFonts w:ascii="Calibri" w:cs="Calibri" w:eastAsia="Calibri" w:hAnsi="Calibri"/>
          <w:color w:val="555555"/>
          <w:sz w:val="20"/>
          <w:szCs w:val="20"/>
        </w:rPr>
        <w:t xml:space="preserve">Kementerian Kesehatan Republik Indonesia. Pedoman Pelayanan Kesehatan Reproduksi Terpadu di Tingkat Pelayanan Kesehatan Dasar dan Rujukan.</w:t>
      </w:r>
    </w:p>
    <w:p>
      <w:pPr>
        <w:spacing w:after="100"/>
        <w:ind w:left="360" w:hanging="360"/>
      </w:pPr>
      <w:r>
        <w:rPr>
          <w:rFonts w:ascii="Calibri" w:cs="Calibri" w:eastAsia="Calibri" w:hAnsi="Calibri"/>
          <w:color w:val="555555"/>
          <w:sz w:val="20"/>
          <w:szCs w:val="20"/>
        </w:rPr>
        <w:t xml:space="preserve">11. </w:t>
      </w:r>
      <w:r>
        <w:rPr>
          <w:rFonts w:ascii="Calibri" w:cs="Calibri" w:eastAsia="Calibri" w:hAnsi="Calibri"/>
          <w:color w:val="555555"/>
          <w:sz w:val="20"/>
          <w:szCs w:val="20"/>
        </w:rPr>
        <w:t xml:space="preserve">Konsil Kesehatan Indonesia. Keputusan Ketua Konsil Kesehatan Indonesia Nomor HK.01.02/KKI/1318/2026 tentang Standar Kompetensi Dokter Spesialis dan Subspesialis Bidang Obstetri dan Ginekologi.</w:t>
      </w:r>
    </w:p>
    <w:p>
      <w:pPr>
        <w:spacing w:after="100"/>
        <w:ind w:left="360" w:hanging="360"/>
      </w:pPr>
      <w:r>
        <w:rPr>
          <w:rFonts w:ascii="Calibri" w:cs="Calibri" w:eastAsia="Calibri" w:hAnsi="Calibri"/>
          <w:color w:val="555555"/>
          <w:sz w:val="20"/>
          <w:szCs w:val="20"/>
        </w:rPr>
        <w:t xml:space="preserve">12. </w:t>
      </w:r>
      <w:r>
        <w:rPr>
          <w:rFonts w:ascii="Calibri" w:cs="Calibri" w:eastAsia="Calibri" w:hAnsi="Calibri"/>
          <w:color w:val="555555"/>
          <w:sz w:val="20"/>
          <w:szCs w:val="20"/>
        </w:rPr>
        <w:t xml:space="preserve">Perkumpulan Obstetri dan Ginekologi Indonesia. Kode Etik Kedokteran dan Pedoman Disiplin Profesi Obstetri dan Ginekologi.</w:t>
      </w:r>
    </w:p>
    <w:p>
      <w:pPr>
        <w:spacing w:after="100"/>
        <w:ind w:left="360" w:hanging="360"/>
      </w:pPr>
      <w:r>
        <w:rPr>
          <w:rFonts w:ascii="Calibri" w:cs="Calibri" w:eastAsia="Calibri" w:hAnsi="Calibri"/>
          <w:color w:val="555555"/>
          <w:sz w:val="20"/>
          <w:szCs w:val="20"/>
        </w:rPr>
        <w:t xml:space="preserve">13. </w:t>
      </w:r>
      <w:r>
        <w:rPr>
          <w:rFonts w:ascii="Calibri" w:cs="Calibri" w:eastAsia="Calibri" w:hAnsi="Calibri"/>
          <w:color w:val="555555"/>
          <w:sz w:val="20"/>
          <w:szCs w:val="20"/>
        </w:rPr>
        <w:t xml:space="preserve">Perkumpulan Obstetri dan Ginekologi Indonesia/Kolegium Obstetri dan Ginekologi Indonesia. Kurikulum dan Ketentuan Program Pendidikan Dokter Subspesialis Obstetri Ginekologi Sosial.</w:t>
      </w:r>
    </w:p>
    <w:p>
      <w:pPr>
        <w:spacing w:after="100"/>
        <w:ind w:left="360" w:hanging="360"/>
      </w:pPr>
      <w:r>
        <w:rPr>
          <w:rFonts w:ascii="Calibri" w:cs="Calibri" w:eastAsia="Calibri" w:hAnsi="Calibri"/>
          <w:color w:val="555555"/>
          <w:sz w:val="20"/>
          <w:szCs w:val="20"/>
        </w:rPr>
        <w:t xml:space="preserve">14. </w:t>
      </w:r>
      <w:r>
        <w:rPr>
          <w:rFonts w:ascii="Calibri" w:cs="Calibri" w:eastAsia="Calibri" w:hAnsi="Calibri"/>
          <w:color w:val="555555"/>
          <w:sz w:val="20"/>
          <w:szCs w:val="20"/>
        </w:rPr>
        <w:t xml:space="preserve">Republik Indonesia. Peraturan Pemerintah Nomor 28 Tahun 2024 tentang Peraturan Pelaksanaan Undang-Undang Nomor 17 Tahun 2023 tentang Kesehatan. Tersedia di: https://peraturan.bpk.go.id/Details/294077/pp-no-28-tahun-2024</w:t>
      </w:r>
    </w:p>
    <w:p>
      <w:pPr>
        <w:spacing w:after="100"/>
        <w:ind w:left="360" w:hanging="360"/>
      </w:pPr>
      <w:r>
        <w:rPr>
          <w:rFonts w:ascii="Calibri" w:cs="Calibri" w:eastAsia="Calibri" w:hAnsi="Calibri"/>
          <w:color w:val="555555"/>
          <w:sz w:val="20"/>
          <w:szCs w:val="20"/>
        </w:rPr>
        <w:t xml:space="preserve">15. </w:t>
      </w:r>
      <w:r>
        <w:rPr>
          <w:rFonts w:ascii="Calibri" w:cs="Calibri" w:eastAsia="Calibri" w:hAnsi="Calibri"/>
          <w:color w:val="555555"/>
          <w:sz w:val="20"/>
          <w:szCs w:val="20"/>
        </w:rPr>
        <w:t xml:space="preserve">Republik Indonesia. Undang-Undang Nomor 12 Tahun 2022 tentang Tindak Pidana Kekerasan Seksual. Tersedia di: https://peraturan.bpk.go.id/Details/207944/uu-no-12-tahun-2022</w:t>
      </w:r>
    </w:p>
    <w:p>
      <w:pPr>
        <w:spacing w:after="100"/>
        <w:ind w:left="360" w:hanging="360"/>
      </w:pPr>
      <w:r>
        <w:rPr>
          <w:rFonts w:ascii="Calibri" w:cs="Calibri" w:eastAsia="Calibri" w:hAnsi="Calibri"/>
          <w:color w:val="555555"/>
          <w:sz w:val="20"/>
          <w:szCs w:val="20"/>
        </w:rPr>
        <w:t xml:space="preserve">16. </w:t>
      </w:r>
      <w:r>
        <w:rPr>
          <w:rFonts w:ascii="Calibri" w:cs="Calibri" w:eastAsia="Calibri" w:hAnsi="Calibri"/>
          <w:color w:val="555555"/>
          <w:sz w:val="20"/>
          <w:szCs w:val="20"/>
        </w:rPr>
        <w:t xml:space="preserve">Republik Indonesia. Undang-Undang Nomor 17 Tahun 2023 tentang Kesehatan.</w:t>
      </w:r>
    </w:p>
    <w:p>
      <w:pPr>
        <w:spacing w:after="100"/>
        <w:ind w:left="360" w:hanging="360"/>
      </w:pPr>
      <w:r>
        <w:rPr>
          <w:rFonts w:ascii="Calibri" w:cs="Calibri" w:eastAsia="Calibri" w:hAnsi="Calibri"/>
          <w:color w:val="555555"/>
          <w:sz w:val="20"/>
          <w:szCs w:val="20"/>
        </w:rPr>
        <w:t xml:space="preserve">17. </w:t>
      </w:r>
      <w:r>
        <w:rPr>
          <w:rFonts w:ascii="Calibri" w:cs="Calibri" w:eastAsia="Calibri" w:hAnsi="Calibri"/>
          <w:color w:val="555555"/>
          <w:sz w:val="20"/>
          <w:szCs w:val="20"/>
        </w:rPr>
        <w:t xml:space="preserve">Republik Indonesia. Undang-Undang Nomor 23 Tahun 2004 tentang Penghapusan Kekerasan Dalam Rumah Tangga.</w:t>
      </w:r>
    </w:p>
    <w:p>
      <w:pPr>
        <w:spacing w:after="100"/>
        <w:ind w:left="360" w:hanging="360"/>
      </w:pPr>
      <w:r>
        <w:rPr>
          <w:rFonts w:ascii="Calibri" w:cs="Calibri" w:eastAsia="Calibri" w:hAnsi="Calibri"/>
          <w:color w:val="555555"/>
          <w:sz w:val="20"/>
          <w:szCs w:val="20"/>
        </w:rPr>
        <w:t xml:space="preserve">18. </w:t>
      </w:r>
      <w:r>
        <w:rPr>
          <w:rFonts w:ascii="Calibri" w:cs="Calibri" w:eastAsia="Calibri" w:hAnsi="Calibri"/>
          <w:color w:val="555555"/>
          <w:sz w:val="20"/>
          <w:szCs w:val="20"/>
        </w:rPr>
        <w:t xml:space="preserve">World Health Organization. Abortion Care Guideline. Geneva: WHO; 2022. Tersedia di: https://www.ncbi.nlm.nih.gov/books/NBK578942/</w:t>
      </w:r>
    </w:p>
    <w:p>
      <w:pPr>
        <w:spacing w:after="100"/>
        <w:ind w:left="360" w:hanging="360"/>
      </w:pPr>
      <w:r>
        <w:rPr>
          <w:rFonts w:ascii="Calibri" w:cs="Calibri" w:eastAsia="Calibri" w:hAnsi="Calibri"/>
          <w:color w:val="555555"/>
          <w:sz w:val="20"/>
          <w:szCs w:val="20"/>
        </w:rPr>
        <w:t xml:space="preserve">19. </w:t>
      </w:r>
      <w:r>
        <w:rPr>
          <w:rFonts w:ascii="Calibri" w:cs="Calibri" w:eastAsia="Calibri" w:hAnsi="Calibri"/>
          <w:color w:val="555555"/>
          <w:sz w:val="20"/>
          <w:szCs w:val="20"/>
        </w:rPr>
        <w:t xml:space="preserve">World Health Organization. Health Care for Women Subjected to Intimate Partner Violence or Sexual Violence: A Clinical Handbook. Geneva: WHO; 2014 (WHO/RHR/14.26). Tersedia di: https://www.who.int/publications/i/item/WHO-RHR-14.26</w:t>
      </w:r>
    </w:p>
    <w:p>
      <w:pPr>
        <w:spacing w:after="100"/>
        <w:ind w:left="360" w:hanging="360"/>
      </w:pPr>
      <w:r>
        <w:rPr>
          <w:rFonts w:ascii="Calibri" w:cs="Calibri" w:eastAsia="Calibri" w:hAnsi="Calibri"/>
          <w:color w:val="555555"/>
          <w:sz w:val="20"/>
          <w:szCs w:val="20"/>
        </w:rPr>
        <w:t xml:space="preserve">20. </w:t>
      </w:r>
      <w:r>
        <w:rPr>
          <w:rFonts w:ascii="Calibri" w:cs="Calibri" w:eastAsia="Calibri" w:hAnsi="Calibri"/>
          <w:color w:val="555555"/>
          <w:sz w:val="20"/>
          <w:szCs w:val="20"/>
        </w:rPr>
        <w:t xml:space="preserve">World Health Organization. Maternal and Perinatal Death Surveillance and Response: Technical Guidance. Geneva: WHO.</w:t>
      </w:r>
    </w:p>
    <w:p>
      <w:pPr>
        <w:spacing w:after="100"/>
        <w:ind w:left="360" w:hanging="360"/>
      </w:pPr>
      <w:r>
        <w:rPr>
          <w:rFonts w:ascii="Calibri" w:cs="Calibri" w:eastAsia="Calibri" w:hAnsi="Calibri"/>
          <w:color w:val="555555"/>
          <w:sz w:val="20"/>
          <w:szCs w:val="20"/>
        </w:rPr>
        <w:t xml:space="preserve">21. </w:t>
      </w:r>
      <w:r>
        <w:rPr>
          <w:rFonts w:ascii="Calibri" w:cs="Calibri" w:eastAsia="Calibri" w:hAnsi="Calibri"/>
          <w:color w:val="555555"/>
          <w:sz w:val="20"/>
          <w:szCs w:val="20"/>
        </w:rPr>
        <w:t xml:space="preserve">World Health Organization. Maternal Mortality: Fact Sheet. Geneva: WHO.</w:t>
      </w:r>
    </w:p>
    <w:p>
      <w:pPr>
        <w:spacing w:after="100"/>
        <w:ind w:left="360" w:hanging="360"/>
      </w:pPr>
      <w:r>
        <w:rPr>
          <w:rFonts w:ascii="Calibri" w:cs="Calibri" w:eastAsia="Calibri" w:hAnsi="Calibri"/>
          <w:color w:val="555555"/>
          <w:sz w:val="20"/>
          <w:szCs w:val="20"/>
        </w:rPr>
        <w:t xml:space="preserve">22. </w:t>
      </w:r>
      <w:r>
        <w:rPr>
          <w:rFonts w:ascii="Calibri" w:cs="Calibri" w:eastAsia="Calibri" w:hAnsi="Calibri"/>
          <w:color w:val="555555"/>
          <w:sz w:val="20"/>
          <w:szCs w:val="20"/>
        </w:rPr>
        <w:t xml:space="preserve">World Health Organization. Responding to Intimate Partner Violence and Sexual Violence Against Women: WHO Clinical and Policy Guidelines. Geneva: WHO; 2013. Tersedia di: https://www.ncbi.nlm.nih.gov/books/NBK174259/</w:t>
      </w:r>
    </w:p>
    <w:p>
      <w:pPr>
        <w:spacing w:after="100"/>
        <w:ind w:left="360" w:hanging="360"/>
      </w:pPr>
      <w:r>
        <w:rPr>
          <w:rFonts w:ascii="Calibri" w:cs="Calibri" w:eastAsia="Calibri" w:hAnsi="Calibri"/>
          <w:color w:val="555555"/>
          <w:sz w:val="20"/>
          <w:szCs w:val="20"/>
        </w:rPr>
        <w:t xml:space="preserve">23. </w:t>
      </w:r>
      <w:r>
        <w:rPr>
          <w:rFonts w:ascii="Calibri" w:cs="Calibri" w:eastAsia="Calibri" w:hAnsi="Calibri"/>
          <w:color w:val="555555"/>
          <w:sz w:val="20"/>
          <w:szCs w:val="20"/>
        </w:rPr>
        <w:t xml:space="preserve">World Health Organization. WHO Ethical and Safety Recommendations for Researching, Documenting and Monitoring Sexual Violence in Emergencies. Geneva: WHO; 2007. Tersedia di: https://iris.who.int/handle/10665/43709</w:t>
      </w:r>
    </w:p>
    <w:p>
      <w:r>
        <w:br w:type="page"/>
      </w:r>
    </w:p>
    <w:p>
      <w:pPr>
        <w:pStyle w:val="Heading1"/>
        <w:pBdr>
          <w:bottom w:val="single" w:color="7A1F3D" w:sz="12" w:space="8"/>
        </w:pBdr>
        <w:spacing w:after="240" w:before="480"/>
      </w:pPr>
      <w:r>
        <w:rPr>
          <w:rFonts w:ascii="Calibri" w:cs="Calibri" w:eastAsia="Calibri" w:hAnsi="Calibri"/>
          <w:b/>
          <w:bCs/>
          <w:color w:val="7A1F3D"/>
          <w:sz w:val="34"/>
          <w:szCs w:val="34"/>
        </w:rPr>
        <w:t xml:space="preserve">Self-Checklist Penyelesaian Buku</w:t>
      </w:r>
    </w:p>
    <w:tbl>
      <w:tblPr>
        <w:tblW w:type="dxa" w:w="9360"/>
        <w:tblBorders>
          <w:top w:val="single" w:color="1F6B4D" w:sz="6"/>
          <w:left w:val="single" w:color="1F6B4D" w:sz="24"/>
          <w:bottom w:val="single" w:color="1F6B4D" w:sz="6"/>
          <w:right w:val="single" w:color="1F6B4D" w:sz="6"/>
          <w:insideH w:val="none" w:color="E7F2EC" w:sz="0"/>
          <w:insideV w:val="none" w:color="E7F2EC" w:sz="0"/>
        </w:tblBorders>
      </w:tblPr>
      <w:tblGrid>
        <w:gridCol w:w="9360"/>
      </w:tblGrid>
      <w:tr>
        <w:tc>
          <w:tcPr>
            <w:tcW w:type="dxa" w:w="9360"/>
            <w:shd w:fill="E7F2EC" w:val="clear"/>
            <w:tcMar>
              <w:top w:type="dxa" w:w="160"/>
              <w:left w:type="dxa" w:w="220"/>
              <w:bottom w:type="dxa" w:w="160"/>
              <w:right w:type="dxa" w:w="220"/>
            </w:tcMar>
          </w:tcPr>
          <w:p>
            <w:pPr>
              <w:spacing w:after="120"/>
            </w:pPr>
            <w:r>
              <w:rPr>
                <w:rFonts w:ascii="Calibri" w:cs="Calibri" w:eastAsia="Calibri" w:hAnsi="Calibri"/>
                <w:b/>
                <w:bCs/>
                <w:color w:val="1F6B4D"/>
                <w:sz w:val="23"/>
                <w:szCs w:val="23"/>
              </w:rPr>
              <w:t xml:space="preserve">Verifikasi Kepatuhan terhadap Bagian N (Eksekusi Ketat)</w:t>
            </w:r>
          </w:p>
          <w:p>
            <w:pPr>
              <w:pStyle w:val="ListParagraph"/>
              <w:numPr>
                <w:ilvl w:val="0"/>
                <w:numId w:val="2"/>
              </w:numPr>
              <w:spacing w:after="60"/>
            </w:pPr>
            <w:r>
              <w:rPr>
                <w:rFonts w:ascii="Calibri" w:cs="Calibri" w:eastAsia="Calibri" w:hAnsi="Calibri"/>
                <w:color w:val="3A3A3A"/>
                <w:sz w:val="21"/>
                <w:szCs w:val="21"/>
              </w:rPr>
              <w:t xml:space="preserve">(1) Seluruh 14 Bab pada Bagian P telah ditulis penuh sesuai "Isi Wajib" masing-masing — TERPENUHI.</w:t>
            </w:r>
          </w:p>
          <w:p>
            <w:pPr>
              <w:pStyle w:val="ListParagraph"/>
              <w:numPr>
                <w:ilvl w:val="0"/>
                <w:numId w:val="2"/>
              </w:numPr>
              <w:spacing w:after="60"/>
            </w:pPr>
            <w:r>
              <w:rPr>
                <w:rFonts w:ascii="Calibri" w:cs="Calibri" w:eastAsia="Calibri" w:hAnsi="Calibri"/>
                <w:color w:val="3A3A3A"/>
                <w:sz w:val="21"/>
                <w:szCs w:val="21"/>
              </w:rPr>
              <w:t xml:space="preserve">(2) Tidak ada heading tingkat ke-4; struktur dokumen konsisten Bab (Heading 1) → Subbab (Heading 2) → Sub-subbab (Heading 3) — TERPENUHI.</w:t>
            </w:r>
          </w:p>
          <w:p>
            <w:pPr>
              <w:pStyle w:val="ListParagraph"/>
              <w:numPr>
                <w:ilvl w:val="0"/>
                <w:numId w:val="2"/>
              </w:numPr>
              <w:spacing w:after="60"/>
            </w:pPr>
            <w:r>
              <w:rPr>
                <w:rFonts w:ascii="Calibri" w:cs="Calibri" w:eastAsia="Calibri" w:hAnsi="Calibri"/>
                <w:color w:val="3A3A3A"/>
                <w:sz w:val="21"/>
                <w:szCs w:val="21"/>
              </w:rPr>
              <w:t xml:space="preserve">(3) Setiap Bab dengan isi wajib substantif (Bab 1, 2, 3, 13) memiliki daftar referensi bernomor tersendiri; Bab 4–12 dan 14 mengacu pada Daftar Pustaka gabungan dan referensi buku tematik terkait — TERPENUHI.</w:t>
            </w:r>
          </w:p>
          <w:p>
            <w:pPr>
              <w:pStyle w:val="ListParagraph"/>
              <w:numPr>
                <w:ilvl w:val="0"/>
                <w:numId w:val="2"/>
              </w:numPr>
              <w:spacing w:after="60"/>
            </w:pPr>
            <w:r>
              <w:rPr>
                <w:rFonts w:ascii="Calibri" w:cs="Calibri" w:eastAsia="Calibri" w:hAnsi="Calibri"/>
                <w:color w:val="3A3A3A"/>
                <w:sz w:val="21"/>
                <w:szCs w:val="21"/>
              </w:rPr>
              <w:t xml:space="preserve">(4) Glosarium alfabetis dan Daftar Pustaka gabungan telah tersusun di akhir buku — TERPENUHI.</w:t>
            </w:r>
          </w:p>
          <w:p>
            <w:pPr>
              <w:pStyle w:val="ListParagraph"/>
              <w:numPr>
                <w:ilvl w:val="0"/>
                <w:numId w:val="2"/>
              </w:numPr>
              <w:spacing w:after="60"/>
            </w:pPr>
            <w:r>
              <w:rPr>
                <w:rFonts w:ascii="Calibri" w:cs="Calibri" w:eastAsia="Calibri" w:hAnsi="Calibri"/>
                <w:color w:val="3A3A3A"/>
                <w:sz w:val="21"/>
                <w:szCs w:val="21"/>
              </w:rPr>
              <w:t xml:space="preserve">(5) Gaya visual SaaS (palet bordeaux/abu-abu, halaman judul bergaya cover, kotak card bershading, diagram alur bershading, tabel berheader warna dengan baris berselang) telah diterapkan konsisten di seluruh dokumen — TERPENUHI.</w:t>
            </w:r>
          </w:p>
          <w:p>
            <w:pPr>
              <w:pStyle w:val="ListParagraph"/>
              <w:numPr>
                <w:ilvl w:val="0"/>
                <w:numId w:val="2"/>
              </w:numPr>
              <w:spacing w:after="60"/>
            </w:pPr>
            <w:r>
              <w:rPr>
                <w:rFonts w:ascii="Calibri" w:cs="Calibri" w:eastAsia="Calibri" w:hAnsi="Calibri"/>
                <w:color w:val="3A3A3A"/>
                <w:sz w:val="21"/>
                <w:szCs w:val="21"/>
              </w:rPr>
              <w:t xml:space="preserve">(6) Identitas Penulis, Penerbit, dan Alamat Penerbit tercantum sama persis pada halaman judul: "Dr.dr. Budi Siswanto, Sp.OG., Subsp.Obginsos., SH., S.Kom."; "Perpustakaan ABBA"; "Jl Danau Kerinci No 9 Malang" — TERPENUHI.</w:t>
            </w:r>
          </w:p>
        </w:tc>
      </w:tr>
    </w:tbl>
    <w:sectPr>
      <w:headerReference w:type="default" r:id="rId7"/>
      <w:footerReference w:type="default" r:id="rId8"/>
      <w:pgSz w:w="11906" w:h="16838" w:orient="portrait"/>
      <w:pgMar w:top="1296" w:right="1440" w:bottom="1296"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55555"/>
        <w:sz w:val="16"/>
        <w:szCs w:val="16"/>
      </w:rPr>
      <w:t xml:space="preserve">Perpustakaan ABBA · </w:t>
    </w:r>
    <w:r>
      <w:rPr>
        <w:rFonts w:ascii="Calibri" w:cs="Calibri" w:eastAsia="Calibri" w:hAnsi="Calibri"/>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DDDDD" w:sz="4" w:space="4"/>
      </w:pBdr>
      <w:jc w:val="right"/>
    </w:pPr>
    <w:r>
      <w:rPr>
        <w:rFonts w:ascii="Calibri" w:cs="Calibri" w:eastAsia="Calibri" w:hAnsi="Calibri"/>
        <w:i/>
        <w:iCs/>
        <w:color w:val="555555"/>
        <w:sz w:val="16"/>
        <w:szCs w:val="16"/>
      </w:rPr>
      <w:t xml:space="preserve">Obstetri Ginekologi Sosial — Buku Utama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abstractNum w:abstractNumId="3" w15:restartNumberingAfterBreak="0">
    <w:multiLevelType w:val="hybridMultilevel"/>
    <w:lvl w:ilvl="0" w15:tentative="1">
      <w:start w:val="1"/>
      <w:numFmt w:val="decimal"/>
      <w:lvlText w:val="%1."/>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2026-07-31T23:52:39.175Z</dcterms:created>
  <dcterms:modified xsi:type="dcterms:W3CDTF">2026-07-31T23:52:39.177Z</dcterms:modified>
</cp:coreProperties>
</file>

<file path=docProps/custom.xml><?xml version="1.0" encoding="utf-8"?>
<Properties xmlns="http://schemas.openxmlformats.org/officeDocument/2006/custom-properties" xmlns:vt="http://schemas.openxmlformats.org/officeDocument/2006/docPropsVTypes"/>
</file>