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100"/>
        <w:jc w:val="center"/>
      </w:pPr>
      <w:r>
        <w:rPr>
          <w:b/>
          <w:bCs/>
          <w:color w:val="666666"/>
          <w:sz w:val="20"/>
          <w:szCs w:val="20"/>
        </w:rPr>
        <w:t xml:space="preserve">SERI OBSTETRI GINEKOLOGI SOSIAL</w:t>
      </w:r>
    </w:p>
    <w:p>
      <w:pPr>
        <w:spacing w:after="80"/>
        <w:jc w:val="center"/>
      </w:pPr>
      <w:r>
        <w:rPr>
          <w:b/>
          <w:bCs/>
          <w:color w:val="7A1F3D"/>
          <w:sz w:val="20"/>
          <w:szCs w:val="20"/>
        </w:rPr>
        <w:t xml:space="preserve">PEDOMAN MASYARAKAT 1 DARI 5</w:t>
      </w:r>
    </w:p>
    <w:tbl>
      <w:tblPr>
        <w:tblW w:type="dxa" w:w="6000"/>
        <w:jc w:val="center"/>
        <w:tblBorders>
          <w:top w:val="none"/>
          <w:left w:val="none"/>
          <w:bottom w:val="none"/>
          <w:right w:val="none"/>
          <w:insideH w:val="single" w:color="auto" w:sz="4"/>
          <w:insideV w:val="single" w:color="auto" w:sz="4"/>
        </w:tblBorders>
      </w:tblPr>
      <w:tblGrid>
        <w:gridCol w:w="100"/>
      </w:tblGrid>
      <w:tr>
        <w:tc>
          <w:tcPr>
            <w:shd w:fill="7A1F3D" w:val="clear"/>
            <w:tcMar>
              <w:top w:type="dxa" w:w="80"/>
              <w:left w:type="dxa" w:w="200"/>
              <w:bottom w:type="dxa" w:w="80"/>
              <w:right w:type="dxa" w:w="200"/>
            </w:tcMar>
          </w:tcPr>
          <w:p>
            <w:pPr>
              <w:jc w:val="center"/>
            </w:pPr>
            <w:r>
              <w:rPr>
                <w:b/>
                <w:bCs/>
                <w:color w:val="FFFFFF"/>
                <w:sz w:val="18"/>
                <w:szCs w:val="18"/>
              </w:rPr>
              <w:t xml:space="preserve">BADGE: PEDOMAN MASYARAKAT</w:t>
            </w:r>
          </w:p>
        </w:tc>
      </w:tr>
    </w:tbl>
    <w:p>
      <w:pPr>
        <w:spacing w:after="100" w:before="400"/>
        <w:jc w:val="center"/>
      </w:pPr>
      <w:r>
        <w:rPr>
          <w:b/>
          <w:bCs/>
          <w:color w:val="222222"/>
          <w:sz w:val="40"/>
          <w:szCs w:val="40"/>
        </w:rPr>
        <w:t xml:space="preserve">PEDOMAN PERENCANAAN DAN PELAKSANAAN</w:t>
      </w:r>
    </w:p>
    <w:p>
      <w:pPr>
        <w:spacing w:after="300"/>
        <w:jc w:val="center"/>
      </w:pPr>
      <w:r>
        <w:rPr>
          <w:b/>
          <w:bCs/>
          <w:color w:val="222222"/>
          <w:sz w:val="40"/>
          <w:szCs w:val="40"/>
        </w:rPr>
        <w:t xml:space="preserve">PROGRAM KESEHATAN REPRODUKSI BERBASIS MASYARAKAT</w:t>
      </w:r>
    </w:p>
    <w:p>
      <w:pPr>
        <w:spacing w:after="100"/>
        <w:jc w:val="center"/>
      </w:pPr>
      <w:r>
        <w:rPr>
          <w:b/>
          <w:bCs/>
          <w:color w:val="7A1F3D"/>
          <w:sz w:val="20"/>
          <w:szCs w:val="20"/>
        </w:rPr>
        <w:t xml:space="preserve">Edisi Revisi Hasil Audit Penuh — Juli 2026</w:t>
      </w:r>
    </w:p>
    <w:p>
      <w:pPr>
        <w:spacing w:after="500"/>
        <w:jc w:val="center"/>
      </w:pPr>
      <w:r>
        <w:rPr>
          <w:i/>
          <w:iCs/>
          <w:color w:val="666666"/>
          <w:sz w:val="24"/>
          <w:szCs w:val="24"/>
        </w:rPr>
        <w:t xml:space="preserve">[Nama Dinas Kesehatan/Institusi Pengampu]</w:t>
      </w:r>
    </w:p>
    <w:p>
      <w:pPr>
        <w:spacing w:after="60" w:before="700"/>
        <w:jc w:val="center"/>
      </w:pPr>
      <w:r>
        <w:rPr>
          <w:sz w:val="20"/>
          <w:szCs w:val="20"/>
        </w:rPr>
        <w:t xml:space="preserve">Penulis: Dr.dr. Budi Siswanto, Sp.OG., Subsp.Obginsos., SH., S.Kom.</w:t>
      </w:r>
    </w:p>
    <w:p>
      <w:pPr>
        <w:spacing w:after="60"/>
        <w:jc w:val="center"/>
      </w:pPr>
      <w:r>
        <w:rPr>
          <w:sz w:val="20"/>
          <w:szCs w:val="20"/>
        </w:rPr>
        <w:t xml:space="preserve">Penerbit: Perpustakaan ABBA</w:t>
      </w:r>
    </w:p>
    <w:p>
      <w:pPr>
        <w:spacing w:after="60"/>
        <w:jc w:val="center"/>
      </w:pPr>
      <w:r>
        <w:rPr>
          <w:sz w:val="20"/>
          <w:szCs w:val="20"/>
        </w:rPr>
        <w:t xml:space="preserve">Alamat Penerbit: Jl Danau Kerinci No 9 Malang</w:t>
      </w:r>
    </w:p>
    <w:p>
      <w:pPr>
        <w:spacing w:after="60"/>
        <w:jc w:val="center"/>
      </w:pPr>
      <w:r>
        <w:rPr>
          <w:color w:val="666666"/>
          <w:sz w:val="20"/>
          <w:szCs w:val="20"/>
        </w:rPr>
        <w:t xml:space="preserve">Buku Sumber (Seri 14 Buku Ajar): Buku 13</w:t>
      </w:r>
    </w:p>
    <w:p>
      <w:r>
        <w:br w:type="page"/>
      </w:r>
    </w:p>
    <w:p>
      <w:pPr>
        <w:pStyle w:val="Heading1"/>
        <w:shd w:fill="7A1F3D" w:color="auto" w:val="clear"/>
        <w:spacing w:after="160" w:before="320"/>
        <w:ind w:left="100" w:right="100"/>
      </w:pPr>
      <w:r>
        <w:rPr>
          <w:b/>
          <w:bCs/>
          <w:color w:val="FFFFFF"/>
          <w:sz w:val="30"/>
          <w:szCs w:val="30"/>
        </w:rPr>
        <w:t xml:space="preserve">1. LATAR BELAKANG</w:t>
      </w:r>
    </w:p>
    <w:p>
      <w:pPr>
        <w:pStyle w:val="Heading2"/>
        <w:spacing w:after="120" w:before="240"/>
      </w:pPr>
      <w:r>
        <w:rPr>
          <w:b/>
          <w:bCs/>
          <w:color w:val="7A1F3D"/>
          <w:sz w:val="24"/>
          <w:szCs w:val="24"/>
        </w:rPr>
        <w:t xml:space="preserve">1.1 Konteks Permasalahan</w:t>
      </w:r>
    </w:p>
    <w:p>
      <w:pPr>
        <w:spacing w:after="140" w:line="288"/>
      </w:pPr>
      <w:r>
        <w:rPr>
          <w:sz w:val="22"/>
          <w:szCs w:val="22"/>
        </w:rPr>
        <w:t xml:space="preserve">Kesehatan reproduksi merupakan salah satu determinan utama derajat kesehatan masyarakat, mencakup kesehatan ibu dan bayi baru lahir, keluarga berencana, pencegahan dan penanganan kekerasan berbasis gender, hingga kesehatan reproduksi remaja. Program yang hanya berorientasi pada pelayanan klinis di fasilitas kesehatan (faskes) belum cukup untuk menjangkau seluruh sasaran, terutama kelompok rentan di wilayah dengan akses terbatas, sehingga diperlukan pendekatan berbasis masyarakat yang melibatkan kader, tokoh masyarakat, dan lintas sektor.</w:t>
      </w:r>
    </w:p>
    <w:p>
      <w:pPr>
        <w:spacing w:after="140" w:line="288"/>
      </w:pPr>
      <w:r>
        <w:rPr>
          <w:sz w:val="22"/>
          <w:szCs w:val="22"/>
        </w:rPr>
        <w:t xml:space="preserve">Undang-Undang Nomor 17 Tahun 2023 tentang Kesehatan menegaskan bahwa upaya kesehatan reproduksi merupakan bagian dari upaya kesehatan masyarakat yang bersifat promotif dan preventif, dilaksanakan berjenjang dari tingkat keluarga, masyarakat, hingga fasilitas pelayanan kesehatan. Secara lebih teknis, ruang lingkup pelayanan kesehatan reproduksi nasional diatur dalam Peraturan Pemerintah Nomor 61 Tahun 2014 tentang Kesehatan Reproduksi, yang merujuk pada kerangka International Conference on Population and Development (ICPD) Kairo 1994: kesehatan ibu dan anak, keluarga berencana, pencegahan dan penanganan infeksi menular seksual termasuk HIV/AIDS, kesehatan reproduksi remaja, pencegahan dan penanganan komplikasi aborsi, kesehatan reproduksi usia lanjut, deteksi dini kanker saluran reproduksi, serta isu kesehatan reproduksi lain seperti kekerasan seksual.</w:t>
      </w:r>
    </w:p>
    <w:p>
      <w:pPr>
        <w:pStyle w:val="Heading2"/>
        <w:spacing w:after="120" w:before="240"/>
      </w:pPr>
      <w:r>
        <w:rPr>
          <w:b/>
          <w:bCs/>
          <w:color w:val="7A1F3D"/>
          <w:sz w:val="24"/>
          <w:szCs w:val="24"/>
        </w:rPr>
        <w:t xml:space="preserve">1.2 Analisis Situasi Berbasis Data Epidemiologi Lokal</w:t>
      </w:r>
    </w:p>
    <w:p>
      <w:pPr>
        <w:spacing w:after="140" w:line="288"/>
      </w:pPr>
      <w:r>
        <w:rPr>
          <w:sz w:val="22"/>
          <w:szCs w:val="22"/>
        </w:rPr>
        <w:t xml:space="preserve">Perencanaan program yang baik wajib dimulai dari analisis situasi (situational analysis) menggunakan data epidemiologi setempat, bukan asumsi umum. Pendekatan ini sejalan dengan metodologi analisis situasi yang digunakan dalam Pedoman Optimalisasi Penyelenggaraan Kampung Keluarga Berkualitas (Kemenko PMK, Kemendagri, dan BKKBN, 2023), yang mensyaratkan pemetaan jumlah penduduk, kematian ibu dan bayi, stunting, serta kondisi sosial-ekonomi wilayah sebagai dasar rencana kegiatan. Dinas Kesehatan/Puskesmas pengampu program WAJIB mengisi dan memutakhirkan data berikut sebelum menyusun rencana kerja, dengan sumber data resmi — bukan data yang dikarang:</w:t>
      </w:r>
    </w:p>
    <w:tbl>
      <w:tblPr>
        <w:tblW w:type="dxa" w:w="9100"/>
        <w:tblBorders>
          <w:top w:val="single" w:color="auto" w:sz="4"/>
          <w:left w:val="single" w:color="auto" w:sz="4"/>
          <w:bottom w:val="single" w:color="auto" w:sz="4"/>
          <w:right w:val="single" w:color="auto" w:sz="4"/>
          <w:insideH w:val="single" w:color="auto" w:sz="4"/>
          <w:insideV w:val="single" w:color="auto" w:sz="4"/>
        </w:tblBorders>
      </w:tblPr>
      <w:tblGrid>
        <w:gridCol w:w="500"/>
        <w:gridCol w:w="3000"/>
        <w:gridCol w:w="3400"/>
        <w:gridCol w:w="2200"/>
      </w:tblGrid>
      <w:tr>
        <w:trPr>
          <w:tblHeader/>
        </w:trPr>
        <w:tc>
          <w:tcPr>
            <w:tcW w:type="dxa" w:w="500"/>
            <w:shd w:fill="7A1F3D" w:val="clear"/>
            <w:tcMar>
              <w:top w:type="dxa" w:w="100"/>
              <w:left w:type="dxa" w:w="120"/>
              <w:bottom w:type="dxa" w:w="100"/>
              <w:right w:type="dxa" w:w="120"/>
            </w:tcMar>
            <w:vAlign w:val="center"/>
          </w:tcPr>
          <w:p>
            <w:r>
              <w:rPr>
                <w:b/>
                <w:bCs/>
                <w:color w:val="FFFFFF"/>
                <w:sz w:val="19"/>
                <w:szCs w:val="19"/>
              </w:rPr>
              <w:t xml:space="preserve">No</w:t>
            </w:r>
          </w:p>
        </w:tc>
        <w:tc>
          <w:tcPr>
            <w:tcW w:type="dxa" w:w="3000"/>
            <w:shd w:fill="7A1F3D" w:val="clear"/>
            <w:tcMar>
              <w:top w:type="dxa" w:w="100"/>
              <w:left w:type="dxa" w:w="120"/>
              <w:bottom w:type="dxa" w:w="100"/>
              <w:right w:type="dxa" w:w="120"/>
            </w:tcMar>
            <w:vAlign w:val="center"/>
          </w:tcPr>
          <w:p>
            <w:r>
              <w:rPr>
                <w:b/>
                <w:bCs/>
                <w:color w:val="FFFFFF"/>
                <w:sz w:val="19"/>
                <w:szCs w:val="19"/>
              </w:rPr>
              <w:t xml:space="preserve">Indikator Situasi Lokal</w:t>
            </w:r>
          </w:p>
        </w:tc>
        <w:tc>
          <w:tcPr>
            <w:tcW w:type="dxa" w:w="3400"/>
            <w:shd w:fill="7A1F3D" w:val="clear"/>
            <w:tcMar>
              <w:top w:type="dxa" w:w="100"/>
              <w:left w:type="dxa" w:w="120"/>
              <w:bottom w:type="dxa" w:w="100"/>
              <w:right w:type="dxa" w:w="120"/>
            </w:tcMar>
            <w:vAlign w:val="center"/>
          </w:tcPr>
          <w:p>
            <w:r>
              <w:rPr>
                <w:b/>
                <w:bCs/>
                <w:color w:val="FFFFFF"/>
                <w:sz w:val="19"/>
                <w:szCs w:val="19"/>
              </w:rPr>
              <w:t xml:space="preserve">Sumber Data Rujukan</w:t>
            </w:r>
          </w:p>
        </w:tc>
        <w:tc>
          <w:tcPr>
            <w:tcW w:type="dxa" w:w="2200"/>
            <w:shd w:fill="7A1F3D" w:val="clear"/>
            <w:tcMar>
              <w:top w:type="dxa" w:w="100"/>
              <w:left w:type="dxa" w:w="120"/>
              <w:bottom w:type="dxa" w:w="100"/>
              <w:right w:type="dxa" w:w="120"/>
            </w:tcMar>
            <w:vAlign w:val="center"/>
          </w:tcPr>
          <w:p>
            <w:r>
              <w:rPr>
                <w:b/>
                <w:bCs/>
                <w:color w:val="FFFFFF"/>
                <w:sz w:val="19"/>
                <w:szCs w:val="19"/>
              </w:rPr>
              <w:t xml:space="preserve">Keterangan Pengisian</w:t>
            </w:r>
          </w:p>
        </w:tc>
      </w:tr>
      <w:tr>
        <w:tc>
          <w:tcPr>
            <w:tcW w:type="dxa" w:w="500"/>
            <w:shd w:fill="FFFFFF" w:val="clear"/>
            <w:tcMar>
              <w:top w:type="dxa" w:w="90"/>
              <w:left w:type="dxa" w:w="120"/>
              <w:bottom w:type="dxa" w:w="90"/>
              <w:right w:type="dxa" w:w="120"/>
            </w:tcMar>
          </w:tcPr>
          <w:p>
            <w:pPr>
              <w:spacing w:line="258"/>
            </w:pPr>
            <w:r>
              <w:rPr>
                <w:sz w:val="19"/>
                <w:szCs w:val="19"/>
              </w:rPr>
              <w:t xml:space="preserve">1</w:t>
            </w:r>
          </w:p>
        </w:tc>
        <w:tc>
          <w:tcPr>
            <w:tcW w:type="dxa" w:w="3000"/>
            <w:shd w:fill="FFFFFF" w:val="clear"/>
            <w:tcMar>
              <w:top w:type="dxa" w:w="90"/>
              <w:left w:type="dxa" w:w="120"/>
              <w:bottom w:type="dxa" w:w="90"/>
              <w:right w:type="dxa" w:w="120"/>
            </w:tcMar>
          </w:tcPr>
          <w:p>
            <w:pPr>
              <w:spacing w:line="258"/>
            </w:pPr>
            <w:r>
              <w:rPr>
                <w:sz w:val="19"/>
                <w:szCs w:val="19"/>
              </w:rPr>
              <w:t xml:space="preserve">Angka Kematian Ibu (AKI) wilayah kerja</w:t>
            </w:r>
          </w:p>
        </w:tc>
        <w:tc>
          <w:tcPr>
            <w:tcW w:type="dxa" w:w="3400"/>
            <w:shd w:fill="FFFFFF" w:val="clear"/>
            <w:tcMar>
              <w:top w:type="dxa" w:w="90"/>
              <w:left w:type="dxa" w:w="120"/>
              <w:bottom w:type="dxa" w:w="90"/>
              <w:right w:type="dxa" w:w="120"/>
            </w:tcMar>
          </w:tcPr>
          <w:p>
            <w:pPr>
              <w:spacing w:line="258"/>
            </w:pPr>
            <w:r>
              <w:rPr>
                <w:sz w:val="19"/>
                <w:szCs w:val="19"/>
              </w:rPr>
              <w:t xml:space="preserve">Laporan Kematian Ibu Puskesmas/Dinkes, SDKI, Profil Kesehatan Kab/Kota</w:t>
            </w:r>
          </w:p>
        </w:tc>
        <w:tc>
          <w:tcPr>
            <w:tcW w:type="dxa" w:w="2200"/>
            <w:shd w:fill="FFFFFF" w:val="clear"/>
            <w:tcMar>
              <w:top w:type="dxa" w:w="90"/>
              <w:left w:type="dxa" w:w="120"/>
              <w:bottom w:type="dxa" w:w="90"/>
              <w:right w:type="dxa" w:w="120"/>
            </w:tcMar>
          </w:tcPr>
          <w:p>
            <w:pPr>
              <w:spacing w:line="258"/>
            </w:pPr>
            <w:r>
              <w:rPr>
                <w:sz w:val="19"/>
                <w:szCs w:val="19"/>
              </w:rPr>
              <w:t xml:space="preserve">[Diisi data terbaru wilayah]</w:t>
            </w:r>
          </w:p>
        </w:tc>
      </w:tr>
      <w:tr>
        <w:tc>
          <w:tcPr>
            <w:tcW w:type="dxa" w:w="500"/>
            <w:shd w:fill="FBF0F3" w:val="clear"/>
            <w:tcMar>
              <w:top w:type="dxa" w:w="90"/>
              <w:left w:type="dxa" w:w="120"/>
              <w:bottom w:type="dxa" w:w="90"/>
              <w:right w:type="dxa" w:w="120"/>
            </w:tcMar>
          </w:tcPr>
          <w:p>
            <w:pPr>
              <w:spacing w:line="258"/>
            </w:pPr>
            <w:r>
              <w:rPr>
                <w:sz w:val="19"/>
                <w:szCs w:val="19"/>
              </w:rPr>
              <w:t xml:space="preserve">2</w:t>
            </w:r>
          </w:p>
        </w:tc>
        <w:tc>
          <w:tcPr>
            <w:tcW w:type="dxa" w:w="3000"/>
            <w:shd w:fill="FBF0F3" w:val="clear"/>
            <w:tcMar>
              <w:top w:type="dxa" w:w="90"/>
              <w:left w:type="dxa" w:w="120"/>
              <w:bottom w:type="dxa" w:w="90"/>
              <w:right w:type="dxa" w:w="120"/>
            </w:tcMar>
          </w:tcPr>
          <w:p>
            <w:pPr>
              <w:spacing w:line="258"/>
            </w:pPr>
            <w:r>
              <w:rPr>
                <w:sz w:val="19"/>
                <w:szCs w:val="19"/>
              </w:rPr>
              <w:t xml:space="preserve">Cakupan Kunjungan Antenatal (K1/K4)</w:t>
            </w:r>
          </w:p>
        </w:tc>
        <w:tc>
          <w:tcPr>
            <w:tcW w:type="dxa" w:w="3400"/>
            <w:shd w:fill="FBF0F3" w:val="clear"/>
            <w:tcMar>
              <w:top w:type="dxa" w:w="90"/>
              <w:left w:type="dxa" w:w="120"/>
              <w:bottom w:type="dxa" w:w="90"/>
              <w:right w:type="dxa" w:w="120"/>
            </w:tcMar>
          </w:tcPr>
          <w:p>
            <w:pPr>
              <w:spacing w:line="258"/>
            </w:pPr>
            <w:r>
              <w:rPr>
                <w:sz w:val="19"/>
                <w:szCs w:val="19"/>
              </w:rPr>
              <w:t xml:space="preserve">Sistem Informasi Kesehatan (SIK)/e-Kohort Puskesmas</w:t>
            </w:r>
          </w:p>
        </w:tc>
        <w:tc>
          <w:tcPr>
            <w:tcW w:type="dxa" w:w="2200"/>
            <w:shd w:fill="FBF0F3" w:val="clear"/>
            <w:tcMar>
              <w:top w:type="dxa" w:w="90"/>
              <w:left w:type="dxa" w:w="120"/>
              <w:bottom w:type="dxa" w:w="90"/>
              <w:right w:type="dxa" w:w="120"/>
            </w:tcMar>
          </w:tcPr>
          <w:p>
            <w:pPr>
              <w:spacing w:line="258"/>
            </w:pPr>
            <w:r>
              <w:rPr>
                <w:sz w:val="19"/>
                <w:szCs w:val="19"/>
              </w:rPr>
              <w:t xml:space="preserve">[Diisi data terbaru wilayah]</w:t>
            </w:r>
          </w:p>
        </w:tc>
      </w:tr>
      <w:tr>
        <w:tc>
          <w:tcPr>
            <w:tcW w:type="dxa" w:w="500"/>
            <w:shd w:fill="FFFFFF" w:val="clear"/>
            <w:tcMar>
              <w:top w:type="dxa" w:w="90"/>
              <w:left w:type="dxa" w:w="120"/>
              <w:bottom w:type="dxa" w:w="90"/>
              <w:right w:type="dxa" w:w="120"/>
            </w:tcMar>
          </w:tcPr>
          <w:p>
            <w:pPr>
              <w:spacing w:line="258"/>
            </w:pPr>
            <w:r>
              <w:rPr>
                <w:sz w:val="19"/>
                <w:szCs w:val="19"/>
              </w:rPr>
              <w:t xml:space="preserve">3</w:t>
            </w:r>
          </w:p>
        </w:tc>
        <w:tc>
          <w:tcPr>
            <w:tcW w:type="dxa" w:w="3000"/>
            <w:shd w:fill="FFFFFF" w:val="clear"/>
            <w:tcMar>
              <w:top w:type="dxa" w:w="90"/>
              <w:left w:type="dxa" w:w="120"/>
              <w:bottom w:type="dxa" w:w="90"/>
              <w:right w:type="dxa" w:w="120"/>
            </w:tcMar>
          </w:tcPr>
          <w:p>
            <w:pPr>
              <w:spacing w:line="258"/>
            </w:pPr>
            <w:r>
              <w:rPr>
                <w:sz w:val="19"/>
                <w:szCs w:val="19"/>
              </w:rPr>
              <w:t xml:space="preserve">Cakupan peserta KB aktif</w:t>
            </w:r>
          </w:p>
        </w:tc>
        <w:tc>
          <w:tcPr>
            <w:tcW w:type="dxa" w:w="3400"/>
            <w:shd w:fill="FFFFFF" w:val="clear"/>
            <w:tcMar>
              <w:top w:type="dxa" w:w="90"/>
              <w:left w:type="dxa" w:w="120"/>
              <w:bottom w:type="dxa" w:w="90"/>
              <w:right w:type="dxa" w:w="120"/>
            </w:tcMar>
          </w:tcPr>
          <w:p>
            <w:pPr>
              <w:spacing w:line="258"/>
            </w:pPr>
            <w:r>
              <w:rPr>
                <w:sz w:val="19"/>
                <w:szCs w:val="19"/>
              </w:rPr>
              <w:t xml:space="preserve">Laporan BKKBN/Dinkes setempat; Rumah Data Kependudukan BKKBN (rumahdataku.bkkbn.go.id)</w:t>
            </w:r>
          </w:p>
        </w:tc>
        <w:tc>
          <w:tcPr>
            <w:tcW w:type="dxa" w:w="2200"/>
            <w:shd w:fill="FFFFFF" w:val="clear"/>
            <w:tcMar>
              <w:top w:type="dxa" w:w="90"/>
              <w:left w:type="dxa" w:w="120"/>
              <w:bottom w:type="dxa" w:w="90"/>
              <w:right w:type="dxa" w:w="120"/>
            </w:tcMar>
          </w:tcPr>
          <w:p>
            <w:pPr>
              <w:spacing w:line="258"/>
            </w:pPr>
            <w:r>
              <w:rPr>
                <w:sz w:val="19"/>
                <w:szCs w:val="19"/>
              </w:rPr>
              <w:t xml:space="preserve">[Diisi data terbaru wilayah]</w:t>
            </w:r>
          </w:p>
        </w:tc>
      </w:tr>
      <w:tr>
        <w:tc>
          <w:tcPr>
            <w:tcW w:type="dxa" w:w="500"/>
            <w:shd w:fill="FBF0F3" w:val="clear"/>
            <w:tcMar>
              <w:top w:type="dxa" w:w="90"/>
              <w:left w:type="dxa" w:w="120"/>
              <w:bottom w:type="dxa" w:w="90"/>
              <w:right w:type="dxa" w:w="120"/>
            </w:tcMar>
          </w:tcPr>
          <w:p>
            <w:pPr>
              <w:spacing w:line="258"/>
            </w:pPr>
            <w:r>
              <w:rPr>
                <w:sz w:val="19"/>
                <w:szCs w:val="19"/>
              </w:rPr>
              <w:t xml:space="preserve">4</w:t>
            </w:r>
          </w:p>
        </w:tc>
        <w:tc>
          <w:tcPr>
            <w:tcW w:type="dxa" w:w="3000"/>
            <w:shd w:fill="FBF0F3" w:val="clear"/>
            <w:tcMar>
              <w:top w:type="dxa" w:w="90"/>
              <w:left w:type="dxa" w:w="120"/>
              <w:bottom w:type="dxa" w:w="90"/>
              <w:right w:type="dxa" w:w="120"/>
            </w:tcMar>
          </w:tcPr>
          <w:p>
            <w:pPr>
              <w:spacing w:line="258"/>
            </w:pPr>
            <w:r>
              <w:rPr>
                <w:sz w:val="19"/>
                <w:szCs w:val="19"/>
              </w:rPr>
              <w:t xml:space="preserve">Prevalensi pernikahan usia anak</w:t>
            </w:r>
          </w:p>
        </w:tc>
        <w:tc>
          <w:tcPr>
            <w:tcW w:type="dxa" w:w="3400"/>
            <w:shd w:fill="FBF0F3" w:val="clear"/>
            <w:tcMar>
              <w:top w:type="dxa" w:w="90"/>
              <w:left w:type="dxa" w:w="120"/>
              <w:bottom w:type="dxa" w:w="90"/>
              <w:right w:type="dxa" w:w="120"/>
            </w:tcMar>
          </w:tcPr>
          <w:p>
            <w:pPr>
              <w:spacing w:line="258"/>
            </w:pPr>
            <w:r>
              <w:rPr>
                <w:sz w:val="19"/>
                <w:szCs w:val="19"/>
              </w:rPr>
              <w:t xml:space="preserve">Data Dukcapil/Pengadilan Agama setempat</w:t>
            </w:r>
          </w:p>
        </w:tc>
        <w:tc>
          <w:tcPr>
            <w:tcW w:type="dxa" w:w="2200"/>
            <w:shd w:fill="FBF0F3" w:val="clear"/>
            <w:tcMar>
              <w:top w:type="dxa" w:w="90"/>
              <w:left w:type="dxa" w:w="120"/>
              <w:bottom w:type="dxa" w:w="90"/>
              <w:right w:type="dxa" w:w="120"/>
            </w:tcMar>
          </w:tcPr>
          <w:p>
            <w:pPr>
              <w:spacing w:line="258"/>
            </w:pPr>
            <w:r>
              <w:rPr>
                <w:sz w:val="19"/>
                <w:szCs w:val="19"/>
              </w:rPr>
              <w:t xml:space="preserve">[Diisi data terbaru wilayah]</w:t>
            </w:r>
          </w:p>
        </w:tc>
      </w:tr>
      <w:tr>
        <w:tc>
          <w:tcPr>
            <w:tcW w:type="dxa" w:w="500"/>
            <w:shd w:fill="FFFFFF" w:val="clear"/>
            <w:tcMar>
              <w:top w:type="dxa" w:w="90"/>
              <w:left w:type="dxa" w:w="120"/>
              <w:bottom w:type="dxa" w:w="90"/>
              <w:right w:type="dxa" w:w="120"/>
            </w:tcMar>
          </w:tcPr>
          <w:p>
            <w:pPr>
              <w:spacing w:line="258"/>
            </w:pPr>
            <w:r>
              <w:rPr>
                <w:sz w:val="19"/>
                <w:szCs w:val="19"/>
              </w:rPr>
              <w:t xml:space="preserve">5</w:t>
            </w:r>
          </w:p>
        </w:tc>
        <w:tc>
          <w:tcPr>
            <w:tcW w:type="dxa" w:w="3000"/>
            <w:shd w:fill="FFFFFF" w:val="clear"/>
            <w:tcMar>
              <w:top w:type="dxa" w:w="90"/>
              <w:left w:type="dxa" w:w="120"/>
              <w:bottom w:type="dxa" w:w="90"/>
              <w:right w:type="dxa" w:w="120"/>
            </w:tcMar>
          </w:tcPr>
          <w:p>
            <w:pPr>
              <w:spacing w:line="258"/>
            </w:pPr>
            <w:r>
              <w:rPr>
                <w:sz w:val="19"/>
                <w:szCs w:val="19"/>
              </w:rPr>
              <w:t xml:space="preserve">Kasus kekerasan berbasis gender terlaporkan</w:t>
            </w:r>
          </w:p>
        </w:tc>
        <w:tc>
          <w:tcPr>
            <w:tcW w:type="dxa" w:w="3400"/>
            <w:shd w:fill="FFFFFF" w:val="clear"/>
            <w:tcMar>
              <w:top w:type="dxa" w:w="90"/>
              <w:left w:type="dxa" w:w="120"/>
              <w:bottom w:type="dxa" w:w="90"/>
              <w:right w:type="dxa" w:w="120"/>
            </w:tcMar>
          </w:tcPr>
          <w:p>
            <w:pPr>
              <w:spacing w:line="258"/>
            </w:pPr>
            <w:r>
              <w:rPr>
                <w:sz w:val="19"/>
                <w:szCs w:val="19"/>
              </w:rPr>
              <w:t xml:space="preserve">UPTD PPA, P2TP2A, Puskesmas Ramah Anak</w:t>
            </w:r>
          </w:p>
        </w:tc>
        <w:tc>
          <w:tcPr>
            <w:tcW w:type="dxa" w:w="2200"/>
            <w:shd w:fill="FFFFFF" w:val="clear"/>
            <w:tcMar>
              <w:top w:type="dxa" w:w="90"/>
              <w:left w:type="dxa" w:w="120"/>
              <w:bottom w:type="dxa" w:w="90"/>
              <w:right w:type="dxa" w:w="120"/>
            </w:tcMar>
          </w:tcPr>
          <w:p>
            <w:pPr>
              <w:spacing w:line="258"/>
            </w:pPr>
            <w:r>
              <w:rPr>
                <w:sz w:val="19"/>
                <w:szCs w:val="19"/>
              </w:rPr>
              <w:t xml:space="preserve">[Diisi data terbaru wilayah]</w:t>
            </w:r>
          </w:p>
        </w:tc>
      </w:tr>
      <w:tr>
        <w:tc>
          <w:tcPr>
            <w:tcW w:type="dxa" w:w="500"/>
            <w:shd w:fill="FBF0F3" w:val="clear"/>
            <w:tcMar>
              <w:top w:type="dxa" w:w="90"/>
              <w:left w:type="dxa" w:w="120"/>
              <w:bottom w:type="dxa" w:w="90"/>
              <w:right w:type="dxa" w:w="120"/>
            </w:tcMar>
          </w:tcPr>
          <w:p>
            <w:pPr>
              <w:spacing w:line="258"/>
            </w:pPr>
            <w:r>
              <w:rPr>
                <w:sz w:val="19"/>
                <w:szCs w:val="19"/>
              </w:rPr>
              <w:t xml:space="preserve">6</w:t>
            </w:r>
          </w:p>
        </w:tc>
        <w:tc>
          <w:tcPr>
            <w:tcW w:type="dxa" w:w="3000"/>
            <w:shd w:fill="FBF0F3" w:val="clear"/>
            <w:tcMar>
              <w:top w:type="dxa" w:w="90"/>
              <w:left w:type="dxa" w:w="120"/>
              <w:bottom w:type="dxa" w:w="90"/>
              <w:right w:type="dxa" w:w="120"/>
            </w:tcMar>
          </w:tcPr>
          <w:p>
            <w:pPr>
              <w:spacing w:line="258"/>
            </w:pPr>
            <w:r>
              <w:rPr>
                <w:sz w:val="19"/>
                <w:szCs w:val="19"/>
              </w:rPr>
              <w:t xml:space="preserve">Sebaran geografis wilayah sulit akses</w:t>
            </w:r>
          </w:p>
        </w:tc>
        <w:tc>
          <w:tcPr>
            <w:tcW w:type="dxa" w:w="3400"/>
            <w:shd w:fill="FBF0F3" w:val="clear"/>
            <w:tcMar>
              <w:top w:type="dxa" w:w="90"/>
              <w:left w:type="dxa" w:w="120"/>
              <w:bottom w:type="dxa" w:w="90"/>
              <w:right w:type="dxa" w:w="120"/>
            </w:tcMar>
          </w:tcPr>
          <w:p>
            <w:pPr>
              <w:spacing w:line="258"/>
            </w:pPr>
            <w:r>
              <w:rPr>
                <w:sz w:val="19"/>
                <w:szCs w:val="19"/>
              </w:rPr>
              <w:t xml:space="preserve">Peta wilayah kerja Puskesmas, data BPS</w:t>
            </w:r>
          </w:p>
        </w:tc>
        <w:tc>
          <w:tcPr>
            <w:tcW w:type="dxa" w:w="2200"/>
            <w:shd w:fill="FBF0F3" w:val="clear"/>
            <w:tcMar>
              <w:top w:type="dxa" w:w="90"/>
              <w:left w:type="dxa" w:w="120"/>
              <w:bottom w:type="dxa" w:w="90"/>
              <w:right w:type="dxa" w:w="120"/>
            </w:tcMar>
          </w:tcPr>
          <w:p>
            <w:pPr>
              <w:spacing w:line="258"/>
            </w:pPr>
            <w:r>
              <w:rPr>
                <w:sz w:val="19"/>
                <w:szCs w:val="19"/>
              </w:rPr>
              <w:t xml:space="preserve">[Diisi data terbaru wilayah]</w:t>
            </w:r>
          </w:p>
        </w:tc>
      </w:tr>
    </w:tbl>
    <w:p>
      <w:pPr>
        <w:spacing w:before="160"/>
      </w:pPr>
    </w:p>
    <w:p>
      <w:pPr>
        <w:spacing w:after="140" w:line="288"/>
      </w:pPr>
      <w:r>
        <w:rPr>
          <w:i/>
          <w:iCs/>
          <w:color w:val="666666"/>
          <w:sz w:val="20"/>
          <w:szCs w:val="20"/>
        </w:rPr>
        <w:t xml:space="preserve">Catatan: Dokumen ini tidak mencantumkan angka cakupan atau statistik program secara spesifik karena data tersebut bersifat dinamis dan wajib bersumber dari data primer wilayah kerja masing-masing, bukan estimasi atau data yang dikarang oleh penyusun pedoman.</w:t>
      </w:r>
    </w:p>
    <w:p>
      <w:pPr>
        <w:pStyle w:val="Heading2"/>
        <w:spacing w:after="120" w:before="240"/>
      </w:pPr>
      <w:r>
        <w:rPr>
          <w:b/>
          <w:bCs/>
          <w:color w:val="7A1F3D"/>
          <w:sz w:val="24"/>
          <w:szCs w:val="24"/>
        </w:rPr>
        <w:t xml:space="preserve">1.3 Kesenjangan yang Mendorong Perlunya Pedoman</w:t>
      </w:r>
    </w:p>
    <w:p>
      <w:pPr>
        <w:pStyle w:val="ListParagraph"/>
        <w:numPr>
          <w:ilvl w:val="0"/>
          <w:numId w:val="2"/>
        </w:numPr>
        <w:spacing w:after="80" w:line="276"/>
      </w:pPr>
      <w:r>
        <w:rPr>
          <w:sz w:val="22"/>
          <w:szCs w:val="22"/>
        </w:rPr>
        <w:t xml:space="preserve">Keterbatasan jangkauan layanan klinis di wilayah geografis sulit, sehingga peran kader dan Upaya Kesehatan Berbasis Masyarakat (UKBM) menjadi penting.</w:t>
      </w:r>
    </w:p>
    <w:p>
      <w:pPr>
        <w:pStyle w:val="ListParagraph"/>
        <w:numPr>
          <w:ilvl w:val="0"/>
          <w:numId w:val="2"/>
        </w:numPr>
        <w:spacing w:after="80" w:line="276"/>
      </w:pPr>
      <w:r>
        <w:rPr>
          <w:sz w:val="22"/>
          <w:szCs w:val="22"/>
        </w:rPr>
        <w:t xml:space="preserve">Rendahnya literasi kesehatan reproduksi di tingkat keluarga dan masyarakat, termasuk stigma terhadap layanan KB dan kesehatan reproduksi remaja.</w:t>
      </w:r>
    </w:p>
    <w:p>
      <w:pPr>
        <w:pStyle w:val="ListParagraph"/>
        <w:numPr>
          <w:ilvl w:val="0"/>
          <w:numId w:val="2"/>
        </w:numPr>
        <w:spacing w:after="80" w:line="276"/>
      </w:pPr>
      <w:r>
        <w:rPr>
          <w:sz w:val="22"/>
          <w:szCs w:val="22"/>
        </w:rPr>
        <w:t xml:space="preserve">Belum optimalnya koordinasi lintas sektor (kesehatan, pendidikan, sosial, agama, penegak hukum) dalam penanganan kasus kesehatan reproduksi yang kompleks, termasuk kekerasan berbasis gender.</w:t>
      </w:r>
    </w:p>
    <w:p>
      <w:pPr>
        <w:pStyle w:val="ListParagraph"/>
        <w:numPr>
          <w:ilvl w:val="0"/>
          <w:numId w:val="2"/>
        </w:numPr>
        <w:spacing w:after="80" w:line="276"/>
      </w:pPr>
      <w:r>
        <w:rPr>
          <w:sz w:val="22"/>
          <w:szCs w:val="22"/>
        </w:rPr>
        <w:t xml:space="preserve">Perlunya penggerak teknis yang memahami dimensi klinis sekaligus sosial, yaitu tenaga Subspesialis Obstetri Ginekologi Sosial (Obginsos) sebagaimana diatur dalam standar kompetensi nasional.</w:t>
      </w:r>
    </w:p>
    <w:p>
      <w:pPr>
        <w:pStyle w:val="Heading2"/>
        <w:spacing w:after="120" w:before="240"/>
      </w:pPr>
      <w:r>
        <w:rPr>
          <w:b/>
          <w:bCs/>
          <w:color w:val="7A1F3D"/>
          <w:sz w:val="24"/>
          <w:szCs w:val="24"/>
        </w:rPr>
        <w:t xml:space="preserve">1.4 Landasan Hukum dan Konsep Internasional</w:t>
      </w:r>
    </w:p>
    <w:p>
      <w:pPr>
        <w:spacing w:after="140" w:line="288"/>
      </w:pPr>
      <w:r>
        <w:rPr>
          <w:sz w:val="22"/>
          <w:szCs w:val="22"/>
        </w:rPr>
        <w:t xml:space="preserve">Secara nasional, pedoman ini berpijak pada Undang-Undang Nomor 17 Tahun 2023 tentang Kesehatan beserta Peraturan Pemerintah Nomor 28 Tahun 2024 sebagai peraturan pelaksananya, Peraturan Pemerintah Nomor 61 Tahun 2014 tentang Kesehatan Reproduksi, Undang-Undang Nomor 12 Tahun 2022 tentang Tindak Pidana Kekerasan Seksual, Undang-Undang Nomor 52 Tahun 2009 tentang Perkembangan Kependudukan dan Pembangunan Keluarga sebagai dasar kelembagaan BKKBN, Peraturan Menteri Kesehatan Nomor 1438/MENKES/SK/IX/2010 tentang Standar Pelayanan Kedokteran, serta Keputusan Ketua Konsil Kesehatan Indonesia Nomor HK.01.02/KKI/1318/2026 tentang Standar Kompetensi Dokter Spesialis dan Subspesialis Bidang Obstetri dan Ginekologi yang menetapkan kompetensi Subspesialis Obginsos, antara lain audit maternal-perinatal, manajemen holistik biopsikososial kehamilan risiko tinggi, penanganan kekerasan berbasis gender, serta manajemen program kesehatan reproduksi.</w:t>
      </w:r>
    </w:p>
    <w:p>
      <w:pPr>
        <w:spacing w:after="140" w:line="288"/>
      </w:pPr>
      <w:r>
        <w:rPr>
          <w:sz w:val="22"/>
          <w:szCs w:val="22"/>
        </w:rPr>
        <w:t xml:space="preserve">Secara konsep, pendekatan Obginsos memiliki akar sejarah internasional pada gagasan social obstetrics yang dipelopori Sir Dugald Baird di Aberdeen, Skotlandia, sejak akhir 1930-an. Baird menghubungkan luaran obstetri dengan faktor sosial-ekonomi masyarakat dan mendirikan Aberdeen Maternity and Neonatal Databank pada 1951 sebagai basis data populasi untuk penelitian dan kebijakan kesehatan ibu — gagasan yang menjadi cikal bakal pendekatan populasi dalam obstetri modern.</w:t>
      </w:r>
    </w:p>
    <w:p>
      <w:pPr>
        <w:spacing w:after="140" w:line="288"/>
      </w:pPr>
      <w:r>
        <w:rPr>
          <w:sz w:val="22"/>
          <w:szCs w:val="22"/>
        </w:rPr>
        <w:t xml:space="preserve">Standar teknis internasional yang relevan mencakup Inter-agency Field Manual on Reproductive Health in Humanitarian Settings (edisi 2018) yang diterbitkan oleh Inter-Agency Working Group on Reproductive Health in Crises (IAWG) sebagai pemutakhiran dari Reproductive Health in Refugee Situations: An Inter-Agency Field Manual (1999); WHO Guideline on Health Policy and System Support to Optimize Community Health Worker Programmes (WHO, 2018) sebagai acuan pengelolaan kader; serta FIGO-ICM Joint Statement on Contraception yang mendorong integrasi konseling kontrasepsi ke dalam layanan antenatal dan pascapersalinan berbasis masyarakat.</w:t>
      </w:r>
    </w:p>
    <w:p>
      <w:pPr>
        <w:pStyle w:val="Heading1"/>
        <w:shd w:fill="7A1F3D" w:color="auto" w:val="clear"/>
        <w:spacing w:after="160" w:before="320"/>
        <w:ind w:left="100" w:right="100"/>
      </w:pPr>
      <w:r>
        <w:rPr>
          <w:b/>
          <w:bCs/>
          <w:color w:val="FFFFFF"/>
          <w:sz w:val="30"/>
          <w:szCs w:val="30"/>
        </w:rPr>
        <w:t xml:space="preserve">2. TUJUAN</w:t>
      </w:r>
    </w:p>
    <w:p>
      <w:pPr>
        <w:pStyle w:val="Heading2"/>
        <w:spacing w:after="120" w:before="240"/>
      </w:pPr>
      <w:r>
        <w:rPr>
          <w:b/>
          <w:bCs/>
          <w:color w:val="7A1F3D"/>
          <w:sz w:val="24"/>
          <w:szCs w:val="24"/>
        </w:rPr>
        <w:t xml:space="preserve">2.1 Tujuan Umum</w:t>
      </w:r>
    </w:p>
    <w:p>
      <w:pPr>
        <w:spacing w:after="140" w:line="288"/>
      </w:pPr>
      <w:r>
        <w:rPr>
          <w:sz w:val="22"/>
          <w:szCs w:val="22"/>
        </w:rPr>
        <w:t xml:space="preserve">Menjadi acuan bagi Dinas Kesehatan, Puskesmas, kader kesehatan masyarakat, dan pemangku kepentingan lintas sektor dalam merencanakan, melaksanakan, memantau, dan mengevaluasi program kesehatan reproduksi berbasis masyarakat secara sistematis, terukur, dan berkelanjutan, selaras dengan standar kompetensi Subspesialis Obginsos serta standar internasional yang relevan.</w:t>
      </w:r>
    </w:p>
    <w:p>
      <w:pPr>
        <w:pStyle w:val="Heading2"/>
        <w:spacing w:after="120" w:before="240"/>
      </w:pPr>
      <w:r>
        <w:rPr>
          <w:b/>
          <w:bCs/>
          <w:color w:val="7A1F3D"/>
          <w:sz w:val="24"/>
          <w:szCs w:val="24"/>
        </w:rPr>
        <w:t xml:space="preserve">2.2 Tujuan Khusus</w:t>
      </w:r>
    </w:p>
    <w:p>
      <w:pPr>
        <w:pStyle w:val="ListParagraph"/>
        <w:numPr>
          <w:ilvl w:val="0"/>
          <w:numId w:val="3"/>
        </w:numPr>
        <w:spacing w:after="80" w:line="276"/>
      </w:pPr>
      <w:r>
        <w:rPr>
          <w:sz w:val="22"/>
          <w:szCs w:val="22"/>
        </w:rPr>
        <w:t xml:space="preserve">Memberikan langkah operasional penyusunan rencana program kesehatan reproduksi berbasis masyarakat mulai dari analisis situasi hingga evaluasi.</w:t>
      </w:r>
    </w:p>
    <w:p>
      <w:pPr>
        <w:pStyle w:val="ListParagraph"/>
        <w:numPr>
          <w:ilvl w:val="0"/>
          <w:numId w:val="3"/>
        </w:numPr>
        <w:spacing w:after="80" w:line="276"/>
      </w:pPr>
      <w:r>
        <w:rPr>
          <w:sz w:val="22"/>
          <w:szCs w:val="22"/>
        </w:rPr>
        <w:t xml:space="preserve">Menjabarkan peran dan mekanisme koordinasi lintas program dan lintas sektor dalam pelaksanaan program.</w:t>
      </w:r>
    </w:p>
    <w:p>
      <w:pPr>
        <w:pStyle w:val="ListParagraph"/>
        <w:numPr>
          <w:ilvl w:val="0"/>
          <w:numId w:val="3"/>
        </w:numPr>
        <w:spacing w:after="80" w:line="276"/>
      </w:pPr>
      <w:r>
        <w:rPr>
          <w:sz w:val="22"/>
          <w:szCs w:val="22"/>
        </w:rPr>
        <w:t xml:space="preserve">Menyediakan contoh logic model program yang dapat diadaptasi oleh Dinas Kesehatan/Puskesmas sesuai konteks wilayah masing-masing.</w:t>
      </w:r>
    </w:p>
    <w:p>
      <w:pPr>
        <w:pStyle w:val="ListParagraph"/>
        <w:numPr>
          <w:ilvl w:val="0"/>
          <w:numId w:val="3"/>
        </w:numPr>
        <w:spacing w:after="80" w:line="276"/>
      </w:pPr>
      <w:r>
        <w:rPr>
          <w:sz w:val="22"/>
          <w:szCs w:val="22"/>
        </w:rPr>
        <w:t xml:space="preserve">Menetapkan mekanisme monitoring dan evaluasi serta indikator keberhasilan program yang terukur, dengan memperhatikan standar pengelolaan kader menurut WHO (2018).</w:t>
      </w:r>
    </w:p>
    <w:p>
      <w:pPr>
        <w:pStyle w:val="ListParagraph"/>
        <w:numPr>
          <w:ilvl w:val="0"/>
          <w:numId w:val="3"/>
        </w:numPr>
        <w:spacing w:after="80" w:line="276"/>
      </w:pPr>
      <w:r>
        <w:rPr>
          <w:sz w:val="22"/>
          <w:szCs w:val="22"/>
        </w:rPr>
        <w:t xml:space="preserve">Memperkuat kapasitas kader dan tenaga non-spesialis dalam mengenali kasus yang memerlukan rujukan ke fasilitas kesehatan atau layanan Obginsos.</w:t>
      </w:r>
    </w:p>
    <w:p>
      <w:pPr>
        <w:pStyle w:val="Heading1"/>
        <w:shd w:fill="7A1F3D" w:color="auto" w:val="clear"/>
        <w:spacing w:after="160" w:before="320"/>
        <w:ind w:left="100" w:right="100"/>
      </w:pPr>
      <w:r>
        <w:rPr>
          <w:b/>
          <w:bCs/>
          <w:color w:val="FFFFFF"/>
          <w:sz w:val="30"/>
          <w:szCs w:val="30"/>
        </w:rPr>
        <w:t xml:space="preserve">3. SASARAN</w:t>
      </w:r>
    </w:p>
    <w:p>
      <w:pPr>
        <w:pStyle w:val="Heading2"/>
        <w:spacing w:after="120" w:before="240"/>
      </w:pPr>
      <w:r>
        <w:rPr>
          <w:b/>
          <w:bCs/>
          <w:color w:val="7A1F3D"/>
          <w:sz w:val="24"/>
          <w:szCs w:val="24"/>
        </w:rPr>
        <w:t xml:space="preserve">3.1 Sasaran Pengguna Pedoman</w:t>
      </w:r>
    </w:p>
    <w:p>
      <w:pPr>
        <w:pStyle w:val="ListParagraph"/>
        <w:numPr>
          <w:ilvl w:val="0"/>
          <w:numId w:val="2"/>
        </w:numPr>
        <w:spacing w:after="80" w:line="276"/>
      </w:pPr>
      <w:r>
        <w:rPr>
          <w:sz w:val="22"/>
          <w:szCs w:val="22"/>
        </w:rPr>
        <w:t xml:space="preserve">Pengelola program kesehatan reproduksi di Dinas Kesehatan Provinsi/Kabupaten/Kota.</w:t>
      </w:r>
    </w:p>
    <w:p>
      <w:pPr>
        <w:pStyle w:val="ListParagraph"/>
        <w:numPr>
          <w:ilvl w:val="0"/>
          <w:numId w:val="2"/>
        </w:numPr>
        <w:spacing w:after="80" w:line="276"/>
      </w:pPr>
      <w:r>
        <w:rPr>
          <w:sz w:val="22"/>
          <w:szCs w:val="22"/>
        </w:rPr>
        <w:t xml:space="preserve">Kepala Puskesmas dan pengelola program KIA-KB, promosi kesehatan, dan surveilans di Puskesmas.</w:t>
      </w:r>
    </w:p>
    <w:p>
      <w:pPr>
        <w:pStyle w:val="ListParagraph"/>
        <w:numPr>
          <w:ilvl w:val="0"/>
          <w:numId w:val="2"/>
        </w:numPr>
        <w:spacing w:after="80" w:line="276"/>
      </w:pPr>
      <w:r>
        <w:rPr>
          <w:sz w:val="22"/>
          <w:szCs w:val="22"/>
        </w:rPr>
        <w:t xml:space="preserve">Kader kesehatan masyarakat (Posyandu, Posyandu Remaja, kader KB, kader Pos Pembinaan Terpadu).</w:t>
      </w:r>
    </w:p>
    <w:p>
      <w:pPr>
        <w:pStyle w:val="ListParagraph"/>
        <w:numPr>
          <w:ilvl w:val="0"/>
          <w:numId w:val="2"/>
        </w:numPr>
        <w:spacing w:after="80" w:line="276"/>
      </w:pPr>
      <w:r>
        <w:rPr>
          <w:sz w:val="22"/>
          <w:szCs w:val="22"/>
        </w:rPr>
        <w:t xml:space="preserve">Tenaga pelatih (Training of Trainers) kesehatan reproduksi.</w:t>
      </w:r>
    </w:p>
    <w:p>
      <w:pPr>
        <w:pStyle w:val="ListParagraph"/>
        <w:numPr>
          <w:ilvl w:val="0"/>
          <w:numId w:val="2"/>
        </w:numPr>
        <w:spacing w:after="80" w:line="276"/>
      </w:pPr>
      <w:r>
        <w:rPr>
          <w:sz w:val="22"/>
          <w:szCs w:val="22"/>
        </w:rPr>
        <w:t xml:space="preserve">Pemangku kepentingan lintas sektor: pendidikan, sosial, agama, penegak hukum, organisasi masyarakat, dan mitra pembangunan.</w:t>
      </w:r>
    </w:p>
    <w:p>
      <w:pPr>
        <w:pStyle w:val="Heading2"/>
        <w:spacing w:after="120" w:before="240"/>
      </w:pPr>
      <w:r>
        <w:rPr>
          <w:b/>
          <w:bCs/>
          <w:color w:val="7A1F3D"/>
          <w:sz w:val="24"/>
          <w:szCs w:val="24"/>
        </w:rPr>
        <w:t xml:space="preserve">3.2 Sasaran Penerima Manfaat Program</w:t>
      </w:r>
    </w:p>
    <w:p>
      <w:pPr>
        <w:pStyle w:val="ListParagraph"/>
        <w:numPr>
          <w:ilvl w:val="0"/>
          <w:numId w:val="2"/>
        </w:numPr>
        <w:spacing w:after="80" w:line="276"/>
      </w:pPr>
      <w:r>
        <w:rPr>
          <w:sz w:val="22"/>
          <w:szCs w:val="22"/>
        </w:rPr>
        <w:t xml:space="preserve">Ibu hamil, ibu bersalin, dan ibu nifas di wilayah kerja.</w:t>
      </w:r>
    </w:p>
    <w:p>
      <w:pPr>
        <w:pStyle w:val="ListParagraph"/>
        <w:numPr>
          <w:ilvl w:val="0"/>
          <w:numId w:val="2"/>
        </w:numPr>
        <w:spacing w:after="80" w:line="276"/>
      </w:pPr>
      <w:r>
        <w:rPr>
          <w:sz w:val="22"/>
          <w:szCs w:val="22"/>
        </w:rPr>
        <w:t xml:space="preserve">Pasangan usia subur dan calon pengantin.</w:t>
      </w:r>
    </w:p>
    <w:p>
      <w:pPr>
        <w:pStyle w:val="ListParagraph"/>
        <w:numPr>
          <w:ilvl w:val="0"/>
          <w:numId w:val="2"/>
        </w:numPr>
        <w:spacing w:after="80" w:line="276"/>
      </w:pPr>
      <w:r>
        <w:rPr>
          <w:sz w:val="22"/>
          <w:szCs w:val="22"/>
        </w:rPr>
        <w:t xml:space="preserve">Remaja dan calon orang tua.</w:t>
      </w:r>
    </w:p>
    <w:p>
      <w:pPr>
        <w:pStyle w:val="ListParagraph"/>
        <w:numPr>
          <w:ilvl w:val="0"/>
          <w:numId w:val="2"/>
        </w:numPr>
        <w:spacing w:after="80" w:line="276"/>
      </w:pPr>
      <w:r>
        <w:rPr>
          <w:sz w:val="22"/>
          <w:szCs w:val="22"/>
        </w:rPr>
        <w:t xml:space="preserve">Kelompok rentan: penyandang disabilitas, korban kekerasan berbasis gender, masyarakat di wilayah sulit akses/terdampak bencana.</w:t>
      </w:r>
    </w:p>
    <w:p>
      <w:pPr>
        <w:pStyle w:val="Heading1"/>
        <w:shd w:fill="7A1F3D" w:color="auto" w:val="clear"/>
        <w:spacing w:after="160" w:before="320"/>
        <w:ind w:left="100" w:right="100"/>
      </w:pPr>
      <w:r>
        <w:rPr>
          <w:b/>
          <w:bCs/>
          <w:color w:val="FFFFFF"/>
          <w:sz w:val="30"/>
          <w:szCs w:val="30"/>
        </w:rPr>
        <w:t xml:space="preserve">4. RUANG LINGKUP</w:t>
      </w:r>
    </w:p>
    <w:p>
      <w:pPr>
        <w:spacing w:after="140" w:line="288"/>
      </w:pPr>
      <w:r>
        <w:rPr>
          <w:sz w:val="22"/>
          <w:szCs w:val="22"/>
        </w:rPr>
        <w:t xml:space="preserve">Pedoman ini mencakup ruang lingkup perencanaan dan pelaksanaan program di tingkat masyarakat, dengan batasan sebagai berikut:</w:t>
      </w:r>
    </w:p>
    <w:tbl>
      <w:tblPr>
        <w:tblW w:type="dxa" w:w="9100"/>
        <w:tblBorders>
          <w:top w:val="single" w:color="auto" w:sz="4"/>
          <w:left w:val="single" w:color="auto" w:sz="4"/>
          <w:bottom w:val="single" w:color="auto" w:sz="4"/>
          <w:right w:val="single" w:color="auto" w:sz="4"/>
          <w:insideH w:val="single" w:color="auto" w:sz="4"/>
          <w:insideV w:val="single" w:color="auto" w:sz="4"/>
        </w:tblBorders>
      </w:tblPr>
      <w:tblGrid>
        <w:gridCol w:w="1600"/>
        <w:gridCol w:w="3800"/>
        <w:gridCol w:w="3700"/>
      </w:tblGrid>
      <w:tr>
        <w:trPr>
          <w:tblHeader/>
        </w:trPr>
        <w:tc>
          <w:tcPr>
            <w:tcW w:type="dxa" w:w="1600"/>
            <w:shd w:fill="7A1F3D" w:val="clear"/>
            <w:tcMar>
              <w:top w:type="dxa" w:w="100"/>
              <w:left w:type="dxa" w:w="120"/>
              <w:bottom w:type="dxa" w:w="100"/>
              <w:right w:type="dxa" w:w="120"/>
            </w:tcMar>
            <w:vAlign w:val="center"/>
          </w:tcPr>
          <w:p>
            <w:r>
              <w:rPr>
                <w:b/>
                <w:bCs/>
                <w:color w:val="FFFFFF"/>
                <w:sz w:val="19"/>
                <w:szCs w:val="19"/>
              </w:rPr>
              <w:t xml:space="preserve">Aspek</w:t>
            </w:r>
          </w:p>
        </w:tc>
        <w:tc>
          <w:tcPr>
            <w:tcW w:type="dxa" w:w="3800"/>
            <w:shd w:fill="7A1F3D" w:val="clear"/>
            <w:tcMar>
              <w:top w:type="dxa" w:w="100"/>
              <w:left w:type="dxa" w:w="120"/>
              <w:bottom w:type="dxa" w:w="100"/>
              <w:right w:type="dxa" w:w="120"/>
            </w:tcMar>
            <w:vAlign w:val="center"/>
          </w:tcPr>
          <w:p>
            <w:r>
              <w:rPr>
                <w:b/>
                <w:bCs/>
                <w:color w:val="FFFFFF"/>
                <w:sz w:val="19"/>
                <w:szCs w:val="19"/>
              </w:rPr>
              <w:t xml:space="preserve">Termasuk dalam Ruang Lingkup</w:t>
            </w:r>
          </w:p>
        </w:tc>
        <w:tc>
          <w:tcPr>
            <w:tcW w:type="dxa" w:w="3700"/>
            <w:shd w:fill="7A1F3D" w:val="clear"/>
            <w:tcMar>
              <w:top w:type="dxa" w:w="100"/>
              <w:left w:type="dxa" w:w="120"/>
              <w:bottom w:type="dxa" w:w="100"/>
              <w:right w:type="dxa" w:w="120"/>
            </w:tcMar>
            <w:vAlign w:val="center"/>
          </w:tcPr>
          <w:p>
            <w:r>
              <w:rPr>
                <w:b/>
                <w:bCs/>
                <w:color w:val="FFFFFF"/>
                <w:sz w:val="19"/>
                <w:szCs w:val="19"/>
              </w:rPr>
              <w:t xml:space="preserve">Tidak Termasuk (Merujuk Dokumen Lain)</w:t>
            </w:r>
          </w:p>
        </w:tc>
      </w:tr>
      <w:tr>
        <w:tc>
          <w:tcPr>
            <w:tcW w:type="dxa" w:w="1600"/>
            <w:shd w:fill="FFFFFF" w:val="clear"/>
            <w:tcMar>
              <w:top w:type="dxa" w:w="90"/>
              <w:left w:type="dxa" w:w="120"/>
              <w:bottom w:type="dxa" w:w="90"/>
              <w:right w:type="dxa" w:w="120"/>
            </w:tcMar>
          </w:tcPr>
          <w:p>
            <w:pPr>
              <w:spacing w:line="258"/>
            </w:pPr>
            <w:r>
              <w:rPr>
                <w:sz w:val="19"/>
                <w:szCs w:val="19"/>
              </w:rPr>
              <w:t xml:space="preserve">Jenis dokumen</w:t>
            </w:r>
          </w:p>
        </w:tc>
        <w:tc>
          <w:tcPr>
            <w:tcW w:type="dxa" w:w="3800"/>
            <w:shd w:fill="FFFFFF" w:val="clear"/>
            <w:tcMar>
              <w:top w:type="dxa" w:w="90"/>
              <w:left w:type="dxa" w:w="120"/>
              <w:bottom w:type="dxa" w:w="90"/>
              <w:right w:type="dxa" w:w="120"/>
            </w:tcMar>
          </w:tcPr>
          <w:p>
            <w:pPr>
              <w:spacing w:line="258"/>
            </w:pPr>
            <w:r>
              <w:rPr>
                <w:sz w:val="19"/>
                <w:szCs w:val="19"/>
              </w:rPr>
              <w:t xml:space="preserve">Pedoman/Juknis program dan populasi</w:t>
            </w:r>
          </w:p>
        </w:tc>
        <w:tc>
          <w:tcPr>
            <w:tcW w:type="dxa" w:w="3700"/>
            <w:shd w:fill="FFFFFF" w:val="clear"/>
            <w:tcMar>
              <w:top w:type="dxa" w:w="90"/>
              <w:left w:type="dxa" w:w="120"/>
              <w:bottom w:type="dxa" w:w="90"/>
              <w:right w:type="dxa" w:w="120"/>
            </w:tcMar>
          </w:tcPr>
          <w:p>
            <w:pPr>
              <w:spacing w:line="258"/>
            </w:pPr>
            <w:r>
              <w:rPr>
                <w:sz w:val="19"/>
                <w:szCs w:val="19"/>
              </w:rPr>
              <w:t xml:space="preserve">Panduan Praktik Klinis (PPK) individual pasien</w:t>
            </w:r>
          </w:p>
        </w:tc>
      </w:tr>
      <w:tr>
        <w:tc>
          <w:tcPr>
            <w:tcW w:type="dxa" w:w="1600"/>
            <w:shd w:fill="FBF0F3" w:val="clear"/>
            <w:tcMar>
              <w:top w:type="dxa" w:w="90"/>
              <w:left w:type="dxa" w:w="120"/>
              <w:bottom w:type="dxa" w:w="90"/>
              <w:right w:type="dxa" w:w="120"/>
            </w:tcMar>
          </w:tcPr>
          <w:p>
            <w:pPr>
              <w:spacing w:line="258"/>
            </w:pPr>
            <w:r>
              <w:rPr>
                <w:sz w:val="19"/>
                <w:szCs w:val="19"/>
              </w:rPr>
              <w:t xml:space="preserve">Sasaran</w:t>
            </w:r>
          </w:p>
        </w:tc>
        <w:tc>
          <w:tcPr>
            <w:tcW w:type="dxa" w:w="3800"/>
            <w:shd w:fill="FBF0F3" w:val="clear"/>
            <w:tcMar>
              <w:top w:type="dxa" w:w="90"/>
              <w:left w:type="dxa" w:w="120"/>
              <w:bottom w:type="dxa" w:w="90"/>
              <w:right w:type="dxa" w:w="120"/>
            </w:tcMar>
          </w:tcPr>
          <w:p>
            <w:pPr>
              <w:spacing w:line="258"/>
            </w:pPr>
            <w:r>
              <w:rPr>
                <w:sz w:val="19"/>
                <w:szCs w:val="19"/>
              </w:rPr>
              <w:t xml:space="preserve">Kader, Puskesmas, Dinkes, lintas sektor</w:t>
            </w:r>
          </w:p>
        </w:tc>
        <w:tc>
          <w:tcPr>
            <w:tcW w:type="dxa" w:w="3700"/>
            <w:shd w:fill="FBF0F3" w:val="clear"/>
            <w:tcMar>
              <w:top w:type="dxa" w:w="90"/>
              <w:left w:type="dxa" w:w="120"/>
              <w:bottom w:type="dxa" w:w="90"/>
              <w:right w:type="dxa" w:w="120"/>
            </w:tcMar>
          </w:tcPr>
          <w:p>
            <w:pPr>
              <w:spacing w:line="258"/>
            </w:pPr>
            <w:r>
              <w:rPr>
                <w:sz w:val="19"/>
                <w:szCs w:val="19"/>
              </w:rPr>
              <w:t xml:space="preserve">Tata laksana medis rinci per kasus di ruang periksa</w:t>
            </w:r>
          </w:p>
        </w:tc>
      </w:tr>
      <w:tr>
        <w:tc>
          <w:tcPr>
            <w:tcW w:type="dxa" w:w="1600"/>
            <w:shd w:fill="FFFFFF" w:val="clear"/>
            <w:tcMar>
              <w:top w:type="dxa" w:w="90"/>
              <w:left w:type="dxa" w:w="120"/>
              <w:bottom w:type="dxa" w:w="90"/>
              <w:right w:type="dxa" w:w="120"/>
            </w:tcMar>
          </w:tcPr>
          <w:p>
            <w:pPr>
              <w:spacing w:line="258"/>
            </w:pPr>
            <w:r>
              <w:rPr>
                <w:sz w:val="19"/>
                <w:szCs w:val="19"/>
              </w:rPr>
              <w:t xml:space="preserve">Aktivitas</w:t>
            </w:r>
          </w:p>
        </w:tc>
        <w:tc>
          <w:tcPr>
            <w:tcW w:type="dxa" w:w="3800"/>
            <w:shd w:fill="FFFFFF" w:val="clear"/>
            <w:tcMar>
              <w:top w:type="dxa" w:w="90"/>
              <w:left w:type="dxa" w:w="120"/>
              <w:bottom w:type="dxa" w:w="90"/>
              <w:right w:type="dxa" w:w="120"/>
            </w:tcMar>
          </w:tcPr>
          <w:p>
            <w:pPr>
              <w:spacing w:line="258"/>
            </w:pPr>
            <w:r>
              <w:rPr>
                <w:sz w:val="19"/>
                <w:szCs w:val="19"/>
              </w:rPr>
              <w:t xml:space="preserve">Perencanaan, edukasi masyarakat, rujukan komunitas, monev program</w:t>
            </w:r>
          </w:p>
        </w:tc>
        <w:tc>
          <w:tcPr>
            <w:tcW w:type="dxa" w:w="3700"/>
            <w:shd w:fill="FFFFFF" w:val="clear"/>
            <w:tcMar>
              <w:top w:type="dxa" w:w="90"/>
              <w:left w:type="dxa" w:w="120"/>
              <w:bottom w:type="dxa" w:w="90"/>
              <w:right w:type="dxa" w:w="120"/>
            </w:tcMar>
          </w:tcPr>
          <w:p>
            <w:pPr>
              <w:spacing w:line="258"/>
            </w:pPr>
            <w:r>
              <w:rPr>
                <w:sz w:val="19"/>
                <w:szCs w:val="19"/>
              </w:rPr>
              <w:t xml:space="preserve">Prosedur klinis/tindakan medis spesifik</w:t>
            </w:r>
          </w:p>
        </w:tc>
      </w:tr>
      <w:tr>
        <w:tc>
          <w:tcPr>
            <w:tcW w:type="dxa" w:w="1600"/>
            <w:shd w:fill="FBF0F3" w:val="clear"/>
            <w:tcMar>
              <w:top w:type="dxa" w:w="90"/>
              <w:left w:type="dxa" w:w="120"/>
              <w:bottom w:type="dxa" w:w="90"/>
              <w:right w:type="dxa" w:w="120"/>
            </w:tcMar>
          </w:tcPr>
          <w:p>
            <w:pPr>
              <w:spacing w:line="258"/>
            </w:pPr>
            <w:r>
              <w:rPr>
                <w:sz w:val="19"/>
                <w:szCs w:val="19"/>
              </w:rPr>
              <w:t xml:space="preserve">Cakupan wilayah</w:t>
            </w:r>
          </w:p>
        </w:tc>
        <w:tc>
          <w:tcPr>
            <w:tcW w:type="dxa" w:w="3800"/>
            <w:shd w:fill="FBF0F3" w:val="clear"/>
            <w:tcMar>
              <w:top w:type="dxa" w:w="90"/>
              <w:left w:type="dxa" w:w="120"/>
              <w:bottom w:type="dxa" w:w="90"/>
              <w:right w:type="dxa" w:w="120"/>
            </w:tcMar>
          </w:tcPr>
          <w:p>
            <w:pPr>
              <w:spacing w:line="258"/>
            </w:pPr>
            <w:r>
              <w:rPr>
                <w:sz w:val="19"/>
                <w:szCs w:val="19"/>
              </w:rPr>
              <w:t xml:space="preserve">Tingkat keluarga, masyarakat, dan Puskesmas</w:t>
            </w:r>
          </w:p>
        </w:tc>
        <w:tc>
          <w:tcPr>
            <w:tcW w:type="dxa" w:w="3700"/>
            <w:shd w:fill="FBF0F3" w:val="clear"/>
            <w:tcMar>
              <w:top w:type="dxa" w:w="90"/>
              <w:left w:type="dxa" w:w="120"/>
              <w:bottom w:type="dxa" w:w="90"/>
              <w:right w:type="dxa" w:w="120"/>
            </w:tcMar>
          </w:tcPr>
          <w:p>
            <w:pPr>
              <w:spacing w:line="258"/>
            </w:pPr>
            <w:r>
              <w:rPr>
                <w:sz w:val="19"/>
                <w:szCs w:val="19"/>
              </w:rPr>
              <w:t xml:space="preserve">Tata laksana rumah sakit rujukan tersier</w:t>
            </w:r>
          </w:p>
        </w:tc>
      </w:tr>
      <w:tr>
        <w:tc>
          <w:tcPr>
            <w:tcW w:type="dxa" w:w="1600"/>
            <w:shd w:fill="FFFFFF" w:val="clear"/>
            <w:tcMar>
              <w:top w:type="dxa" w:w="90"/>
              <w:left w:type="dxa" w:w="120"/>
              <w:bottom w:type="dxa" w:w="90"/>
              <w:right w:type="dxa" w:w="120"/>
            </w:tcMar>
          </w:tcPr>
          <w:p>
            <w:pPr>
              <w:spacing w:line="258"/>
            </w:pPr>
            <w:r>
              <w:rPr>
                <w:sz w:val="19"/>
                <w:szCs w:val="19"/>
              </w:rPr>
              <w:t xml:space="preserve">Substansi kesehatan reproduksi</w:t>
            </w:r>
          </w:p>
        </w:tc>
        <w:tc>
          <w:tcPr>
            <w:tcW w:type="dxa" w:w="3800"/>
            <w:shd w:fill="FFFFFF" w:val="clear"/>
            <w:tcMar>
              <w:top w:type="dxa" w:w="90"/>
              <w:left w:type="dxa" w:w="120"/>
              <w:bottom w:type="dxa" w:w="90"/>
              <w:right w:type="dxa" w:w="120"/>
            </w:tcMar>
          </w:tcPr>
          <w:p>
            <w:pPr>
              <w:spacing w:line="258"/>
            </w:pPr>
            <w:r>
              <w:rPr>
                <w:sz w:val="19"/>
                <w:szCs w:val="19"/>
              </w:rPr>
              <w:t xml:space="preserve">Mengikuti ruang lingkup PP No. 61 Tahun 2014: KIA, KB, IMS/HIV, kesehatan reproduksi remaja dan lanjut usia, deteksi dini kanker saluran reproduksi, kekerasan seksual</w:t>
            </w:r>
          </w:p>
        </w:tc>
        <w:tc>
          <w:tcPr>
            <w:tcW w:type="dxa" w:w="3700"/>
            <w:shd w:fill="FFFFFF" w:val="clear"/>
            <w:tcMar>
              <w:top w:type="dxa" w:w="90"/>
              <w:left w:type="dxa" w:w="120"/>
              <w:bottom w:type="dxa" w:w="90"/>
              <w:right w:type="dxa" w:w="120"/>
            </w:tcMar>
          </w:tcPr>
          <w:p>
            <w:pPr>
              <w:spacing w:line="258"/>
            </w:pPr>
            <w:r>
              <w:rPr>
                <w:sz w:val="19"/>
                <w:szCs w:val="19"/>
              </w:rPr>
              <w:t xml:space="preserve">Tata laksana klinis definitif kasus kompleks (rujukan RS)</w:t>
            </w:r>
          </w:p>
        </w:tc>
      </w:tr>
    </w:tbl>
    <w:p>
      <w:pPr>
        <w:spacing w:before="160"/>
      </w:pPr>
    </w:p>
    <w:p>
      <w:pPr>
        <w:pStyle w:val="Heading1"/>
        <w:shd w:fill="7A1F3D" w:color="auto" w:val="clear"/>
        <w:spacing w:after="160" w:before="320"/>
        <w:ind w:left="100" w:right="100"/>
      </w:pPr>
      <w:r>
        <w:rPr>
          <w:b/>
          <w:bCs/>
          <w:color w:val="FFFFFF"/>
          <w:sz w:val="30"/>
          <w:szCs w:val="30"/>
        </w:rPr>
        <w:t xml:space="preserve">5. DEFINISI OPERASIONAL</w:t>
      </w:r>
    </w:p>
    <w:tbl>
      <w:tblPr>
        <w:tblW w:type="dxa" w:w="9100"/>
        <w:tblBorders>
          <w:top w:val="single" w:color="auto" w:sz="4"/>
          <w:left w:val="single" w:color="auto" w:sz="4"/>
          <w:bottom w:val="single" w:color="auto" w:sz="4"/>
          <w:right w:val="single" w:color="auto" w:sz="4"/>
          <w:insideH w:val="single" w:color="auto" w:sz="4"/>
          <w:insideV w:val="single" w:color="auto" w:sz="4"/>
        </w:tblBorders>
      </w:tblPr>
      <w:tblGrid>
        <w:gridCol w:w="3000"/>
        <w:gridCol w:w="6100"/>
      </w:tblGrid>
      <w:tr>
        <w:trPr>
          <w:tblHeader/>
        </w:trPr>
        <w:tc>
          <w:tcPr>
            <w:tcW w:type="dxa" w:w="3000"/>
            <w:shd w:fill="7A1F3D" w:val="clear"/>
            <w:tcMar>
              <w:top w:type="dxa" w:w="100"/>
              <w:left w:type="dxa" w:w="120"/>
              <w:bottom w:type="dxa" w:w="100"/>
              <w:right w:type="dxa" w:w="120"/>
            </w:tcMar>
            <w:vAlign w:val="center"/>
          </w:tcPr>
          <w:p>
            <w:r>
              <w:rPr>
                <w:b/>
                <w:bCs/>
                <w:color w:val="FFFFFF"/>
                <w:sz w:val="19"/>
                <w:szCs w:val="19"/>
              </w:rPr>
              <w:t xml:space="preserve">Istilah</w:t>
            </w:r>
          </w:p>
        </w:tc>
        <w:tc>
          <w:tcPr>
            <w:tcW w:type="dxa" w:w="6100"/>
            <w:shd w:fill="7A1F3D" w:val="clear"/>
            <w:tcMar>
              <w:top w:type="dxa" w:w="100"/>
              <w:left w:type="dxa" w:w="120"/>
              <w:bottom w:type="dxa" w:w="100"/>
              <w:right w:type="dxa" w:w="120"/>
            </w:tcMar>
            <w:vAlign w:val="center"/>
          </w:tcPr>
          <w:p>
            <w:r>
              <w:rPr>
                <w:b/>
                <w:bCs/>
                <w:color w:val="FFFFFF"/>
                <w:sz w:val="19"/>
                <w:szCs w:val="19"/>
              </w:rPr>
              <w:t xml:space="preserve">Definisi Operasional (Bahasa Awam)</w:t>
            </w:r>
          </w:p>
        </w:tc>
      </w:tr>
      <w:tr>
        <w:tc>
          <w:tcPr>
            <w:tcW w:type="dxa" w:w="3000"/>
            <w:shd w:fill="FFFFFF" w:val="clear"/>
            <w:tcMar>
              <w:top w:type="dxa" w:w="90"/>
              <w:left w:type="dxa" w:w="120"/>
              <w:bottom w:type="dxa" w:w="90"/>
              <w:right w:type="dxa" w:w="120"/>
            </w:tcMar>
          </w:tcPr>
          <w:p>
            <w:pPr>
              <w:spacing w:line="258"/>
            </w:pPr>
            <w:r>
              <w:rPr>
                <w:sz w:val="19"/>
                <w:szCs w:val="19"/>
              </w:rPr>
              <w:t xml:space="preserve">Kesehatan Reproduksi Berbasis Masyarakat</w:t>
            </w:r>
          </w:p>
        </w:tc>
        <w:tc>
          <w:tcPr>
            <w:tcW w:type="dxa" w:w="6100"/>
            <w:shd w:fill="FFFFFF" w:val="clear"/>
            <w:tcMar>
              <w:top w:type="dxa" w:w="90"/>
              <w:left w:type="dxa" w:w="120"/>
              <w:bottom w:type="dxa" w:w="90"/>
              <w:right w:type="dxa" w:w="120"/>
            </w:tcMar>
          </w:tcPr>
          <w:p>
            <w:pPr>
              <w:spacing w:line="258"/>
            </w:pPr>
            <w:r>
              <w:rPr>
                <w:sz w:val="19"/>
                <w:szCs w:val="19"/>
              </w:rPr>
              <w:t xml:space="preserve">Rangkaian kegiatan promotif dan preventif kesehatan reproduksi yang dilaksanakan langsung di tingkat keluarga dan masyarakat, digerakkan oleh kader dengan dukungan teknis Puskesmas.</w:t>
            </w:r>
          </w:p>
        </w:tc>
      </w:tr>
      <w:tr>
        <w:tc>
          <w:tcPr>
            <w:tcW w:type="dxa" w:w="3000"/>
            <w:shd w:fill="FBF0F3" w:val="clear"/>
            <w:tcMar>
              <w:top w:type="dxa" w:w="90"/>
              <w:left w:type="dxa" w:w="120"/>
              <w:bottom w:type="dxa" w:w="90"/>
              <w:right w:type="dxa" w:w="120"/>
            </w:tcMar>
          </w:tcPr>
          <w:p>
            <w:pPr>
              <w:spacing w:line="258"/>
            </w:pPr>
            <w:r>
              <w:rPr>
                <w:sz w:val="19"/>
                <w:szCs w:val="19"/>
              </w:rPr>
              <w:t xml:space="preserve">Kader Kesehatan (Community Health Worker)</w:t>
            </w:r>
          </w:p>
        </w:tc>
        <w:tc>
          <w:tcPr>
            <w:tcW w:type="dxa" w:w="6100"/>
            <w:shd w:fill="FBF0F3" w:val="clear"/>
            <w:tcMar>
              <w:top w:type="dxa" w:w="90"/>
              <w:left w:type="dxa" w:w="120"/>
              <w:bottom w:type="dxa" w:w="90"/>
              <w:right w:type="dxa" w:w="120"/>
            </w:tcMar>
          </w:tcPr>
          <w:p>
            <w:pPr>
              <w:spacing w:line="258"/>
            </w:pPr>
            <w:r>
              <w:rPr>
                <w:sz w:val="19"/>
                <w:szCs w:val="19"/>
              </w:rPr>
              <w:t xml:space="preserve">Anggota masyarakat terlatih yang membantu penyuluhan, deteksi dini, dan pendampingan rujukan kasus kesehatan reproduksi di wilayahnya. Pengelolaannya mengikuti domain rekomendasi WHO (2018): seleksi, pendidikan pra-tugas, sertifikasi, supervisi, dan jenjang karier.</w:t>
            </w:r>
          </w:p>
        </w:tc>
      </w:tr>
      <w:tr>
        <w:tc>
          <w:tcPr>
            <w:tcW w:type="dxa" w:w="3000"/>
            <w:shd w:fill="FFFFFF" w:val="clear"/>
            <w:tcMar>
              <w:top w:type="dxa" w:w="90"/>
              <w:left w:type="dxa" w:w="120"/>
              <w:bottom w:type="dxa" w:w="90"/>
              <w:right w:type="dxa" w:w="120"/>
            </w:tcMar>
          </w:tcPr>
          <w:p>
            <w:pPr>
              <w:spacing w:line="258"/>
            </w:pPr>
            <w:r>
              <w:rPr>
                <w:sz w:val="19"/>
                <w:szCs w:val="19"/>
              </w:rPr>
              <w:t xml:space="preserve">Obginsos (Obstetri Ginekologi Sosial)</w:t>
            </w:r>
          </w:p>
        </w:tc>
        <w:tc>
          <w:tcPr>
            <w:tcW w:type="dxa" w:w="6100"/>
            <w:shd w:fill="FFFFFF" w:val="clear"/>
            <w:tcMar>
              <w:top w:type="dxa" w:w="90"/>
              <w:left w:type="dxa" w:w="120"/>
              <w:bottom w:type="dxa" w:w="90"/>
              <w:right w:type="dxa" w:w="120"/>
            </w:tcMar>
          </w:tcPr>
          <w:p>
            <w:pPr>
              <w:spacing w:line="258"/>
            </w:pPr>
            <w:r>
              <w:rPr>
                <w:sz w:val="19"/>
                <w:szCs w:val="19"/>
              </w:rPr>
              <w:t xml:space="preserve">Subspesialisasi kedokteran yang menggabungkan kompetensi klinis obstetri-ginekologi dengan kesehatan masyarakat, psikologi, hukum, dan kebijakan publik. Menurut Keputusan Konsil Kesehatan Indonesia No. HK.01.02/KKI/1318/2026, populasi fokusnya adalah populasi rentan, remaja, korban kekerasan, atau kehamilan risiko sosial-ekonomi tinggi.</w:t>
            </w:r>
          </w:p>
        </w:tc>
      </w:tr>
      <w:tr>
        <w:tc>
          <w:tcPr>
            <w:tcW w:type="dxa" w:w="3000"/>
            <w:shd w:fill="FBF0F3" w:val="clear"/>
            <w:tcMar>
              <w:top w:type="dxa" w:w="90"/>
              <w:left w:type="dxa" w:w="120"/>
              <w:bottom w:type="dxa" w:w="90"/>
              <w:right w:type="dxa" w:w="120"/>
            </w:tcMar>
          </w:tcPr>
          <w:p>
            <w:pPr>
              <w:spacing w:line="258"/>
            </w:pPr>
            <w:r>
              <w:rPr>
                <w:sz w:val="19"/>
                <w:szCs w:val="19"/>
              </w:rPr>
              <w:t xml:space="preserve">Rujukan Komunitas</w:t>
            </w:r>
          </w:p>
        </w:tc>
        <w:tc>
          <w:tcPr>
            <w:tcW w:type="dxa" w:w="6100"/>
            <w:shd w:fill="FBF0F3" w:val="clear"/>
            <w:tcMar>
              <w:top w:type="dxa" w:w="90"/>
              <w:left w:type="dxa" w:w="120"/>
              <w:bottom w:type="dxa" w:w="90"/>
              <w:right w:type="dxa" w:w="120"/>
            </w:tcMar>
          </w:tcPr>
          <w:p>
            <w:pPr>
              <w:spacing w:line="258"/>
            </w:pPr>
            <w:r>
              <w:rPr>
                <w:sz w:val="19"/>
                <w:szCs w:val="19"/>
              </w:rPr>
              <w:t xml:space="preserve">Proses pengiriman kasus dari tingkat keluarga/masyarakat ke Puskesmas atau fasilitas kesehatan lanjutan berdasarkan alur dan kriteria yang disepakati.</w:t>
            </w:r>
          </w:p>
        </w:tc>
      </w:tr>
      <w:tr>
        <w:tc>
          <w:tcPr>
            <w:tcW w:type="dxa" w:w="3000"/>
            <w:shd w:fill="FFFFFF" w:val="clear"/>
            <w:tcMar>
              <w:top w:type="dxa" w:w="90"/>
              <w:left w:type="dxa" w:w="120"/>
              <w:bottom w:type="dxa" w:w="90"/>
              <w:right w:type="dxa" w:w="120"/>
            </w:tcMar>
          </w:tcPr>
          <w:p>
            <w:pPr>
              <w:spacing w:line="258"/>
            </w:pPr>
            <w:r>
              <w:rPr>
                <w:sz w:val="19"/>
                <w:szCs w:val="19"/>
              </w:rPr>
              <w:t xml:space="preserve">Logic Model Program</w:t>
            </w:r>
          </w:p>
        </w:tc>
        <w:tc>
          <w:tcPr>
            <w:tcW w:type="dxa" w:w="6100"/>
            <w:shd w:fill="FFFFFF" w:val="clear"/>
            <w:tcMar>
              <w:top w:type="dxa" w:w="90"/>
              <w:left w:type="dxa" w:w="120"/>
              <w:bottom w:type="dxa" w:w="90"/>
              <w:right w:type="dxa" w:w="120"/>
            </w:tcMar>
          </w:tcPr>
          <w:p>
            <w:pPr>
              <w:spacing w:line="258"/>
            </w:pPr>
            <w:r>
              <w:rPr>
                <w:sz w:val="19"/>
                <w:szCs w:val="19"/>
              </w:rPr>
              <w:t xml:space="preserve">Kerangka berpikir yang menghubungkan input, proses, output, dan outcome suatu program secara logis dan terukur.</w:t>
            </w:r>
          </w:p>
        </w:tc>
      </w:tr>
      <w:tr>
        <w:tc>
          <w:tcPr>
            <w:tcW w:type="dxa" w:w="3000"/>
            <w:shd w:fill="FBF0F3" w:val="clear"/>
            <w:tcMar>
              <w:top w:type="dxa" w:w="90"/>
              <w:left w:type="dxa" w:w="120"/>
              <w:bottom w:type="dxa" w:w="90"/>
              <w:right w:type="dxa" w:w="120"/>
            </w:tcMar>
          </w:tcPr>
          <w:p>
            <w:pPr>
              <w:spacing w:line="258"/>
            </w:pPr>
            <w:r>
              <w:rPr>
                <w:sz w:val="19"/>
                <w:szCs w:val="19"/>
              </w:rPr>
              <w:t xml:space="preserve">Lintas Sektor</w:t>
            </w:r>
          </w:p>
        </w:tc>
        <w:tc>
          <w:tcPr>
            <w:tcW w:type="dxa" w:w="6100"/>
            <w:shd w:fill="FBF0F3" w:val="clear"/>
            <w:tcMar>
              <w:top w:type="dxa" w:w="90"/>
              <w:left w:type="dxa" w:w="120"/>
              <w:bottom w:type="dxa" w:w="90"/>
              <w:right w:type="dxa" w:w="120"/>
            </w:tcMar>
          </w:tcPr>
          <w:p>
            <w:pPr>
              <w:spacing w:line="258"/>
            </w:pPr>
            <w:r>
              <w:rPr>
                <w:sz w:val="19"/>
                <w:szCs w:val="19"/>
              </w:rPr>
              <w:t xml:space="preserve">Instansi di luar sektor kesehatan (pendidikan, sosial, agama, penegak hukum, dan lainnya) yang berperan dalam mendukung keberhasilan program kesehatan reproduksi.</w:t>
            </w:r>
          </w:p>
        </w:tc>
      </w:tr>
    </w:tbl>
    <w:p>
      <w:pPr>
        <w:spacing w:before="160"/>
      </w:pPr>
    </w:p>
    <w:p>
      <w:pPr>
        <w:pStyle w:val="Heading1"/>
        <w:shd w:fill="7A1F3D" w:color="auto" w:val="clear"/>
        <w:spacing w:after="160" w:before="320"/>
        <w:ind w:left="100" w:right="100"/>
      </w:pPr>
      <w:r>
        <w:rPr>
          <w:b/>
          <w:bCs/>
          <w:color w:val="FFFFFF"/>
          <w:sz w:val="30"/>
          <w:szCs w:val="30"/>
        </w:rPr>
        <w:t xml:space="preserve">6. STRATEGI DAN LANGKAH PELAKSANAAN</w:t>
      </w:r>
    </w:p>
    <w:p>
      <w:pPr>
        <w:pStyle w:val="Heading2"/>
        <w:spacing w:after="120" w:before="240"/>
      </w:pPr>
      <w:r>
        <w:rPr>
          <w:b/>
          <w:bCs/>
          <w:color w:val="7A1F3D"/>
          <w:sz w:val="24"/>
          <w:szCs w:val="24"/>
        </w:rPr>
        <w:t xml:space="preserve">6.1 Alur Umum Pelaksanaan Program</w:t>
      </w:r>
    </w:p>
    <w:tbl>
      <w:tblPr>
        <w:tblW w:type="dxa" w:w="12500"/>
        <w:tblBorders>
          <w:top w:val="single" w:color="auto" w:sz="4"/>
          <w:left w:val="single" w:color="auto" w:sz="4"/>
          <w:bottom w:val="single" w:color="auto" w:sz="4"/>
          <w:right w:val="single" w:color="auto" w:sz="4"/>
          <w:insideH w:val="single" w:color="auto" w:sz="4"/>
          <w:insideV w:val="single" w:color="auto" w:sz="4"/>
        </w:tblBorders>
      </w:tblPr>
      <w:tblGrid>
        <w:gridCol w:w="1750"/>
        <w:gridCol w:w="400"/>
        <w:gridCol w:w="1750"/>
        <w:gridCol w:w="400"/>
        <w:gridCol w:w="1750"/>
        <w:gridCol w:w="400"/>
        <w:gridCol w:w="1750"/>
        <w:gridCol w:w="400"/>
        <w:gridCol w:w="1750"/>
        <w:gridCol w:w="400"/>
        <w:gridCol w:w="1750"/>
      </w:tblGrid>
      <w:tr>
        <w:tc>
          <w:tcPr>
            <w:tcW w:type="dxa" w:w="1750"/>
            <w:tcBorders>
              <w:top w:val="single" w:color="7A1F3D" w:sz="2"/>
              <w:left w:val="single" w:color="7A1F3D" w:sz="2"/>
              <w:bottom w:val="single" w:color="7A1F3D" w:sz="2"/>
              <w:right w:val="single" w:color="7A1F3D" w:sz="2"/>
            </w:tcBorders>
            <w:shd w:fill="7A1F3D" w:val="clear"/>
            <w:tcMar>
              <w:top w:type="dxa" w:w="120"/>
              <w:left w:type="dxa" w:w="90"/>
              <w:bottom w:type="dxa" w:w="120"/>
              <w:right w:type="dxa" w:w="90"/>
            </w:tcMar>
            <w:vAlign w:val="center"/>
          </w:tcPr>
          <w:p>
            <w:pPr>
              <w:jc w:val="center"/>
            </w:pPr>
            <w:r>
              <w:rPr>
                <w:b/>
                <w:bCs/>
                <w:color w:val="FFFFFF"/>
                <w:sz w:val="17"/>
                <w:szCs w:val="17"/>
              </w:rPr>
              <w:t xml:space="preserve">Analisis Situasi</w:t>
            </w:r>
          </w:p>
        </w:tc>
        <w:tc>
          <w:tcPr>
            <w:tcW w:type="dxa" w:w="400"/>
            <w:tcBorders>
              <w:top w:val="none"/>
              <w:left w:val="none"/>
              <w:bottom w:val="none"/>
              <w:right w:val="none"/>
            </w:tcBorders>
            <w:vAlign w:val="center"/>
          </w:tcPr>
          <w:p>
            <w:pPr>
              <w:jc w:val="center"/>
            </w:pPr>
            <w:r>
              <w:rPr>
                <w:b/>
                <w:bCs/>
                <w:color w:val="7A1F3D"/>
                <w:sz w:val="26"/>
                <w:szCs w:val="26"/>
              </w:rPr>
              <w:t xml:space="preserve">→</w:t>
            </w:r>
          </w:p>
        </w:tc>
        <w:tc>
          <w:tcPr>
            <w:tcW w:type="dxa" w:w="1750"/>
            <w:tcBorders>
              <w:top w:val="single" w:color="7A1F3D" w:sz="2"/>
              <w:left w:val="single" w:color="7A1F3D" w:sz="2"/>
              <w:bottom w:val="single" w:color="7A1F3D" w:sz="2"/>
              <w:right w:val="single" w:color="7A1F3D" w:sz="2"/>
            </w:tcBorders>
            <w:shd w:fill="9E3A5C" w:val="clear"/>
            <w:tcMar>
              <w:top w:type="dxa" w:w="120"/>
              <w:left w:type="dxa" w:w="90"/>
              <w:bottom w:type="dxa" w:w="120"/>
              <w:right w:type="dxa" w:w="90"/>
            </w:tcMar>
            <w:vAlign w:val="center"/>
          </w:tcPr>
          <w:p>
            <w:pPr>
              <w:jc w:val="center"/>
            </w:pPr>
            <w:r>
              <w:rPr>
                <w:b/>
                <w:bCs/>
                <w:color w:val="FFFFFF"/>
                <w:sz w:val="17"/>
                <w:szCs w:val="17"/>
              </w:rPr>
              <w:t xml:space="preserve">Perencanaan Program</w:t>
            </w:r>
          </w:p>
        </w:tc>
        <w:tc>
          <w:tcPr>
            <w:tcW w:type="dxa" w:w="400"/>
            <w:tcBorders>
              <w:top w:val="none"/>
              <w:left w:val="none"/>
              <w:bottom w:val="none"/>
              <w:right w:val="none"/>
            </w:tcBorders>
            <w:vAlign w:val="center"/>
          </w:tcPr>
          <w:p>
            <w:pPr>
              <w:jc w:val="center"/>
            </w:pPr>
            <w:r>
              <w:rPr>
                <w:b/>
                <w:bCs/>
                <w:color w:val="7A1F3D"/>
                <w:sz w:val="26"/>
                <w:szCs w:val="26"/>
              </w:rPr>
              <w:t xml:space="preserve">→</w:t>
            </w:r>
          </w:p>
        </w:tc>
        <w:tc>
          <w:tcPr>
            <w:tcW w:type="dxa" w:w="1750"/>
            <w:tcBorders>
              <w:top w:val="single" w:color="7A1F3D" w:sz="2"/>
              <w:left w:val="single" w:color="7A1F3D" w:sz="2"/>
              <w:bottom w:val="single" w:color="7A1F3D" w:sz="2"/>
              <w:right w:val="single" w:color="7A1F3D" w:sz="2"/>
            </w:tcBorders>
            <w:shd w:fill="7A1F3D" w:val="clear"/>
            <w:tcMar>
              <w:top w:type="dxa" w:w="120"/>
              <w:left w:type="dxa" w:w="90"/>
              <w:bottom w:type="dxa" w:w="120"/>
              <w:right w:type="dxa" w:w="90"/>
            </w:tcMar>
            <w:vAlign w:val="center"/>
          </w:tcPr>
          <w:p>
            <w:pPr>
              <w:jc w:val="center"/>
            </w:pPr>
            <w:r>
              <w:rPr>
                <w:b/>
                <w:bCs/>
                <w:color w:val="FFFFFF"/>
                <w:sz w:val="17"/>
                <w:szCs w:val="17"/>
              </w:rPr>
              <w:t xml:space="preserve">Penguatan Kader</w:t>
            </w:r>
          </w:p>
        </w:tc>
        <w:tc>
          <w:tcPr>
            <w:tcW w:type="dxa" w:w="400"/>
            <w:tcBorders>
              <w:top w:val="none"/>
              <w:left w:val="none"/>
              <w:bottom w:val="none"/>
              <w:right w:val="none"/>
            </w:tcBorders>
            <w:vAlign w:val="center"/>
          </w:tcPr>
          <w:p>
            <w:pPr>
              <w:jc w:val="center"/>
            </w:pPr>
            <w:r>
              <w:rPr>
                <w:b/>
                <w:bCs/>
                <w:color w:val="7A1F3D"/>
                <w:sz w:val="26"/>
                <w:szCs w:val="26"/>
              </w:rPr>
              <w:t xml:space="preserve">→</w:t>
            </w:r>
          </w:p>
        </w:tc>
        <w:tc>
          <w:tcPr>
            <w:tcW w:type="dxa" w:w="1750"/>
            <w:tcBorders>
              <w:top w:val="single" w:color="7A1F3D" w:sz="2"/>
              <w:left w:val="single" w:color="7A1F3D" w:sz="2"/>
              <w:bottom w:val="single" w:color="7A1F3D" w:sz="2"/>
              <w:right w:val="single" w:color="7A1F3D" w:sz="2"/>
            </w:tcBorders>
            <w:shd w:fill="9E3A5C" w:val="clear"/>
            <w:tcMar>
              <w:top w:type="dxa" w:w="120"/>
              <w:left w:type="dxa" w:w="90"/>
              <w:bottom w:type="dxa" w:w="120"/>
              <w:right w:type="dxa" w:w="90"/>
            </w:tcMar>
            <w:vAlign w:val="center"/>
          </w:tcPr>
          <w:p>
            <w:pPr>
              <w:jc w:val="center"/>
            </w:pPr>
            <w:r>
              <w:rPr>
                <w:b/>
                <w:bCs/>
                <w:color w:val="FFFFFF"/>
                <w:sz w:val="17"/>
                <w:szCs w:val="17"/>
              </w:rPr>
              <w:t xml:space="preserve">Edukasi Masyarakat</w:t>
            </w:r>
          </w:p>
        </w:tc>
        <w:tc>
          <w:tcPr>
            <w:tcW w:type="dxa" w:w="400"/>
            <w:tcBorders>
              <w:top w:val="none"/>
              <w:left w:val="none"/>
              <w:bottom w:val="none"/>
              <w:right w:val="none"/>
            </w:tcBorders>
            <w:vAlign w:val="center"/>
          </w:tcPr>
          <w:p>
            <w:pPr>
              <w:jc w:val="center"/>
            </w:pPr>
            <w:r>
              <w:rPr>
                <w:b/>
                <w:bCs/>
                <w:color w:val="7A1F3D"/>
                <w:sz w:val="26"/>
                <w:szCs w:val="26"/>
              </w:rPr>
              <w:t xml:space="preserve">→</w:t>
            </w:r>
          </w:p>
        </w:tc>
        <w:tc>
          <w:tcPr>
            <w:tcW w:type="dxa" w:w="1750"/>
            <w:tcBorders>
              <w:top w:val="single" w:color="7A1F3D" w:sz="2"/>
              <w:left w:val="single" w:color="7A1F3D" w:sz="2"/>
              <w:bottom w:val="single" w:color="7A1F3D" w:sz="2"/>
              <w:right w:val="single" w:color="7A1F3D" w:sz="2"/>
            </w:tcBorders>
            <w:shd w:fill="7A1F3D" w:val="clear"/>
            <w:tcMar>
              <w:top w:type="dxa" w:w="120"/>
              <w:left w:type="dxa" w:w="90"/>
              <w:bottom w:type="dxa" w:w="120"/>
              <w:right w:type="dxa" w:w="90"/>
            </w:tcMar>
            <w:vAlign w:val="center"/>
          </w:tcPr>
          <w:p>
            <w:pPr>
              <w:jc w:val="center"/>
            </w:pPr>
            <w:r>
              <w:rPr>
                <w:b/>
                <w:bCs/>
                <w:color w:val="FFFFFF"/>
                <w:sz w:val="17"/>
                <w:szCs w:val="17"/>
              </w:rPr>
              <w:t xml:space="preserve">Deteksi Dini &amp; Rujukan</w:t>
            </w:r>
          </w:p>
        </w:tc>
        <w:tc>
          <w:tcPr>
            <w:tcW w:type="dxa" w:w="400"/>
            <w:tcBorders>
              <w:top w:val="none"/>
              <w:left w:val="none"/>
              <w:bottom w:val="none"/>
              <w:right w:val="none"/>
            </w:tcBorders>
            <w:vAlign w:val="center"/>
          </w:tcPr>
          <w:p>
            <w:pPr>
              <w:jc w:val="center"/>
            </w:pPr>
            <w:r>
              <w:rPr>
                <w:b/>
                <w:bCs/>
                <w:color w:val="7A1F3D"/>
                <w:sz w:val="26"/>
                <w:szCs w:val="26"/>
              </w:rPr>
              <w:t xml:space="preserve">→</w:t>
            </w:r>
          </w:p>
        </w:tc>
        <w:tc>
          <w:tcPr>
            <w:tcW w:type="dxa" w:w="1750"/>
            <w:tcBorders>
              <w:top w:val="single" w:color="7A1F3D" w:sz="2"/>
              <w:left w:val="single" w:color="7A1F3D" w:sz="2"/>
              <w:bottom w:val="single" w:color="7A1F3D" w:sz="2"/>
              <w:right w:val="single" w:color="7A1F3D" w:sz="2"/>
            </w:tcBorders>
            <w:shd w:fill="9E3A5C" w:val="clear"/>
            <w:tcMar>
              <w:top w:type="dxa" w:w="120"/>
              <w:left w:type="dxa" w:w="90"/>
              <w:bottom w:type="dxa" w:w="120"/>
              <w:right w:type="dxa" w:w="90"/>
            </w:tcMar>
            <w:vAlign w:val="center"/>
          </w:tcPr>
          <w:p>
            <w:pPr>
              <w:jc w:val="center"/>
            </w:pPr>
            <w:r>
              <w:rPr>
                <w:b/>
                <w:bCs/>
                <w:color w:val="FFFFFF"/>
                <w:sz w:val="17"/>
                <w:szCs w:val="17"/>
              </w:rPr>
              <w:t xml:space="preserve">Monitoring-Evaluasi</w:t>
            </w:r>
          </w:p>
        </w:tc>
      </w:tr>
    </w:tbl>
    <w:p>
      <w:pPr>
        <w:spacing w:after="160" w:before="160"/>
      </w:pPr>
    </w:p>
    <w:p>
      <w:pPr>
        <w:pStyle w:val="Heading2"/>
        <w:spacing w:after="120" w:before="240"/>
      </w:pPr>
      <w:r>
        <w:rPr>
          <w:b/>
          <w:bCs/>
          <w:color w:val="7A1F3D"/>
          <w:sz w:val="24"/>
          <w:szCs w:val="24"/>
        </w:rPr>
        <w:t xml:space="preserve">6.2 Alur Rujukan Komunitas</w:t>
      </w:r>
    </w:p>
    <w:tbl>
      <w:tblPr>
        <w:tblW w:type="dxa" w:w="10350"/>
        <w:tblBorders>
          <w:top w:val="single" w:color="auto" w:sz="4"/>
          <w:left w:val="single" w:color="auto" w:sz="4"/>
          <w:bottom w:val="single" w:color="auto" w:sz="4"/>
          <w:right w:val="single" w:color="auto" w:sz="4"/>
          <w:insideH w:val="single" w:color="auto" w:sz="4"/>
          <w:insideV w:val="single" w:color="auto" w:sz="4"/>
        </w:tblBorders>
      </w:tblPr>
      <w:tblGrid>
        <w:gridCol w:w="1750"/>
        <w:gridCol w:w="400"/>
        <w:gridCol w:w="1750"/>
        <w:gridCol w:w="400"/>
        <w:gridCol w:w="1750"/>
        <w:gridCol w:w="400"/>
        <w:gridCol w:w="1750"/>
        <w:gridCol w:w="400"/>
        <w:gridCol w:w="1750"/>
      </w:tblGrid>
      <w:tr>
        <w:tc>
          <w:tcPr>
            <w:tcW w:type="dxa" w:w="1750"/>
            <w:tcBorders>
              <w:top w:val="single" w:color="7A1F3D" w:sz="2"/>
              <w:left w:val="single" w:color="7A1F3D" w:sz="2"/>
              <w:bottom w:val="single" w:color="7A1F3D" w:sz="2"/>
              <w:right w:val="single" w:color="7A1F3D" w:sz="2"/>
            </w:tcBorders>
            <w:shd w:fill="7A1F3D" w:val="clear"/>
            <w:tcMar>
              <w:top w:type="dxa" w:w="120"/>
              <w:left w:type="dxa" w:w="90"/>
              <w:bottom w:type="dxa" w:w="120"/>
              <w:right w:type="dxa" w:w="90"/>
            </w:tcMar>
            <w:vAlign w:val="center"/>
          </w:tcPr>
          <w:p>
            <w:pPr>
              <w:jc w:val="center"/>
            </w:pPr>
            <w:r>
              <w:rPr>
                <w:b/>
                <w:bCs/>
                <w:color w:val="FFFFFF"/>
                <w:sz w:val="17"/>
                <w:szCs w:val="17"/>
              </w:rPr>
              <w:t xml:space="preserve">Ditemukan Kader</w:t>
            </w:r>
          </w:p>
        </w:tc>
        <w:tc>
          <w:tcPr>
            <w:tcW w:type="dxa" w:w="400"/>
            <w:tcBorders>
              <w:top w:val="none"/>
              <w:left w:val="none"/>
              <w:bottom w:val="none"/>
              <w:right w:val="none"/>
            </w:tcBorders>
            <w:vAlign w:val="center"/>
          </w:tcPr>
          <w:p>
            <w:pPr>
              <w:jc w:val="center"/>
            </w:pPr>
            <w:r>
              <w:rPr>
                <w:b/>
                <w:bCs/>
                <w:color w:val="7A1F3D"/>
                <w:sz w:val="26"/>
                <w:szCs w:val="26"/>
              </w:rPr>
              <w:t xml:space="preserve">→</w:t>
            </w:r>
          </w:p>
        </w:tc>
        <w:tc>
          <w:tcPr>
            <w:tcW w:type="dxa" w:w="1750"/>
            <w:tcBorders>
              <w:top w:val="single" w:color="7A1F3D" w:sz="2"/>
              <w:left w:val="single" w:color="7A1F3D" w:sz="2"/>
              <w:bottom w:val="single" w:color="7A1F3D" w:sz="2"/>
              <w:right w:val="single" w:color="7A1F3D" w:sz="2"/>
            </w:tcBorders>
            <w:shd w:fill="9E3A5C" w:val="clear"/>
            <w:tcMar>
              <w:top w:type="dxa" w:w="120"/>
              <w:left w:type="dxa" w:w="90"/>
              <w:bottom w:type="dxa" w:w="120"/>
              <w:right w:type="dxa" w:w="90"/>
            </w:tcMar>
            <w:vAlign w:val="center"/>
          </w:tcPr>
          <w:p>
            <w:pPr>
              <w:jc w:val="center"/>
            </w:pPr>
            <w:r>
              <w:rPr>
                <w:b/>
                <w:bCs/>
                <w:color w:val="FFFFFF"/>
                <w:sz w:val="17"/>
                <w:szCs w:val="17"/>
              </w:rPr>
              <w:t xml:space="preserve">Skrining Awal</w:t>
            </w:r>
          </w:p>
        </w:tc>
        <w:tc>
          <w:tcPr>
            <w:tcW w:type="dxa" w:w="400"/>
            <w:tcBorders>
              <w:top w:val="none"/>
              <w:left w:val="none"/>
              <w:bottom w:val="none"/>
              <w:right w:val="none"/>
            </w:tcBorders>
            <w:vAlign w:val="center"/>
          </w:tcPr>
          <w:p>
            <w:pPr>
              <w:jc w:val="center"/>
            </w:pPr>
            <w:r>
              <w:rPr>
                <w:b/>
                <w:bCs/>
                <w:color w:val="7A1F3D"/>
                <w:sz w:val="26"/>
                <w:szCs w:val="26"/>
              </w:rPr>
              <w:t xml:space="preserve">→</w:t>
            </w:r>
          </w:p>
        </w:tc>
        <w:tc>
          <w:tcPr>
            <w:tcW w:type="dxa" w:w="1750"/>
            <w:tcBorders>
              <w:top w:val="single" w:color="7A1F3D" w:sz="2"/>
              <w:left w:val="single" w:color="7A1F3D" w:sz="2"/>
              <w:bottom w:val="single" w:color="7A1F3D" w:sz="2"/>
              <w:right w:val="single" w:color="7A1F3D" w:sz="2"/>
            </w:tcBorders>
            <w:shd w:fill="7A1F3D" w:val="clear"/>
            <w:tcMar>
              <w:top w:type="dxa" w:w="120"/>
              <w:left w:type="dxa" w:w="90"/>
              <w:bottom w:type="dxa" w:w="120"/>
              <w:right w:type="dxa" w:w="90"/>
            </w:tcMar>
            <w:vAlign w:val="center"/>
          </w:tcPr>
          <w:p>
            <w:pPr>
              <w:jc w:val="center"/>
            </w:pPr>
            <w:r>
              <w:rPr>
                <w:b/>
                <w:bCs/>
                <w:color w:val="FFFFFF"/>
                <w:sz w:val="17"/>
                <w:szCs w:val="17"/>
              </w:rPr>
              <w:t xml:space="preserve">Rujuk Puskesmas</w:t>
            </w:r>
          </w:p>
        </w:tc>
        <w:tc>
          <w:tcPr>
            <w:tcW w:type="dxa" w:w="400"/>
            <w:tcBorders>
              <w:top w:val="none"/>
              <w:left w:val="none"/>
              <w:bottom w:val="none"/>
              <w:right w:val="none"/>
            </w:tcBorders>
            <w:vAlign w:val="center"/>
          </w:tcPr>
          <w:p>
            <w:pPr>
              <w:jc w:val="center"/>
            </w:pPr>
            <w:r>
              <w:rPr>
                <w:b/>
                <w:bCs/>
                <w:color w:val="7A1F3D"/>
                <w:sz w:val="26"/>
                <w:szCs w:val="26"/>
              </w:rPr>
              <w:t xml:space="preserve">→</w:t>
            </w:r>
          </w:p>
        </w:tc>
        <w:tc>
          <w:tcPr>
            <w:tcW w:type="dxa" w:w="1750"/>
            <w:tcBorders>
              <w:top w:val="single" w:color="7A1F3D" w:sz="2"/>
              <w:left w:val="single" w:color="7A1F3D" w:sz="2"/>
              <w:bottom w:val="single" w:color="7A1F3D" w:sz="2"/>
              <w:right w:val="single" w:color="7A1F3D" w:sz="2"/>
            </w:tcBorders>
            <w:shd w:fill="9E3A5C" w:val="clear"/>
            <w:tcMar>
              <w:top w:type="dxa" w:w="120"/>
              <w:left w:type="dxa" w:w="90"/>
              <w:bottom w:type="dxa" w:w="120"/>
              <w:right w:type="dxa" w:w="90"/>
            </w:tcMar>
            <w:vAlign w:val="center"/>
          </w:tcPr>
          <w:p>
            <w:pPr>
              <w:jc w:val="center"/>
            </w:pPr>
            <w:r>
              <w:rPr>
                <w:b/>
                <w:bCs/>
                <w:color w:val="FFFFFF"/>
                <w:sz w:val="17"/>
                <w:szCs w:val="17"/>
              </w:rPr>
              <w:t xml:space="preserve">Tindak Lanjut Klinis/Obginsos</w:t>
            </w:r>
          </w:p>
        </w:tc>
        <w:tc>
          <w:tcPr>
            <w:tcW w:type="dxa" w:w="400"/>
            <w:tcBorders>
              <w:top w:val="none"/>
              <w:left w:val="none"/>
              <w:bottom w:val="none"/>
              <w:right w:val="none"/>
            </w:tcBorders>
            <w:vAlign w:val="center"/>
          </w:tcPr>
          <w:p>
            <w:pPr>
              <w:jc w:val="center"/>
            </w:pPr>
            <w:r>
              <w:rPr>
                <w:b/>
                <w:bCs/>
                <w:color w:val="7A1F3D"/>
                <w:sz w:val="26"/>
                <w:szCs w:val="26"/>
              </w:rPr>
              <w:t xml:space="preserve">→</w:t>
            </w:r>
          </w:p>
        </w:tc>
        <w:tc>
          <w:tcPr>
            <w:tcW w:type="dxa" w:w="1750"/>
            <w:tcBorders>
              <w:top w:val="single" w:color="7A1F3D" w:sz="2"/>
              <w:left w:val="single" w:color="7A1F3D" w:sz="2"/>
              <w:bottom w:val="single" w:color="7A1F3D" w:sz="2"/>
              <w:right w:val="single" w:color="7A1F3D" w:sz="2"/>
            </w:tcBorders>
            <w:shd w:fill="7A1F3D" w:val="clear"/>
            <w:tcMar>
              <w:top w:type="dxa" w:w="120"/>
              <w:left w:type="dxa" w:w="90"/>
              <w:bottom w:type="dxa" w:w="120"/>
              <w:right w:type="dxa" w:w="90"/>
            </w:tcMar>
            <w:vAlign w:val="center"/>
          </w:tcPr>
          <w:p>
            <w:pPr>
              <w:jc w:val="center"/>
            </w:pPr>
            <w:r>
              <w:rPr>
                <w:b/>
                <w:bCs/>
                <w:color w:val="FFFFFF"/>
                <w:sz w:val="17"/>
                <w:szCs w:val="17"/>
              </w:rPr>
              <w:t xml:space="preserve">Umpan Balik ke Kader</w:t>
            </w:r>
          </w:p>
        </w:tc>
      </w:tr>
    </w:tbl>
    <w:p>
      <w:pPr>
        <w:spacing w:after="160" w:before="160"/>
      </w:pPr>
    </w:p>
    <w:p>
      <w:pPr>
        <w:spacing w:after="140" w:line="288"/>
      </w:pPr>
      <w:r>
        <w:rPr>
          <w:sz w:val="22"/>
          <w:szCs w:val="22"/>
        </w:rPr>
        <w:t xml:space="preserve">Kader yang menemukan kasus di lapangan melakukan skrining awal menggunakan formulir deteksi dini sederhana, kemudian merujuk ke Puskesmas. Puskesmas memberikan umpan balik hasil tindak lanjut kepada kader agar pendampingan di tingkat masyarakat dapat berlanjut secara terkoordinasi.</w:t>
      </w:r>
    </w:p>
    <w:p>
      <w:pPr>
        <w:pStyle w:val="Heading2"/>
        <w:spacing w:after="120" w:before="240"/>
      </w:pPr>
      <w:r>
        <w:rPr>
          <w:b/>
          <w:bCs/>
          <w:color w:val="7A1F3D"/>
          <w:sz w:val="24"/>
          <w:szCs w:val="24"/>
        </w:rPr>
        <w:t xml:space="preserve">6.3 Contoh Logic Model Program</w:t>
      </w:r>
    </w:p>
    <w:p>
      <w:pPr>
        <w:spacing w:after="140" w:line="288"/>
      </w:pPr>
      <w:r>
        <w:rPr>
          <w:sz w:val="22"/>
          <w:szCs w:val="22"/>
        </w:rPr>
        <w:t xml:space="preserve">Berikut contoh konkret logic model untuk program “Penguatan Deteksi Dini Risiko Kehamilan Berbasis Kader”, yang dapat diadaptasi oleh Dinkes/Puskesmas sesuai konteks lokal:</w:t>
      </w:r>
    </w:p>
    <w:tbl>
      <w:tblPr>
        <w:tblW w:type="dxa" w:w="9100"/>
        <w:tblBorders>
          <w:top w:val="single" w:color="auto" w:sz="4"/>
          <w:left w:val="single" w:color="auto" w:sz="4"/>
          <w:bottom w:val="single" w:color="auto" w:sz="4"/>
          <w:right w:val="single" w:color="auto" w:sz="4"/>
          <w:insideH w:val="single" w:color="auto" w:sz="4"/>
          <w:insideV w:val="single" w:color="auto" w:sz="4"/>
        </w:tblBorders>
      </w:tblPr>
      <w:tblGrid>
        <w:gridCol w:w="2200"/>
        <w:gridCol w:w="6900"/>
      </w:tblGrid>
      <w:tr>
        <w:trPr>
          <w:tblHeader/>
        </w:trPr>
        <w:tc>
          <w:tcPr>
            <w:tcW w:type="dxa" w:w="2200"/>
            <w:shd w:fill="7A1F3D" w:val="clear"/>
            <w:tcMar>
              <w:top w:type="dxa" w:w="100"/>
              <w:left w:type="dxa" w:w="120"/>
              <w:bottom w:type="dxa" w:w="100"/>
              <w:right w:type="dxa" w:w="120"/>
            </w:tcMar>
            <w:vAlign w:val="center"/>
          </w:tcPr>
          <w:p>
            <w:r>
              <w:rPr>
                <w:b/>
                <w:bCs/>
                <w:color w:val="FFFFFF"/>
                <w:sz w:val="19"/>
                <w:szCs w:val="19"/>
              </w:rPr>
              <w:t xml:space="preserve">Komponen</w:t>
            </w:r>
          </w:p>
        </w:tc>
        <w:tc>
          <w:tcPr>
            <w:tcW w:type="dxa" w:w="6900"/>
            <w:shd w:fill="7A1F3D" w:val="clear"/>
            <w:tcMar>
              <w:top w:type="dxa" w:w="100"/>
              <w:left w:type="dxa" w:w="120"/>
              <w:bottom w:type="dxa" w:w="100"/>
              <w:right w:type="dxa" w:w="120"/>
            </w:tcMar>
            <w:vAlign w:val="center"/>
          </w:tcPr>
          <w:p>
            <w:r>
              <w:rPr>
                <w:b/>
                <w:bCs/>
                <w:color w:val="FFFFFF"/>
                <w:sz w:val="19"/>
                <w:szCs w:val="19"/>
              </w:rPr>
              <w:t xml:space="preserve">Uraian Contoh Konkret</w:t>
            </w:r>
          </w:p>
        </w:tc>
      </w:tr>
      <w:tr>
        <w:tc>
          <w:tcPr>
            <w:tcW w:type="dxa" w:w="2200"/>
            <w:shd w:fill="FFFFFF" w:val="clear"/>
            <w:tcMar>
              <w:top w:type="dxa" w:w="90"/>
              <w:left w:type="dxa" w:w="120"/>
              <w:bottom w:type="dxa" w:w="90"/>
              <w:right w:type="dxa" w:w="120"/>
            </w:tcMar>
          </w:tcPr>
          <w:p>
            <w:pPr>
              <w:spacing w:line="258"/>
            </w:pPr>
            <w:r>
              <w:rPr>
                <w:sz w:val="19"/>
                <w:szCs w:val="19"/>
              </w:rPr>
              <w:t xml:space="preserve">Input</w:t>
            </w:r>
          </w:p>
        </w:tc>
        <w:tc>
          <w:tcPr>
            <w:tcW w:type="dxa" w:w="6900"/>
            <w:shd w:fill="FFFFFF" w:val="clear"/>
            <w:tcMar>
              <w:top w:type="dxa" w:w="90"/>
              <w:left w:type="dxa" w:w="120"/>
              <w:bottom w:type="dxa" w:w="90"/>
              <w:right w:type="dxa" w:w="120"/>
            </w:tcMar>
          </w:tcPr>
          <w:p>
            <w:pPr>
              <w:spacing w:line="258"/>
            </w:pPr>
            <w:r>
              <w:rPr>
                <w:sz w:val="19"/>
                <w:szCs w:val="19"/>
              </w:rPr>
              <w:t xml:space="preserve">Kader terpilih dan terlatih sesuai domain seleksi-pendidikan pra-tugas WHO (2018), formulir skrining risiko kehamilan, dana operasional Posyandu, dukungan tenaga Puskesmas dan Obginsos, media edukasi (lembar balik/poster).</w:t>
            </w:r>
          </w:p>
        </w:tc>
      </w:tr>
      <w:tr>
        <w:tc>
          <w:tcPr>
            <w:tcW w:type="dxa" w:w="2200"/>
            <w:shd w:fill="FBF0F3" w:val="clear"/>
            <w:tcMar>
              <w:top w:type="dxa" w:w="90"/>
              <w:left w:type="dxa" w:w="120"/>
              <w:bottom w:type="dxa" w:w="90"/>
              <w:right w:type="dxa" w:w="120"/>
            </w:tcMar>
          </w:tcPr>
          <w:p>
            <w:pPr>
              <w:spacing w:line="258"/>
            </w:pPr>
            <w:r>
              <w:rPr>
                <w:sz w:val="19"/>
                <w:szCs w:val="19"/>
              </w:rPr>
              <w:t xml:space="preserve">Proses</w:t>
            </w:r>
          </w:p>
        </w:tc>
        <w:tc>
          <w:tcPr>
            <w:tcW w:type="dxa" w:w="6900"/>
            <w:shd w:fill="FBF0F3" w:val="clear"/>
            <w:tcMar>
              <w:top w:type="dxa" w:w="90"/>
              <w:left w:type="dxa" w:w="120"/>
              <w:bottom w:type="dxa" w:w="90"/>
              <w:right w:type="dxa" w:w="120"/>
            </w:tcMar>
          </w:tcPr>
          <w:p>
            <w:pPr>
              <w:spacing w:line="258"/>
            </w:pPr>
            <w:r>
              <w:rPr>
                <w:sz w:val="19"/>
                <w:szCs w:val="19"/>
              </w:rPr>
              <w:t xml:space="preserve">Pelatihan dan sertifikasi kader, kunjungan rumah ibu hamil, pengisian formulir skrining, penyuluhan kelompok di Posyandu, koordinasi rujukan ke Puskesmas, supervisi berkala.</w:t>
            </w:r>
          </w:p>
        </w:tc>
      </w:tr>
      <w:tr>
        <w:tc>
          <w:tcPr>
            <w:tcW w:type="dxa" w:w="2200"/>
            <w:shd w:fill="FFFFFF" w:val="clear"/>
            <w:tcMar>
              <w:top w:type="dxa" w:w="90"/>
              <w:left w:type="dxa" w:w="120"/>
              <w:bottom w:type="dxa" w:w="90"/>
              <w:right w:type="dxa" w:w="120"/>
            </w:tcMar>
          </w:tcPr>
          <w:p>
            <w:pPr>
              <w:spacing w:line="258"/>
            </w:pPr>
            <w:r>
              <w:rPr>
                <w:sz w:val="19"/>
                <w:szCs w:val="19"/>
              </w:rPr>
              <w:t xml:space="preserve">Output</w:t>
            </w:r>
          </w:p>
        </w:tc>
        <w:tc>
          <w:tcPr>
            <w:tcW w:type="dxa" w:w="6900"/>
            <w:shd w:fill="FFFFFF" w:val="clear"/>
            <w:tcMar>
              <w:top w:type="dxa" w:w="90"/>
              <w:left w:type="dxa" w:w="120"/>
              <w:bottom w:type="dxa" w:w="90"/>
              <w:right w:type="dxa" w:w="120"/>
            </w:tcMar>
          </w:tcPr>
          <w:p>
            <w:pPr>
              <w:spacing w:line="258"/>
            </w:pPr>
            <w:r>
              <w:rPr>
                <w:sz w:val="19"/>
                <w:szCs w:val="19"/>
              </w:rPr>
              <w:t xml:space="preserve">Jumlah kader terlatih yang aktif melakukan skrining; jumlah ibu hamil yang terskrining; jumlah kasus risiko tinggi yang dirujuk tepat waktu.</w:t>
            </w:r>
          </w:p>
        </w:tc>
      </w:tr>
      <w:tr>
        <w:tc>
          <w:tcPr>
            <w:tcW w:type="dxa" w:w="2200"/>
            <w:shd w:fill="FBF0F3" w:val="clear"/>
            <w:tcMar>
              <w:top w:type="dxa" w:w="90"/>
              <w:left w:type="dxa" w:w="120"/>
              <w:bottom w:type="dxa" w:w="90"/>
              <w:right w:type="dxa" w:w="120"/>
            </w:tcMar>
          </w:tcPr>
          <w:p>
            <w:pPr>
              <w:spacing w:line="258"/>
            </w:pPr>
            <w:r>
              <w:rPr>
                <w:sz w:val="19"/>
                <w:szCs w:val="19"/>
              </w:rPr>
              <w:t xml:space="preserve">Outcome</w:t>
            </w:r>
          </w:p>
        </w:tc>
        <w:tc>
          <w:tcPr>
            <w:tcW w:type="dxa" w:w="6900"/>
            <w:shd w:fill="FBF0F3" w:val="clear"/>
            <w:tcMar>
              <w:top w:type="dxa" w:w="90"/>
              <w:left w:type="dxa" w:w="120"/>
              <w:bottom w:type="dxa" w:w="90"/>
              <w:right w:type="dxa" w:w="120"/>
            </w:tcMar>
          </w:tcPr>
          <w:p>
            <w:pPr>
              <w:spacing w:line="258"/>
            </w:pPr>
            <w:r>
              <w:rPr>
                <w:sz w:val="19"/>
                <w:szCs w:val="19"/>
              </w:rPr>
              <w:t xml:space="preserve">Peningkatan deteksi dini risiko kehamilan di tingkat masyarakat; penurunan keterlambatan rujukan kasus risiko tinggi ke fasilitas kesehatan.</w:t>
            </w:r>
          </w:p>
        </w:tc>
      </w:tr>
    </w:tbl>
    <w:p>
      <w:pPr>
        <w:spacing w:before="160"/>
      </w:pPr>
    </w:p>
    <w:tbl>
      <w:tblPr>
        <w:tblW w:type="pct" w:w="100%"/>
        <w:tblBorders>
          <w:top w:val="single" w:color="7A1F3D" w:sz="4"/>
          <w:left w:val="single" w:color="7A1F3D" w:sz="4"/>
          <w:bottom w:val="single" w:color="7A1F3D" w:sz="4"/>
          <w:right w:val="single" w:color="7A1F3D" w:sz="4"/>
          <w:insideH w:val="single" w:color="auto" w:sz="4"/>
          <w:insideV w:val="single" w:color="auto" w:sz="4"/>
        </w:tblBorders>
      </w:tblPr>
      <w:tblGrid>
        <w:gridCol w:w="100"/>
      </w:tblGrid>
      <w:tr>
        <w:tc>
          <w:tcPr>
            <w:shd w:fill="F3E4E9" w:val="clear"/>
            <w:tcMar>
              <w:top w:type="dxa" w:w="120"/>
              <w:left w:type="dxa" w:w="160"/>
              <w:bottom w:type="dxa" w:w="120"/>
              <w:right w:type="dxa" w:w="160"/>
            </w:tcMar>
          </w:tcPr>
          <w:p>
            <w:r>
              <w:rPr>
                <w:i/>
                <w:iCs/>
                <w:color w:val="222222"/>
                <w:sz w:val="20"/>
                <w:szCs w:val="20"/>
              </w:rPr>
              <w:t xml:space="preserve">Catatan: Target angka pada kolom output/outcome WAJIB diisi oleh Dinkes/Puskesmas berdasarkan data dasar (baseline) wilayah masing-masing, bukan angka baku dari pedoman ini.</w:t>
            </w:r>
          </w:p>
        </w:tc>
      </w:tr>
    </w:tbl>
    <w:p>
      <w:pPr>
        <w:spacing w:before="160"/>
      </w:pPr>
    </w:p>
    <w:p>
      <w:pPr>
        <w:pStyle w:val="Heading2"/>
        <w:spacing w:after="120" w:before="240"/>
      </w:pPr>
      <w:r>
        <w:rPr>
          <w:b/>
          <w:bCs/>
          <w:color w:val="7A1F3D"/>
          <w:sz w:val="24"/>
          <w:szCs w:val="24"/>
        </w:rPr>
        <w:t xml:space="preserve">6.4 Langkah Pelaksanaan Bertahap</w:t>
      </w:r>
    </w:p>
    <w:p>
      <w:pPr>
        <w:pStyle w:val="ListParagraph"/>
        <w:numPr>
          <w:ilvl w:val="0"/>
          <w:numId w:val="3"/>
        </w:numPr>
        <w:spacing w:after="80" w:line="276"/>
      </w:pPr>
      <w:r>
        <w:rPr>
          <w:sz w:val="22"/>
          <w:szCs w:val="22"/>
        </w:rPr>
        <w:t xml:space="preserve">Tahap Persiapan: pembentukan tim penggerak program, pemetaan wilayah, dan penetapan kader.</w:t>
      </w:r>
    </w:p>
    <w:p>
      <w:pPr>
        <w:pStyle w:val="ListParagraph"/>
        <w:numPr>
          <w:ilvl w:val="0"/>
          <w:numId w:val="3"/>
        </w:numPr>
        <w:spacing w:after="80" w:line="276"/>
      </w:pPr>
      <w:r>
        <w:rPr>
          <w:sz w:val="22"/>
          <w:szCs w:val="22"/>
        </w:rPr>
        <w:t xml:space="preserve">Tahap Perencanaan: penyusunan rencana kerja tahunan berbasis hasil analisis situasi dan logic model.</w:t>
      </w:r>
    </w:p>
    <w:p>
      <w:pPr>
        <w:pStyle w:val="ListParagraph"/>
        <w:numPr>
          <w:ilvl w:val="0"/>
          <w:numId w:val="3"/>
        </w:numPr>
        <w:spacing w:after="80" w:line="276"/>
      </w:pPr>
      <w:r>
        <w:rPr>
          <w:sz w:val="22"/>
          <w:szCs w:val="22"/>
        </w:rPr>
        <w:t xml:space="preserve">Tahap Pelaksanaan: pelatihan kader, edukasi masyarakat, skrining dan deteksi dini, serta pendampingan rujukan.</w:t>
      </w:r>
    </w:p>
    <w:p>
      <w:pPr>
        <w:pStyle w:val="ListParagraph"/>
        <w:numPr>
          <w:ilvl w:val="0"/>
          <w:numId w:val="3"/>
        </w:numPr>
        <w:spacing w:after="80" w:line="276"/>
      </w:pPr>
      <w:r>
        <w:rPr>
          <w:sz w:val="22"/>
          <w:szCs w:val="22"/>
        </w:rPr>
        <w:t xml:space="preserve">Tahap Monitoring: pencatatan dan pelaporan berkala menggunakan instrumen yang disepakati.</w:t>
      </w:r>
    </w:p>
    <w:p>
      <w:pPr>
        <w:pStyle w:val="ListParagraph"/>
        <w:numPr>
          <w:ilvl w:val="0"/>
          <w:numId w:val="3"/>
        </w:numPr>
        <w:spacing w:after="80" w:line="276"/>
      </w:pPr>
      <w:r>
        <w:rPr>
          <w:sz w:val="22"/>
          <w:szCs w:val="22"/>
        </w:rPr>
        <w:t xml:space="preserve">Tahap Evaluasi: penilaian pencapaian indikator dan penyusunan rencana tindak lanjut.</w:t>
      </w:r>
    </w:p>
    <w:p>
      <w:pPr>
        <w:pStyle w:val="Heading1"/>
        <w:shd w:fill="7A1F3D" w:color="auto" w:val="clear"/>
        <w:spacing w:after="160" w:before="320"/>
        <w:ind w:left="100" w:right="100"/>
      </w:pPr>
      <w:r>
        <w:rPr>
          <w:b/>
          <w:bCs/>
          <w:color w:val="FFFFFF"/>
          <w:sz w:val="30"/>
          <w:szCs w:val="30"/>
        </w:rPr>
        <w:t xml:space="preserve">7. PERAN LINTAS PROGRAM DAN LINTAS SEKTOR</w:t>
      </w:r>
    </w:p>
    <w:p>
      <w:pPr>
        <w:spacing w:after="140" w:line="288"/>
      </w:pPr>
      <w:r>
        <w:rPr>
          <w:sz w:val="22"/>
          <w:szCs w:val="22"/>
        </w:rPr>
        <w:t xml:space="preserve">Keberhasilan program kesehatan reproduksi berbasis masyarakat memerlukan kolaborasi lintas program di lingkup kesehatan dan lintas sektor di luar kesehatan. Tabel matriks berikut menjabarkan aktor, peran, dan output yang diharapkan.</w:t>
      </w:r>
    </w:p>
    <w:tbl>
      <w:tblPr>
        <w:tblW w:type="dxa" w:w="9100"/>
        <w:tblBorders>
          <w:top w:val="single" w:color="auto" w:sz="4"/>
          <w:left w:val="single" w:color="auto" w:sz="4"/>
          <w:bottom w:val="single" w:color="auto" w:sz="4"/>
          <w:right w:val="single" w:color="auto" w:sz="4"/>
          <w:insideH w:val="single" w:color="auto" w:sz="4"/>
          <w:insideV w:val="single" w:color="auto" w:sz="4"/>
        </w:tblBorders>
      </w:tblPr>
      <w:tblGrid>
        <w:gridCol w:w="2500"/>
        <w:gridCol w:w="3500"/>
        <w:gridCol w:w="3100"/>
      </w:tblGrid>
      <w:tr>
        <w:trPr>
          <w:tblHeader/>
        </w:trPr>
        <w:tc>
          <w:tcPr>
            <w:tcW w:type="dxa" w:w="2500"/>
            <w:shd w:fill="7A1F3D" w:val="clear"/>
            <w:tcMar>
              <w:top w:type="dxa" w:w="100"/>
              <w:left w:type="dxa" w:w="120"/>
              <w:bottom w:type="dxa" w:w="100"/>
              <w:right w:type="dxa" w:w="120"/>
            </w:tcMar>
            <w:vAlign w:val="center"/>
          </w:tcPr>
          <w:p>
            <w:r>
              <w:rPr>
                <w:b/>
                <w:bCs/>
                <w:color w:val="FFFFFF"/>
                <w:sz w:val="19"/>
                <w:szCs w:val="19"/>
              </w:rPr>
              <w:t xml:space="preserve">Aktor</w:t>
            </w:r>
          </w:p>
        </w:tc>
        <w:tc>
          <w:tcPr>
            <w:tcW w:type="dxa" w:w="3500"/>
            <w:shd w:fill="7A1F3D" w:val="clear"/>
            <w:tcMar>
              <w:top w:type="dxa" w:w="100"/>
              <w:left w:type="dxa" w:w="120"/>
              <w:bottom w:type="dxa" w:w="100"/>
              <w:right w:type="dxa" w:w="120"/>
            </w:tcMar>
            <w:vAlign w:val="center"/>
          </w:tcPr>
          <w:p>
            <w:r>
              <w:rPr>
                <w:b/>
                <w:bCs/>
                <w:color w:val="FFFFFF"/>
                <w:sz w:val="19"/>
                <w:szCs w:val="19"/>
              </w:rPr>
              <w:t xml:space="preserve">Peran</w:t>
            </w:r>
          </w:p>
        </w:tc>
        <w:tc>
          <w:tcPr>
            <w:tcW w:type="dxa" w:w="3100"/>
            <w:shd w:fill="7A1F3D" w:val="clear"/>
            <w:tcMar>
              <w:top w:type="dxa" w:w="100"/>
              <w:left w:type="dxa" w:w="120"/>
              <w:bottom w:type="dxa" w:w="100"/>
              <w:right w:type="dxa" w:w="120"/>
            </w:tcMar>
            <w:vAlign w:val="center"/>
          </w:tcPr>
          <w:p>
            <w:r>
              <w:rPr>
                <w:b/>
                <w:bCs/>
                <w:color w:val="FFFFFF"/>
                <w:sz w:val="19"/>
                <w:szCs w:val="19"/>
              </w:rPr>
              <w:t xml:space="preserve">Output</w:t>
            </w:r>
          </w:p>
        </w:tc>
      </w:tr>
      <w:tr>
        <w:tc>
          <w:tcPr>
            <w:tcW w:type="dxa" w:w="2500"/>
            <w:shd w:fill="FFFFFF" w:val="clear"/>
            <w:tcMar>
              <w:top w:type="dxa" w:w="90"/>
              <w:left w:type="dxa" w:w="120"/>
              <w:bottom w:type="dxa" w:w="90"/>
              <w:right w:type="dxa" w:w="120"/>
            </w:tcMar>
          </w:tcPr>
          <w:p>
            <w:pPr>
              <w:spacing w:line="258"/>
            </w:pPr>
            <w:r>
              <w:rPr>
                <w:sz w:val="19"/>
                <w:szCs w:val="19"/>
              </w:rPr>
              <w:t xml:space="preserve">Konsil Kesehatan Indonesia</w:t>
            </w:r>
          </w:p>
        </w:tc>
        <w:tc>
          <w:tcPr>
            <w:tcW w:type="dxa" w:w="3500"/>
            <w:shd w:fill="FFFFFF" w:val="clear"/>
            <w:tcMar>
              <w:top w:type="dxa" w:w="90"/>
              <w:left w:type="dxa" w:w="120"/>
              <w:bottom w:type="dxa" w:w="90"/>
              <w:right w:type="dxa" w:w="120"/>
            </w:tcMar>
          </w:tcPr>
          <w:p>
            <w:pPr>
              <w:spacing w:line="258"/>
            </w:pPr>
            <w:r>
              <w:rPr>
                <w:sz w:val="19"/>
                <w:szCs w:val="19"/>
              </w:rPr>
              <w:t xml:space="preserve">Menetapkan standar kompetensi Subspesialis Obginsos sebagai acuan teknis nasional</w:t>
            </w:r>
          </w:p>
        </w:tc>
        <w:tc>
          <w:tcPr>
            <w:tcW w:type="dxa" w:w="3100"/>
            <w:shd w:fill="FFFFFF" w:val="clear"/>
            <w:tcMar>
              <w:top w:type="dxa" w:w="90"/>
              <w:left w:type="dxa" w:w="120"/>
              <w:bottom w:type="dxa" w:w="90"/>
              <w:right w:type="dxa" w:w="120"/>
            </w:tcMar>
          </w:tcPr>
          <w:p>
            <w:pPr>
              <w:spacing w:line="258"/>
            </w:pPr>
            <w:r>
              <w:rPr>
                <w:sz w:val="19"/>
                <w:szCs w:val="19"/>
              </w:rPr>
              <w:t xml:space="preserve">Standar kompetensi Obginsos berlaku nasional</w:t>
            </w:r>
          </w:p>
        </w:tc>
      </w:tr>
      <w:tr>
        <w:tc>
          <w:tcPr>
            <w:tcW w:type="dxa" w:w="2500"/>
            <w:shd w:fill="FBF0F3" w:val="clear"/>
            <w:tcMar>
              <w:top w:type="dxa" w:w="90"/>
              <w:left w:type="dxa" w:w="120"/>
              <w:bottom w:type="dxa" w:w="90"/>
              <w:right w:type="dxa" w:w="120"/>
            </w:tcMar>
          </w:tcPr>
          <w:p>
            <w:pPr>
              <w:spacing w:line="258"/>
            </w:pPr>
            <w:r>
              <w:rPr>
                <w:sz w:val="19"/>
                <w:szCs w:val="19"/>
              </w:rPr>
              <w:t xml:space="preserve">Dinas Kesehatan</w:t>
            </w:r>
          </w:p>
        </w:tc>
        <w:tc>
          <w:tcPr>
            <w:tcW w:type="dxa" w:w="3500"/>
            <w:shd w:fill="FBF0F3" w:val="clear"/>
            <w:tcMar>
              <w:top w:type="dxa" w:w="90"/>
              <w:left w:type="dxa" w:w="120"/>
              <w:bottom w:type="dxa" w:w="90"/>
              <w:right w:type="dxa" w:w="120"/>
            </w:tcMar>
          </w:tcPr>
          <w:p>
            <w:pPr>
              <w:spacing w:line="258"/>
            </w:pPr>
            <w:r>
              <w:rPr>
                <w:sz w:val="19"/>
                <w:szCs w:val="19"/>
              </w:rPr>
              <w:t xml:space="preserve">Regulasi teknis, penganggaran, supervisi, dan pembinaan Puskesmas</w:t>
            </w:r>
          </w:p>
        </w:tc>
        <w:tc>
          <w:tcPr>
            <w:tcW w:type="dxa" w:w="3100"/>
            <w:shd w:fill="FBF0F3" w:val="clear"/>
            <w:tcMar>
              <w:top w:type="dxa" w:w="90"/>
              <w:left w:type="dxa" w:w="120"/>
              <w:bottom w:type="dxa" w:w="90"/>
              <w:right w:type="dxa" w:w="120"/>
            </w:tcMar>
          </w:tcPr>
          <w:p>
            <w:pPr>
              <w:spacing w:line="258"/>
            </w:pPr>
            <w:r>
              <w:rPr>
                <w:sz w:val="19"/>
                <w:szCs w:val="19"/>
              </w:rPr>
              <w:t xml:space="preserve">Kebijakan dan rencana kerja program tersedia</w:t>
            </w:r>
          </w:p>
        </w:tc>
      </w:tr>
      <w:tr>
        <w:tc>
          <w:tcPr>
            <w:tcW w:type="dxa" w:w="2500"/>
            <w:shd w:fill="FFFFFF" w:val="clear"/>
            <w:tcMar>
              <w:top w:type="dxa" w:w="90"/>
              <w:left w:type="dxa" w:w="120"/>
              <w:bottom w:type="dxa" w:w="90"/>
              <w:right w:type="dxa" w:w="120"/>
            </w:tcMar>
          </w:tcPr>
          <w:p>
            <w:pPr>
              <w:spacing w:line="258"/>
            </w:pPr>
            <w:r>
              <w:rPr>
                <w:sz w:val="19"/>
                <w:szCs w:val="19"/>
              </w:rPr>
              <w:t xml:space="preserve">Puskesmas</w:t>
            </w:r>
          </w:p>
        </w:tc>
        <w:tc>
          <w:tcPr>
            <w:tcW w:type="dxa" w:w="3500"/>
            <w:shd w:fill="FFFFFF" w:val="clear"/>
            <w:tcMar>
              <w:top w:type="dxa" w:w="90"/>
              <w:left w:type="dxa" w:w="120"/>
              <w:bottom w:type="dxa" w:w="90"/>
              <w:right w:type="dxa" w:w="120"/>
            </w:tcMar>
          </w:tcPr>
          <w:p>
            <w:pPr>
              <w:spacing w:line="258"/>
            </w:pPr>
            <w:r>
              <w:rPr>
                <w:sz w:val="19"/>
                <w:szCs w:val="19"/>
              </w:rPr>
              <w:t xml:space="preserve">Koordinator teknis lapangan, pelatihan kader, pelayanan rujukan</w:t>
            </w:r>
          </w:p>
        </w:tc>
        <w:tc>
          <w:tcPr>
            <w:tcW w:type="dxa" w:w="3100"/>
            <w:shd w:fill="FFFFFF" w:val="clear"/>
            <w:tcMar>
              <w:top w:type="dxa" w:w="90"/>
              <w:left w:type="dxa" w:w="120"/>
              <w:bottom w:type="dxa" w:w="90"/>
              <w:right w:type="dxa" w:w="120"/>
            </w:tcMar>
          </w:tcPr>
          <w:p>
            <w:pPr>
              <w:spacing w:line="258"/>
            </w:pPr>
            <w:r>
              <w:rPr>
                <w:sz w:val="19"/>
                <w:szCs w:val="19"/>
              </w:rPr>
              <w:t xml:space="preserve">Pelayanan dan sistem rujukan berjalan</w:t>
            </w:r>
          </w:p>
        </w:tc>
      </w:tr>
      <w:tr>
        <w:tc>
          <w:tcPr>
            <w:tcW w:type="dxa" w:w="2500"/>
            <w:shd w:fill="FBF0F3" w:val="clear"/>
            <w:tcMar>
              <w:top w:type="dxa" w:w="90"/>
              <w:left w:type="dxa" w:w="120"/>
              <w:bottom w:type="dxa" w:w="90"/>
              <w:right w:type="dxa" w:w="120"/>
            </w:tcMar>
          </w:tcPr>
          <w:p>
            <w:pPr>
              <w:spacing w:line="258"/>
            </w:pPr>
            <w:r>
              <w:rPr>
                <w:sz w:val="19"/>
                <w:szCs w:val="19"/>
              </w:rPr>
              <w:t xml:space="preserve">Kader Kesehatan</w:t>
            </w:r>
          </w:p>
        </w:tc>
        <w:tc>
          <w:tcPr>
            <w:tcW w:type="dxa" w:w="3500"/>
            <w:shd w:fill="FBF0F3" w:val="clear"/>
            <w:tcMar>
              <w:top w:type="dxa" w:w="90"/>
              <w:left w:type="dxa" w:w="120"/>
              <w:bottom w:type="dxa" w:w="90"/>
              <w:right w:type="dxa" w:w="120"/>
            </w:tcMar>
          </w:tcPr>
          <w:p>
            <w:pPr>
              <w:spacing w:line="258"/>
            </w:pPr>
            <w:r>
              <w:rPr>
                <w:sz w:val="19"/>
                <w:szCs w:val="19"/>
              </w:rPr>
              <w:t xml:space="preserve">Edukasi, skrining awal, pendampingan rujukan di masyarakat</w:t>
            </w:r>
          </w:p>
        </w:tc>
        <w:tc>
          <w:tcPr>
            <w:tcW w:type="dxa" w:w="3100"/>
            <w:shd w:fill="FBF0F3" w:val="clear"/>
            <w:tcMar>
              <w:top w:type="dxa" w:w="90"/>
              <w:left w:type="dxa" w:w="120"/>
              <w:bottom w:type="dxa" w:w="90"/>
              <w:right w:type="dxa" w:w="120"/>
            </w:tcMar>
          </w:tcPr>
          <w:p>
            <w:pPr>
              <w:spacing w:line="258"/>
            </w:pPr>
            <w:r>
              <w:rPr>
                <w:sz w:val="19"/>
                <w:szCs w:val="19"/>
              </w:rPr>
              <w:t xml:space="preserve">Kasus terdeteksi dini dan terpantau</w:t>
            </w:r>
          </w:p>
        </w:tc>
      </w:tr>
      <w:tr>
        <w:tc>
          <w:tcPr>
            <w:tcW w:type="dxa" w:w="2500"/>
            <w:shd w:fill="FFFFFF" w:val="clear"/>
            <w:tcMar>
              <w:top w:type="dxa" w:w="90"/>
              <w:left w:type="dxa" w:w="120"/>
              <w:bottom w:type="dxa" w:w="90"/>
              <w:right w:type="dxa" w:w="120"/>
            </w:tcMar>
          </w:tcPr>
          <w:p>
            <w:pPr>
              <w:spacing w:line="258"/>
            </w:pPr>
            <w:r>
              <w:rPr>
                <w:sz w:val="19"/>
                <w:szCs w:val="19"/>
              </w:rPr>
              <w:t xml:space="preserve">Dokter Subspesialis Obginsos</w:t>
            </w:r>
          </w:p>
        </w:tc>
        <w:tc>
          <w:tcPr>
            <w:tcW w:type="dxa" w:w="3500"/>
            <w:shd w:fill="FFFFFF" w:val="clear"/>
            <w:tcMar>
              <w:top w:type="dxa" w:w="90"/>
              <w:left w:type="dxa" w:w="120"/>
              <w:bottom w:type="dxa" w:w="90"/>
              <w:right w:type="dxa" w:w="120"/>
            </w:tcMar>
          </w:tcPr>
          <w:p>
            <w:pPr>
              <w:spacing w:line="258"/>
            </w:pPr>
            <w:r>
              <w:rPr>
                <w:sz w:val="19"/>
                <w:szCs w:val="19"/>
              </w:rPr>
              <w:t xml:space="preserve">Penggerak teknis, konsultan rujukan, pengembang materi edukasi</w:t>
            </w:r>
          </w:p>
        </w:tc>
        <w:tc>
          <w:tcPr>
            <w:tcW w:type="dxa" w:w="3100"/>
            <w:shd w:fill="FFFFFF" w:val="clear"/>
            <w:tcMar>
              <w:top w:type="dxa" w:w="90"/>
              <w:left w:type="dxa" w:w="120"/>
              <w:bottom w:type="dxa" w:w="90"/>
              <w:right w:type="dxa" w:w="120"/>
            </w:tcMar>
          </w:tcPr>
          <w:p>
            <w:pPr>
              <w:spacing w:line="258"/>
            </w:pPr>
            <w:r>
              <w:rPr>
                <w:sz w:val="19"/>
                <w:szCs w:val="19"/>
              </w:rPr>
              <w:t xml:space="preserve">Standar teknis program terjaga</w:t>
            </w:r>
          </w:p>
        </w:tc>
      </w:tr>
      <w:tr>
        <w:tc>
          <w:tcPr>
            <w:tcW w:type="dxa" w:w="2500"/>
            <w:shd w:fill="FBF0F3" w:val="clear"/>
            <w:tcMar>
              <w:top w:type="dxa" w:w="90"/>
              <w:left w:type="dxa" w:w="120"/>
              <w:bottom w:type="dxa" w:w="90"/>
              <w:right w:type="dxa" w:w="120"/>
            </w:tcMar>
          </w:tcPr>
          <w:p>
            <w:pPr>
              <w:spacing w:line="258"/>
            </w:pPr>
            <w:r>
              <w:rPr>
                <w:sz w:val="19"/>
                <w:szCs w:val="19"/>
              </w:rPr>
              <w:t xml:space="preserve">Dinas Pendidikan</w:t>
            </w:r>
          </w:p>
        </w:tc>
        <w:tc>
          <w:tcPr>
            <w:tcW w:type="dxa" w:w="3500"/>
            <w:shd w:fill="FBF0F3" w:val="clear"/>
            <w:tcMar>
              <w:top w:type="dxa" w:w="90"/>
              <w:left w:type="dxa" w:w="120"/>
              <w:bottom w:type="dxa" w:w="90"/>
              <w:right w:type="dxa" w:w="120"/>
            </w:tcMar>
          </w:tcPr>
          <w:p>
            <w:pPr>
              <w:spacing w:line="258"/>
            </w:pPr>
            <w:r>
              <w:rPr>
                <w:sz w:val="19"/>
                <w:szCs w:val="19"/>
              </w:rPr>
              <w:t xml:space="preserve">Integrasi edukasi kesehatan reproduksi remaja di sekolah</w:t>
            </w:r>
          </w:p>
        </w:tc>
        <w:tc>
          <w:tcPr>
            <w:tcW w:type="dxa" w:w="3100"/>
            <w:shd w:fill="FBF0F3" w:val="clear"/>
            <w:tcMar>
              <w:top w:type="dxa" w:w="90"/>
              <w:left w:type="dxa" w:w="120"/>
              <w:bottom w:type="dxa" w:w="90"/>
              <w:right w:type="dxa" w:w="120"/>
            </w:tcMar>
          </w:tcPr>
          <w:p>
            <w:pPr>
              <w:spacing w:line="258"/>
            </w:pPr>
            <w:r>
              <w:rPr>
                <w:sz w:val="19"/>
                <w:szCs w:val="19"/>
              </w:rPr>
              <w:t xml:space="preserve">Materi edukasi remaja tersampaikan</w:t>
            </w:r>
          </w:p>
        </w:tc>
      </w:tr>
      <w:tr>
        <w:tc>
          <w:tcPr>
            <w:tcW w:type="dxa" w:w="2500"/>
            <w:shd w:fill="FFFFFF" w:val="clear"/>
            <w:tcMar>
              <w:top w:type="dxa" w:w="90"/>
              <w:left w:type="dxa" w:w="120"/>
              <w:bottom w:type="dxa" w:w="90"/>
              <w:right w:type="dxa" w:w="120"/>
            </w:tcMar>
          </w:tcPr>
          <w:p>
            <w:pPr>
              <w:spacing w:line="258"/>
            </w:pPr>
            <w:r>
              <w:rPr>
                <w:sz w:val="19"/>
                <w:szCs w:val="19"/>
              </w:rPr>
              <w:t xml:space="preserve">Dinas Sosial/UPTD PPA</w:t>
            </w:r>
          </w:p>
        </w:tc>
        <w:tc>
          <w:tcPr>
            <w:tcW w:type="dxa" w:w="3500"/>
            <w:shd w:fill="FFFFFF" w:val="clear"/>
            <w:tcMar>
              <w:top w:type="dxa" w:w="90"/>
              <w:left w:type="dxa" w:w="120"/>
              <w:bottom w:type="dxa" w:w="90"/>
              <w:right w:type="dxa" w:w="120"/>
            </w:tcMar>
          </w:tcPr>
          <w:p>
            <w:pPr>
              <w:spacing w:line="258"/>
            </w:pPr>
            <w:r>
              <w:rPr>
                <w:sz w:val="19"/>
                <w:szCs w:val="19"/>
              </w:rPr>
              <w:t xml:space="preserve">Penanganan kasus kekerasan berbasis gender dan rujukan psikososial sesuai UU No. 12/2022 (UU TPKS)</w:t>
            </w:r>
          </w:p>
        </w:tc>
        <w:tc>
          <w:tcPr>
            <w:tcW w:type="dxa" w:w="3100"/>
            <w:shd w:fill="FFFFFF" w:val="clear"/>
            <w:tcMar>
              <w:top w:type="dxa" w:w="90"/>
              <w:left w:type="dxa" w:w="120"/>
              <w:bottom w:type="dxa" w:w="90"/>
              <w:right w:type="dxa" w:w="120"/>
            </w:tcMar>
          </w:tcPr>
          <w:p>
            <w:pPr>
              <w:spacing w:line="258"/>
            </w:pPr>
            <w:r>
              <w:rPr>
                <w:sz w:val="19"/>
                <w:szCs w:val="19"/>
              </w:rPr>
              <w:t xml:space="preserve">Layanan perlindungan korban berjalan</w:t>
            </w:r>
          </w:p>
        </w:tc>
      </w:tr>
      <w:tr>
        <w:tc>
          <w:tcPr>
            <w:tcW w:type="dxa" w:w="2500"/>
            <w:shd w:fill="FBF0F3" w:val="clear"/>
            <w:tcMar>
              <w:top w:type="dxa" w:w="90"/>
              <w:left w:type="dxa" w:w="120"/>
              <w:bottom w:type="dxa" w:w="90"/>
              <w:right w:type="dxa" w:w="120"/>
            </w:tcMar>
          </w:tcPr>
          <w:p>
            <w:pPr>
              <w:spacing w:line="258"/>
            </w:pPr>
            <w:r>
              <w:rPr>
                <w:sz w:val="19"/>
                <w:szCs w:val="19"/>
              </w:rPr>
              <w:t xml:space="preserve">BKKBN/Kampung Keluarga Berkualitas</w:t>
            </w:r>
          </w:p>
        </w:tc>
        <w:tc>
          <w:tcPr>
            <w:tcW w:type="dxa" w:w="3500"/>
            <w:shd w:fill="FBF0F3" w:val="clear"/>
            <w:tcMar>
              <w:top w:type="dxa" w:w="90"/>
              <w:left w:type="dxa" w:w="120"/>
              <w:bottom w:type="dxa" w:w="90"/>
              <w:right w:type="dxa" w:w="120"/>
            </w:tcMar>
          </w:tcPr>
          <w:p>
            <w:pPr>
              <w:spacing w:line="258"/>
            </w:pPr>
            <w:r>
              <w:rPr>
                <w:sz w:val="19"/>
                <w:szCs w:val="19"/>
              </w:rPr>
              <w:t xml:space="preserve">Integrasi data kependudukan dan konvergensi program KB-kesehatan reproduksi tingkat desa</w:t>
            </w:r>
          </w:p>
        </w:tc>
        <w:tc>
          <w:tcPr>
            <w:tcW w:type="dxa" w:w="3100"/>
            <w:shd w:fill="FBF0F3" w:val="clear"/>
            <w:tcMar>
              <w:top w:type="dxa" w:w="90"/>
              <w:left w:type="dxa" w:w="120"/>
              <w:bottom w:type="dxa" w:w="90"/>
              <w:right w:type="dxa" w:w="120"/>
            </w:tcMar>
          </w:tcPr>
          <w:p>
            <w:pPr>
              <w:spacing w:line="258"/>
            </w:pPr>
            <w:r>
              <w:rPr>
                <w:sz w:val="19"/>
                <w:szCs w:val="19"/>
              </w:rPr>
              <w:t xml:space="preserve">Konvergensi program lintas sektor tingkat desa</w:t>
            </w:r>
          </w:p>
        </w:tc>
      </w:tr>
      <w:tr>
        <w:tc>
          <w:tcPr>
            <w:tcW w:type="dxa" w:w="2500"/>
            <w:shd w:fill="FFFFFF" w:val="clear"/>
            <w:tcMar>
              <w:top w:type="dxa" w:w="90"/>
              <w:left w:type="dxa" w:w="120"/>
              <w:bottom w:type="dxa" w:w="90"/>
              <w:right w:type="dxa" w:w="120"/>
            </w:tcMar>
          </w:tcPr>
          <w:p>
            <w:pPr>
              <w:spacing w:line="258"/>
            </w:pPr>
            <w:r>
              <w:rPr>
                <w:sz w:val="19"/>
                <w:szCs w:val="19"/>
              </w:rPr>
              <w:t xml:space="preserve">Tokoh Agama/Masyarakat</w:t>
            </w:r>
          </w:p>
        </w:tc>
        <w:tc>
          <w:tcPr>
            <w:tcW w:type="dxa" w:w="3500"/>
            <w:shd w:fill="FFFFFF" w:val="clear"/>
            <w:tcMar>
              <w:top w:type="dxa" w:w="90"/>
              <w:left w:type="dxa" w:w="120"/>
              <w:bottom w:type="dxa" w:w="90"/>
              <w:right w:type="dxa" w:w="120"/>
            </w:tcMar>
          </w:tcPr>
          <w:p>
            <w:pPr>
              <w:spacing w:line="258"/>
            </w:pPr>
            <w:r>
              <w:rPr>
                <w:sz w:val="19"/>
                <w:szCs w:val="19"/>
              </w:rPr>
              <w:t xml:space="preserve">Advokasi dan penguatan penerimaan sosial program</w:t>
            </w:r>
          </w:p>
        </w:tc>
        <w:tc>
          <w:tcPr>
            <w:tcW w:type="dxa" w:w="3100"/>
            <w:shd w:fill="FFFFFF" w:val="clear"/>
            <w:tcMar>
              <w:top w:type="dxa" w:w="90"/>
              <w:left w:type="dxa" w:w="120"/>
              <w:bottom w:type="dxa" w:w="90"/>
              <w:right w:type="dxa" w:w="120"/>
            </w:tcMar>
          </w:tcPr>
          <w:p>
            <w:pPr>
              <w:spacing w:line="258"/>
            </w:pPr>
            <w:r>
              <w:rPr>
                <w:sz w:val="19"/>
                <w:szCs w:val="19"/>
              </w:rPr>
              <w:t xml:space="preserve">Dukungan sosial masyarakat meningkat</w:t>
            </w:r>
          </w:p>
        </w:tc>
      </w:tr>
      <w:tr>
        <w:tc>
          <w:tcPr>
            <w:tcW w:type="dxa" w:w="2500"/>
            <w:shd w:fill="FBF0F3" w:val="clear"/>
            <w:tcMar>
              <w:top w:type="dxa" w:w="90"/>
              <w:left w:type="dxa" w:w="120"/>
              <w:bottom w:type="dxa" w:w="90"/>
              <w:right w:type="dxa" w:w="120"/>
            </w:tcMar>
          </w:tcPr>
          <w:p>
            <w:pPr>
              <w:spacing w:line="258"/>
            </w:pPr>
            <w:r>
              <w:rPr>
                <w:sz w:val="19"/>
                <w:szCs w:val="19"/>
              </w:rPr>
              <w:t xml:space="preserve">BNPB/BPBD (konteks bencana)</w:t>
            </w:r>
          </w:p>
        </w:tc>
        <w:tc>
          <w:tcPr>
            <w:tcW w:type="dxa" w:w="3500"/>
            <w:shd w:fill="FBF0F3" w:val="clear"/>
            <w:tcMar>
              <w:top w:type="dxa" w:w="90"/>
              <w:left w:type="dxa" w:w="120"/>
              <w:bottom w:type="dxa" w:w="90"/>
              <w:right w:type="dxa" w:w="120"/>
            </w:tcMar>
          </w:tcPr>
          <w:p>
            <w:pPr>
              <w:spacing w:line="258"/>
            </w:pPr>
            <w:r>
              <w:rPr>
                <w:sz w:val="19"/>
                <w:szCs w:val="19"/>
              </w:rPr>
              <w:t xml:space="preserve">Koordinasi kesiapsiagaan layanan kesehatan reproduksi pada situasi darurat mengacu IAWG Field Manual 2018</w:t>
            </w:r>
          </w:p>
        </w:tc>
        <w:tc>
          <w:tcPr>
            <w:tcW w:type="dxa" w:w="3100"/>
            <w:shd w:fill="FBF0F3" w:val="clear"/>
            <w:tcMar>
              <w:top w:type="dxa" w:w="90"/>
              <w:left w:type="dxa" w:w="120"/>
              <w:bottom w:type="dxa" w:w="90"/>
              <w:right w:type="dxa" w:w="120"/>
            </w:tcMar>
          </w:tcPr>
          <w:p>
            <w:pPr>
              <w:spacing w:line="258"/>
            </w:pPr>
            <w:r>
              <w:rPr>
                <w:sz w:val="19"/>
                <w:szCs w:val="19"/>
              </w:rPr>
              <w:t xml:space="preserve">Kesinambungan layanan saat bencana terjaga</w:t>
            </w:r>
          </w:p>
        </w:tc>
      </w:tr>
    </w:tbl>
    <w:p>
      <w:pPr>
        <w:spacing w:before="160"/>
      </w:pPr>
    </w:p>
    <w:p>
      <w:pPr>
        <w:spacing w:after="140" w:line="288"/>
      </w:pPr>
      <w:r>
        <w:rPr>
          <w:sz w:val="22"/>
          <w:szCs w:val="22"/>
        </w:rPr>
        <w:t xml:space="preserve">Kolaborasi antara dokter Obginsos/tenaga Puskesmas dengan bidan turut diperkuat melalui FIGO-ICM Joint Statement on Contraception, yang merekomendasikan integrasi konseling kontrasepsi ke dalam kunjungan antenatal dan skrining kehamilan berbasis komunitas, termasuk penguatan akses kontrasepsi pascapersalinan.</w:t>
      </w:r>
    </w:p>
    <w:p>
      <w:pPr>
        <w:pStyle w:val="Heading1"/>
        <w:shd w:fill="7A1F3D" w:color="auto" w:val="clear"/>
        <w:spacing w:after="160" w:before="320"/>
        <w:ind w:left="100" w:right="100"/>
      </w:pPr>
      <w:r>
        <w:rPr>
          <w:b/>
          <w:bCs/>
          <w:color w:val="FFFFFF"/>
          <w:sz w:val="30"/>
          <w:szCs w:val="30"/>
        </w:rPr>
        <w:t xml:space="preserve">8. MONITORING DAN EVALUASI</w:t>
      </w:r>
    </w:p>
    <w:p>
      <w:pPr>
        <w:pStyle w:val="Heading2"/>
        <w:spacing w:after="120" w:before="240"/>
      </w:pPr>
      <w:r>
        <w:rPr>
          <w:b/>
          <w:bCs/>
          <w:color w:val="7A1F3D"/>
          <w:sz w:val="24"/>
          <w:szCs w:val="24"/>
        </w:rPr>
        <w:t xml:space="preserve">8.1 Mekanisme Monitoring</w:t>
      </w:r>
    </w:p>
    <w:p>
      <w:pPr>
        <w:pStyle w:val="ListParagraph"/>
        <w:numPr>
          <w:ilvl w:val="0"/>
          <w:numId w:val="2"/>
        </w:numPr>
        <w:spacing w:after="80" w:line="276"/>
      </w:pPr>
      <w:r>
        <w:rPr>
          <w:sz w:val="22"/>
          <w:szCs w:val="22"/>
        </w:rPr>
        <w:t xml:space="preserve">Pencatatan rutin bulanan oleh kader menggunakan formulir skrining dan buku registrasi Posyandu.</w:t>
      </w:r>
    </w:p>
    <w:p>
      <w:pPr>
        <w:pStyle w:val="ListParagraph"/>
        <w:numPr>
          <w:ilvl w:val="0"/>
          <w:numId w:val="2"/>
        </w:numPr>
        <w:spacing w:after="80" w:line="276"/>
      </w:pPr>
      <w:r>
        <w:rPr>
          <w:sz w:val="22"/>
          <w:szCs w:val="22"/>
        </w:rPr>
        <w:t xml:space="preserve">Pelaporan berjenjang dari kader ke Puskesmas, dan dari Puskesmas ke Dinas Kesehatan, sesuai jadwal pelaporan yang berlaku.</w:t>
      </w:r>
    </w:p>
    <w:p>
      <w:pPr>
        <w:pStyle w:val="ListParagraph"/>
        <w:numPr>
          <w:ilvl w:val="0"/>
          <w:numId w:val="2"/>
        </w:numPr>
        <w:spacing w:after="80" w:line="276"/>
      </w:pPr>
      <w:r>
        <w:rPr>
          <w:sz w:val="22"/>
          <w:szCs w:val="22"/>
        </w:rPr>
        <w:t xml:space="preserve">Supervisi fasilitatif berkala oleh Puskesmas dan pendampingan teknis oleh Obginsos minimal setiap triwulan, sejalan dengan rekomendasi supervisi kader dalam WHO Guideline on Community Health Worker Programmes (2018).</w:t>
      </w:r>
    </w:p>
    <w:p>
      <w:pPr>
        <w:pStyle w:val="ListParagraph"/>
        <w:numPr>
          <w:ilvl w:val="0"/>
          <w:numId w:val="2"/>
        </w:numPr>
        <w:spacing w:after="80" w:line="276"/>
      </w:pPr>
      <w:r>
        <w:rPr>
          <w:sz w:val="22"/>
          <w:szCs w:val="22"/>
        </w:rPr>
        <w:t xml:space="preserve">Pemanfaatan sistem informasi kesehatan yang sudah berjalan (mis. e-Kohort, atau sistem informasi Dinkes setempat) untuk konsolidasi data.</w:t>
      </w:r>
    </w:p>
    <w:p>
      <w:pPr>
        <w:pStyle w:val="Heading2"/>
        <w:spacing w:after="120" w:before="240"/>
      </w:pPr>
      <w:r>
        <w:rPr>
          <w:b/>
          <w:bCs/>
          <w:color w:val="7A1F3D"/>
          <w:sz w:val="24"/>
          <w:szCs w:val="24"/>
        </w:rPr>
        <w:t xml:space="preserve">8.2 Mekanisme Evaluasi</w:t>
      </w:r>
    </w:p>
    <w:p>
      <w:pPr>
        <w:pStyle w:val="ListParagraph"/>
        <w:numPr>
          <w:ilvl w:val="0"/>
          <w:numId w:val="2"/>
        </w:numPr>
        <w:spacing w:after="80" w:line="276"/>
      </w:pPr>
      <w:r>
        <w:rPr>
          <w:sz w:val="22"/>
          <w:szCs w:val="22"/>
        </w:rPr>
        <w:t xml:space="preserve">Evaluasi tengah tahun (mid-term) untuk menilai capaian terhadap target output.</w:t>
      </w:r>
    </w:p>
    <w:p>
      <w:pPr>
        <w:pStyle w:val="ListParagraph"/>
        <w:numPr>
          <w:ilvl w:val="0"/>
          <w:numId w:val="2"/>
        </w:numPr>
        <w:spacing w:after="80" w:line="276"/>
      </w:pPr>
      <w:r>
        <w:rPr>
          <w:sz w:val="22"/>
          <w:szCs w:val="22"/>
        </w:rPr>
        <w:t xml:space="preserve">Evaluasi akhir tahun untuk menilai capaian outcome dan menyusun rencana tindak lanjut tahun berikutnya.</w:t>
      </w:r>
    </w:p>
    <w:p>
      <w:pPr>
        <w:pStyle w:val="ListParagraph"/>
        <w:numPr>
          <w:ilvl w:val="0"/>
          <w:numId w:val="2"/>
        </w:numPr>
        <w:spacing w:after="80" w:line="276"/>
      </w:pPr>
      <w:r>
        <w:rPr>
          <w:sz w:val="22"/>
          <w:szCs w:val="22"/>
        </w:rPr>
        <w:t xml:space="preserve">Evaluasi partisipatif melibatkan kader dan masyarakat untuk menjaring umpan balik kualitatif.</w:t>
      </w:r>
    </w:p>
    <w:p>
      <w:pPr>
        <w:pStyle w:val="Heading2"/>
        <w:spacing w:after="120" w:before="240"/>
      </w:pPr>
      <w:r>
        <w:rPr>
          <w:b/>
          <w:bCs/>
          <w:color w:val="7A1F3D"/>
          <w:sz w:val="24"/>
          <w:szCs w:val="24"/>
        </w:rPr>
        <w:t xml:space="preserve">8.3 Instrumen Monitoring-Evaluasi</w:t>
      </w:r>
    </w:p>
    <w:tbl>
      <w:tblPr>
        <w:tblW w:type="dxa" w:w="9100"/>
        <w:tblBorders>
          <w:top w:val="single" w:color="auto" w:sz="4"/>
          <w:left w:val="single" w:color="auto" w:sz="4"/>
          <w:bottom w:val="single" w:color="auto" w:sz="4"/>
          <w:right w:val="single" w:color="auto" w:sz="4"/>
          <w:insideH w:val="single" w:color="auto" w:sz="4"/>
          <w:insideV w:val="single" w:color="auto" w:sz="4"/>
        </w:tblBorders>
      </w:tblPr>
      <w:tblGrid>
        <w:gridCol w:w="2600"/>
        <w:gridCol w:w="4200"/>
        <w:gridCol w:w="2300"/>
      </w:tblGrid>
      <w:tr>
        <w:trPr>
          <w:tblHeader/>
        </w:trPr>
        <w:tc>
          <w:tcPr>
            <w:tcW w:type="dxa" w:w="2600"/>
            <w:shd w:fill="7A1F3D" w:val="clear"/>
            <w:tcMar>
              <w:top w:type="dxa" w:w="100"/>
              <w:left w:type="dxa" w:w="120"/>
              <w:bottom w:type="dxa" w:w="100"/>
              <w:right w:type="dxa" w:w="120"/>
            </w:tcMar>
            <w:vAlign w:val="center"/>
          </w:tcPr>
          <w:p>
            <w:r>
              <w:rPr>
                <w:b/>
                <w:bCs/>
                <w:color w:val="FFFFFF"/>
                <w:sz w:val="19"/>
                <w:szCs w:val="19"/>
              </w:rPr>
              <w:t xml:space="preserve">Instrumen</w:t>
            </w:r>
          </w:p>
        </w:tc>
        <w:tc>
          <w:tcPr>
            <w:tcW w:type="dxa" w:w="4200"/>
            <w:shd w:fill="7A1F3D" w:val="clear"/>
            <w:tcMar>
              <w:top w:type="dxa" w:w="100"/>
              <w:left w:type="dxa" w:w="120"/>
              <w:bottom w:type="dxa" w:w="100"/>
              <w:right w:type="dxa" w:w="120"/>
            </w:tcMar>
            <w:vAlign w:val="center"/>
          </w:tcPr>
          <w:p>
            <w:r>
              <w:rPr>
                <w:b/>
                <w:bCs/>
                <w:color w:val="FFFFFF"/>
                <w:sz w:val="19"/>
                <w:szCs w:val="19"/>
              </w:rPr>
              <w:t xml:space="preserve">Fungsi</w:t>
            </w:r>
          </w:p>
        </w:tc>
        <w:tc>
          <w:tcPr>
            <w:tcW w:type="dxa" w:w="2300"/>
            <w:shd w:fill="7A1F3D" w:val="clear"/>
            <w:tcMar>
              <w:top w:type="dxa" w:w="100"/>
              <w:left w:type="dxa" w:w="120"/>
              <w:bottom w:type="dxa" w:w="100"/>
              <w:right w:type="dxa" w:w="120"/>
            </w:tcMar>
            <w:vAlign w:val="center"/>
          </w:tcPr>
          <w:p>
            <w:r>
              <w:rPr>
                <w:b/>
                <w:bCs/>
                <w:color w:val="FFFFFF"/>
                <w:sz w:val="19"/>
                <w:szCs w:val="19"/>
              </w:rPr>
              <w:t xml:space="preserve">Penanggung Jawab</w:t>
            </w:r>
          </w:p>
        </w:tc>
      </w:tr>
      <w:tr>
        <w:tc>
          <w:tcPr>
            <w:tcW w:type="dxa" w:w="2600"/>
            <w:shd w:fill="FFFFFF" w:val="clear"/>
            <w:tcMar>
              <w:top w:type="dxa" w:w="90"/>
              <w:left w:type="dxa" w:w="120"/>
              <w:bottom w:type="dxa" w:w="90"/>
              <w:right w:type="dxa" w:w="120"/>
            </w:tcMar>
          </w:tcPr>
          <w:p>
            <w:pPr>
              <w:spacing w:line="258"/>
            </w:pPr>
            <w:r>
              <w:rPr>
                <w:sz w:val="19"/>
                <w:szCs w:val="19"/>
              </w:rPr>
              <w:t xml:space="preserve">Formulir skrining risiko</w:t>
            </w:r>
          </w:p>
        </w:tc>
        <w:tc>
          <w:tcPr>
            <w:tcW w:type="dxa" w:w="4200"/>
            <w:shd w:fill="FFFFFF" w:val="clear"/>
            <w:tcMar>
              <w:top w:type="dxa" w:w="90"/>
              <w:left w:type="dxa" w:w="120"/>
              <w:bottom w:type="dxa" w:w="90"/>
              <w:right w:type="dxa" w:w="120"/>
            </w:tcMar>
          </w:tcPr>
          <w:p>
            <w:pPr>
              <w:spacing w:line="258"/>
            </w:pPr>
            <w:r>
              <w:rPr>
                <w:sz w:val="19"/>
                <w:szCs w:val="19"/>
              </w:rPr>
              <w:t xml:space="preserve">Mencatat hasil deteksi dini di tingkat masyarakat</w:t>
            </w:r>
          </w:p>
        </w:tc>
        <w:tc>
          <w:tcPr>
            <w:tcW w:type="dxa" w:w="2300"/>
            <w:shd w:fill="FFFFFF" w:val="clear"/>
            <w:tcMar>
              <w:top w:type="dxa" w:w="90"/>
              <w:left w:type="dxa" w:w="120"/>
              <w:bottom w:type="dxa" w:w="90"/>
              <w:right w:type="dxa" w:w="120"/>
            </w:tcMar>
          </w:tcPr>
          <w:p>
            <w:pPr>
              <w:spacing w:line="258"/>
            </w:pPr>
            <w:r>
              <w:rPr>
                <w:sz w:val="19"/>
                <w:szCs w:val="19"/>
              </w:rPr>
              <w:t xml:space="preserve">Kader</w:t>
            </w:r>
          </w:p>
        </w:tc>
      </w:tr>
      <w:tr>
        <w:tc>
          <w:tcPr>
            <w:tcW w:type="dxa" w:w="2600"/>
            <w:shd w:fill="FBF0F3" w:val="clear"/>
            <w:tcMar>
              <w:top w:type="dxa" w:w="90"/>
              <w:left w:type="dxa" w:w="120"/>
              <w:bottom w:type="dxa" w:w="90"/>
              <w:right w:type="dxa" w:w="120"/>
            </w:tcMar>
          </w:tcPr>
          <w:p>
            <w:pPr>
              <w:spacing w:line="258"/>
            </w:pPr>
            <w:r>
              <w:rPr>
                <w:sz w:val="19"/>
                <w:szCs w:val="19"/>
              </w:rPr>
              <w:t xml:space="preserve">Buku registrasi kohort</w:t>
            </w:r>
          </w:p>
        </w:tc>
        <w:tc>
          <w:tcPr>
            <w:tcW w:type="dxa" w:w="4200"/>
            <w:shd w:fill="FBF0F3" w:val="clear"/>
            <w:tcMar>
              <w:top w:type="dxa" w:w="90"/>
              <w:left w:type="dxa" w:w="120"/>
              <w:bottom w:type="dxa" w:w="90"/>
              <w:right w:type="dxa" w:w="120"/>
            </w:tcMar>
          </w:tcPr>
          <w:p>
            <w:pPr>
              <w:spacing w:line="258"/>
            </w:pPr>
            <w:r>
              <w:rPr>
                <w:sz w:val="19"/>
                <w:szCs w:val="19"/>
              </w:rPr>
              <w:t xml:space="preserve">Memantau tindak lanjut kasus per individu</w:t>
            </w:r>
          </w:p>
        </w:tc>
        <w:tc>
          <w:tcPr>
            <w:tcW w:type="dxa" w:w="2300"/>
            <w:shd w:fill="FBF0F3" w:val="clear"/>
            <w:tcMar>
              <w:top w:type="dxa" w:w="90"/>
              <w:left w:type="dxa" w:w="120"/>
              <w:bottom w:type="dxa" w:w="90"/>
              <w:right w:type="dxa" w:w="120"/>
            </w:tcMar>
          </w:tcPr>
          <w:p>
            <w:pPr>
              <w:spacing w:line="258"/>
            </w:pPr>
            <w:r>
              <w:rPr>
                <w:sz w:val="19"/>
                <w:szCs w:val="19"/>
              </w:rPr>
              <w:t xml:space="preserve">Puskesmas</w:t>
            </w:r>
          </w:p>
        </w:tc>
      </w:tr>
      <w:tr>
        <w:tc>
          <w:tcPr>
            <w:tcW w:type="dxa" w:w="2600"/>
            <w:shd w:fill="FFFFFF" w:val="clear"/>
            <w:tcMar>
              <w:top w:type="dxa" w:w="90"/>
              <w:left w:type="dxa" w:w="120"/>
              <w:bottom w:type="dxa" w:w="90"/>
              <w:right w:type="dxa" w:w="120"/>
            </w:tcMar>
          </w:tcPr>
          <w:p>
            <w:pPr>
              <w:spacing w:line="258"/>
            </w:pPr>
            <w:r>
              <w:rPr>
                <w:sz w:val="19"/>
                <w:szCs w:val="19"/>
              </w:rPr>
              <w:t xml:space="preserve">Laporan bulanan program</w:t>
            </w:r>
          </w:p>
        </w:tc>
        <w:tc>
          <w:tcPr>
            <w:tcW w:type="dxa" w:w="4200"/>
            <w:shd w:fill="FFFFFF" w:val="clear"/>
            <w:tcMar>
              <w:top w:type="dxa" w:w="90"/>
              <w:left w:type="dxa" w:w="120"/>
              <w:bottom w:type="dxa" w:w="90"/>
              <w:right w:type="dxa" w:w="120"/>
            </w:tcMar>
          </w:tcPr>
          <w:p>
            <w:pPr>
              <w:spacing w:line="258"/>
            </w:pPr>
            <w:r>
              <w:rPr>
                <w:sz w:val="19"/>
                <w:szCs w:val="19"/>
              </w:rPr>
              <w:t xml:space="preserve">Konsolidasi data cakupan dan capaian kegiatan</w:t>
            </w:r>
          </w:p>
        </w:tc>
        <w:tc>
          <w:tcPr>
            <w:tcW w:type="dxa" w:w="2300"/>
            <w:shd w:fill="FFFFFF" w:val="clear"/>
            <w:tcMar>
              <w:top w:type="dxa" w:w="90"/>
              <w:left w:type="dxa" w:w="120"/>
              <w:bottom w:type="dxa" w:w="90"/>
              <w:right w:type="dxa" w:w="120"/>
            </w:tcMar>
          </w:tcPr>
          <w:p>
            <w:pPr>
              <w:spacing w:line="258"/>
            </w:pPr>
            <w:r>
              <w:rPr>
                <w:sz w:val="19"/>
                <w:szCs w:val="19"/>
              </w:rPr>
              <w:t xml:space="preserve">Puskesmas/Dinkes</w:t>
            </w:r>
          </w:p>
        </w:tc>
      </w:tr>
      <w:tr>
        <w:tc>
          <w:tcPr>
            <w:tcW w:type="dxa" w:w="2600"/>
            <w:shd w:fill="FBF0F3" w:val="clear"/>
            <w:tcMar>
              <w:top w:type="dxa" w:w="90"/>
              <w:left w:type="dxa" w:w="120"/>
              <w:bottom w:type="dxa" w:w="90"/>
              <w:right w:type="dxa" w:w="120"/>
            </w:tcMar>
          </w:tcPr>
          <w:p>
            <w:pPr>
              <w:spacing w:line="258"/>
            </w:pPr>
            <w:r>
              <w:rPr>
                <w:sz w:val="19"/>
                <w:szCs w:val="19"/>
              </w:rPr>
              <w:t xml:space="preserve">Formulir umpan balik rujukan</w:t>
            </w:r>
          </w:p>
        </w:tc>
        <w:tc>
          <w:tcPr>
            <w:tcW w:type="dxa" w:w="4200"/>
            <w:shd w:fill="FBF0F3" w:val="clear"/>
            <w:tcMar>
              <w:top w:type="dxa" w:w="90"/>
              <w:left w:type="dxa" w:w="120"/>
              <w:bottom w:type="dxa" w:w="90"/>
              <w:right w:type="dxa" w:w="120"/>
            </w:tcMar>
          </w:tcPr>
          <w:p>
            <w:pPr>
              <w:spacing w:line="258"/>
            </w:pPr>
            <w:r>
              <w:rPr>
                <w:sz w:val="19"/>
                <w:szCs w:val="19"/>
              </w:rPr>
              <w:t xml:space="preserve">Menjaga kesinambungan informasi antara Puskesmas dan kader</w:t>
            </w:r>
          </w:p>
        </w:tc>
        <w:tc>
          <w:tcPr>
            <w:tcW w:type="dxa" w:w="2300"/>
            <w:shd w:fill="FBF0F3" w:val="clear"/>
            <w:tcMar>
              <w:top w:type="dxa" w:w="90"/>
              <w:left w:type="dxa" w:w="120"/>
              <w:bottom w:type="dxa" w:w="90"/>
              <w:right w:type="dxa" w:w="120"/>
            </w:tcMar>
          </w:tcPr>
          <w:p>
            <w:pPr>
              <w:spacing w:line="258"/>
            </w:pPr>
            <w:r>
              <w:rPr>
                <w:sz w:val="19"/>
                <w:szCs w:val="19"/>
              </w:rPr>
              <w:t xml:space="preserve">Puskesmas</w:t>
            </w:r>
          </w:p>
        </w:tc>
      </w:tr>
    </w:tbl>
    <w:p>
      <w:pPr>
        <w:spacing w:before="160"/>
      </w:pPr>
    </w:p>
    <w:p>
      <w:pPr>
        <w:pStyle w:val="Heading1"/>
        <w:shd w:fill="7A1F3D" w:color="auto" w:val="clear"/>
        <w:spacing w:after="160" w:before="320"/>
        <w:ind w:left="100" w:right="100"/>
      </w:pPr>
      <w:r>
        <w:rPr>
          <w:b/>
          <w:bCs/>
          <w:color w:val="FFFFFF"/>
          <w:sz w:val="30"/>
          <w:szCs w:val="30"/>
        </w:rPr>
        <w:t xml:space="preserve">9. INDIKATOR KEBERHASILAN</w:t>
      </w:r>
    </w:p>
    <w:p>
      <w:pPr>
        <w:spacing w:after="140" w:line="288"/>
      </w:pPr>
      <w:r>
        <w:rPr>
          <w:sz w:val="22"/>
          <w:szCs w:val="22"/>
        </w:rPr>
        <w:t xml:space="preserve">Indikator berikut disajikan dalam format ringkas bergaya dashboard sebagai acuan; nilai target numerik WAJIB ditetapkan oleh Dinkes/Puskesmas berdasarkan data dasar (baseline) masing-masing wilayah, bukan angka baku dari pedoman ini.</w:t>
      </w:r>
    </w:p>
    <w:tbl>
      <w:tblPr>
        <w:tblW w:type="dxa" w:w="9100"/>
        <w:tblBorders>
          <w:top w:val="single" w:color="auto" w:sz="4"/>
          <w:left w:val="single" w:color="auto" w:sz="4"/>
          <w:bottom w:val="single" w:color="auto" w:sz="4"/>
          <w:right w:val="single" w:color="auto" w:sz="4"/>
          <w:insideH w:val="single" w:color="auto" w:sz="4"/>
          <w:insideV w:val="single" w:color="auto" w:sz="4"/>
        </w:tblBorders>
      </w:tblPr>
      <w:tblGrid>
        <w:gridCol w:w="3200"/>
        <w:gridCol w:w="3000"/>
        <w:gridCol w:w="2900"/>
      </w:tblGrid>
      <w:tr>
        <w:trPr>
          <w:tblHeader/>
        </w:trPr>
        <w:tc>
          <w:tcPr>
            <w:tcW w:type="dxa" w:w="3200"/>
            <w:shd w:fill="7A1F3D" w:val="clear"/>
            <w:tcMar>
              <w:top w:type="dxa" w:w="100"/>
              <w:left w:type="dxa" w:w="120"/>
              <w:bottom w:type="dxa" w:w="100"/>
              <w:right w:type="dxa" w:w="120"/>
            </w:tcMar>
            <w:vAlign w:val="center"/>
          </w:tcPr>
          <w:p>
            <w:r>
              <w:rPr>
                <w:b/>
                <w:bCs/>
                <w:color w:val="FFFFFF"/>
                <w:sz w:val="19"/>
                <w:szCs w:val="19"/>
              </w:rPr>
              <w:t xml:space="preserve">Indikator</w:t>
            </w:r>
          </w:p>
        </w:tc>
        <w:tc>
          <w:tcPr>
            <w:tcW w:type="dxa" w:w="3000"/>
            <w:shd w:fill="7A1F3D" w:val="clear"/>
            <w:tcMar>
              <w:top w:type="dxa" w:w="100"/>
              <w:left w:type="dxa" w:w="120"/>
              <w:bottom w:type="dxa" w:w="100"/>
              <w:right w:type="dxa" w:w="120"/>
            </w:tcMar>
            <w:vAlign w:val="center"/>
          </w:tcPr>
          <w:p>
            <w:r>
              <w:rPr>
                <w:b/>
                <w:bCs/>
                <w:color w:val="FFFFFF"/>
                <w:sz w:val="19"/>
                <w:szCs w:val="19"/>
              </w:rPr>
              <w:t xml:space="preserve">Target (diisi Dinkes/Puskesmas)</w:t>
            </w:r>
          </w:p>
        </w:tc>
        <w:tc>
          <w:tcPr>
            <w:tcW w:type="dxa" w:w="2900"/>
            <w:shd w:fill="7A1F3D" w:val="clear"/>
            <w:tcMar>
              <w:top w:type="dxa" w:w="100"/>
              <w:left w:type="dxa" w:w="120"/>
              <w:bottom w:type="dxa" w:w="100"/>
              <w:right w:type="dxa" w:w="120"/>
            </w:tcMar>
            <w:vAlign w:val="center"/>
          </w:tcPr>
          <w:p>
            <w:r>
              <w:rPr>
                <w:b/>
                <w:bCs/>
                <w:color w:val="FFFFFF"/>
                <w:sz w:val="19"/>
                <w:szCs w:val="19"/>
              </w:rPr>
              <w:t xml:space="preserve">Sumber Data</w:t>
            </w:r>
          </w:p>
        </w:tc>
      </w:tr>
      <w:tr>
        <w:tc>
          <w:tcPr>
            <w:tcW w:type="dxa" w:w="3200"/>
            <w:shd w:fill="FFFFFF" w:val="clear"/>
            <w:tcMar>
              <w:top w:type="dxa" w:w="90"/>
              <w:left w:type="dxa" w:w="120"/>
              <w:bottom w:type="dxa" w:w="90"/>
              <w:right w:type="dxa" w:w="120"/>
            </w:tcMar>
          </w:tcPr>
          <w:p>
            <w:pPr>
              <w:spacing w:line="258"/>
            </w:pPr>
            <w:r>
              <w:rPr>
                <w:sz w:val="19"/>
                <w:szCs w:val="19"/>
              </w:rPr>
              <w:t xml:space="preserve">Persentase kader aktif terlatih dan tersertifikasi</w:t>
            </w:r>
          </w:p>
        </w:tc>
        <w:tc>
          <w:tcPr>
            <w:tcW w:type="dxa" w:w="3000"/>
            <w:shd w:fill="FFFFFF" w:val="clear"/>
            <w:tcMar>
              <w:top w:type="dxa" w:w="90"/>
              <w:left w:type="dxa" w:w="120"/>
              <w:bottom w:type="dxa" w:w="90"/>
              <w:right w:type="dxa" w:w="120"/>
            </w:tcMar>
          </w:tcPr>
          <w:p>
            <w:pPr>
              <w:spacing w:line="258"/>
            </w:pPr>
            <w:r>
              <w:rPr>
                <w:sz w:val="19"/>
                <w:szCs w:val="19"/>
              </w:rPr>
              <w:t xml:space="preserve">[Diisi sesuai baseline wilayah]</w:t>
            </w:r>
          </w:p>
        </w:tc>
        <w:tc>
          <w:tcPr>
            <w:tcW w:type="dxa" w:w="2900"/>
            <w:shd w:fill="FFFFFF" w:val="clear"/>
            <w:tcMar>
              <w:top w:type="dxa" w:w="90"/>
              <w:left w:type="dxa" w:w="120"/>
              <w:bottom w:type="dxa" w:w="90"/>
              <w:right w:type="dxa" w:w="120"/>
            </w:tcMar>
          </w:tcPr>
          <w:p>
            <w:pPr>
              <w:spacing w:line="258"/>
            </w:pPr>
            <w:r>
              <w:rPr>
                <w:sz w:val="19"/>
                <w:szCs w:val="19"/>
              </w:rPr>
              <w:t xml:space="preserve">Data pelatihan Puskesmas</w:t>
            </w:r>
          </w:p>
        </w:tc>
      </w:tr>
      <w:tr>
        <w:tc>
          <w:tcPr>
            <w:tcW w:type="dxa" w:w="3200"/>
            <w:shd w:fill="FBF0F3" w:val="clear"/>
            <w:tcMar>
              <w:top w:type="dxa" w:w="90"/>
              <w:left w:type="dxa" w:w="120"/>
              <w:bottom w:type="dxa" w:w="90"/>
              <w:right w:type="dxa" w:w="120"/>
            </w:tcMar>
          </w:tcPr>
          <w:p>
            <w:pPr>
              <w:spacing w:line="258"/>
            </w:pPr>
            <w:r>
              <w:rPr>
                <w:sz w:val="19"/>
                <w:szCs w:val="19"/>
              </w:rPr>
              <w:t xml:space="preserve">Persentase sasaran yang mendapat skrining</w:t>
            </w:r>
          </w:p>
        </w:tc>
        <w:tc>
          <w:tcPr>
            <w:tcW w:type="dxa" w:w="3000"/>
            <w:shd w:fill="FBF0F3" w:val="clear"/>
            <w:tcMar>
              <w:top w:type="dxa" w:w="90"/>
              <w:left w:type="dxa" w:w="120"/>
              <w:bottom w:type="dxa" w:w="90"/>
              <w:right w:type="dxa" w:w="120"/>
            </w:tcMar>
          </w:tcPr>
          <w:p>
            <w:pPr>
              <w:spacing w:line="258"/>
            </w:pPr>
            <w:r>
              <w:rPr>
                <w:sz w:val="19"/>
                <w:szCs w:val="19"/>
              </w:rPr>
              <w:t xml:space="preserve">[Diisi sesuai baseline wilayah]</w:t>
            </w:r>
          </w:p>
        </w:tc>
        <w:tc>
          <w:tcPr>
            <w:tcW w:type="dxa" w:w="2900"/>
            <w:shd w:fill="FBF0F3" w:val="clear"/>
            <w:tcMar>
              <w:top w:type="dxa" w:w="90"/>
              <w:left w:type="dxa" w:w="120"/>
              <w:bottom w:type="dxa" w:w="90"/>
              <w:right w:type="dxa" w:w="120"/>
            </w:tcMar>
          </w:tcPr>
          <w:p>
            <w:pPr>
              <w:spacing w:line="258"/>
            </w:pPr>
            <w:r>
              <w:rPr>
                <w:sz w:val="19"/>
                <w:szCs w:val="19"/>
              </w:rPr>
              <w:t xml:space="preserve">Formulir skrining kader</w:t>
            </w:r>
          </w:p>
        </w:tc>
      </w:tr>
      <w:tr>
        <w:tc>
          <w:tcPr>
            <w:tcW w:type="dxa" w:w="3200"/>
            <w:shd w:fill="FFFFFF" w:val="clear"/>
            <w:tcMar>
              <w:top w:type="dxa" w:w="90"/>
              <w:left w:type="dxa" w:w="120"/>
              <w:bottom w:type="dxa" w:w="90"/>
              <w:right w:type="dxa" w:w="120"/>
            </w:tcMar>
          </w:tcPr>
          <w:p>
            <w:pPr>
              <w:spacing w:line="258"/>
            </w:pPr>
            <w:r>
              <w:rPr>
                <w:sz w:val="19"/>
                <w:szCs w:val="19"/>
              </w:rPr>
              <w:t xml:space="preserve">Persentase kasus risiko tinggi dirujuk tepat waktu</w:t>
            </w:r>
          </w:p>
        </w:tc>
        <w:tc>
          <w:tcPr>
            <w:tcW w:type="dxa" w:w="3000"/>
            <w:shd w:fill="FFFFFF" w:val="clear"/>
            <w:tcMar>
              <w:top w:type="dxa" w:w="90"/>
              <w:left w:type="dxa" w:w="120"/>
              <w:bottom w:type="dxa" w:w="90"/>
              <w:right w:type="dxa" w:w="120"/>
            </w:tcMar>
          </w:tcPr>
          <w:p>
            <w:pPr>
              <w:spacing w:line="258"/>
            </w:pPr>
            <w:r>
              <w:rPr>
                <w:sz w:val="19"/>
                <w:szCs w:val="19"/>
              </w:rPr>
              <w:t xml:space="preserve">[Diisi sesuai baseline wilayah]</w:t>
            </w:r>
          </w:p>
        </w:tc>
        <w:tc>
          <w:tcPr>
            <w:tcW w:type="dxa" w:w="2900"/>
            <w:shd w:fill="FFFFFF" w:val="clear"/>
            <w:tcMar>
              <w:top w:type="dxa" w:w="90"/>
              <w:left w:type="dxa" w:w="120"/>
              <w:bottom w:type="dxa" w:w="90"/>
              <w:right w:type="dxa" w:w="120"/>
            </w:tcMar>
          </w:tcPr>
          <w:p>
            <w:pPr>
              <w:spacing w:line="258"/>
            </w:pPr>
            <w:r>
              <w:rPr>
                <w:sz w:val="19"/>
                <w:szCs w:val="19"/>
              </w:rPr>
              <w:t xml:space="preserve">Buku registrasi kohort</w:t>
            </w:r>
          </w:p>
        </w:tc>
      </w:tr>
      <w:tr>
        <w:tc>
          <w:tcPr>
            <w:tcW w:type="dxa" w:w="3200"/>
            <w:shd w:fill="FBF0F3" w:val="clear"/>
            <w:tcMar>
              <w:top w:type="dxa" w:w="90"/>
              <w:left w:type="dxa" w:w="120"/>
              <w:bottom w:type="dxa" w:w="90"/>
              <w:right w:type="dxa" w:w="120"/>
            </w:tcMar>
          </w:tcPr>
          <w:p>
            <w:pPr>
              <w:spacing w:line="258"/>
            </w:pPr>
            <w:r>
              <w:rPr>
                <w:sz w:val="19"/>
                <w:szCs w:val="19"/>
              </w:rPr>
              <w:t xml:space="preserve">Persentase rujukan dengan umpan balik ke kader</w:t>
            </w:r>
          </w:p>
        </w:tc>
        <w:tc>
          <w:tcPr>
            <w:tcW w:type="dxa" w:w="3000"/>
            <w:shd w:fill="FBF0F3" w:val="clear"/>
            <w:tcMar>
              <w:top w:type="dxa" w:w="90"/>
              <w:left w:type="dxa" w:w="120"/>
              <w:bottom w:type="dxa" w:w="90"/>
              <w:right w:type="dxa" w:w="120"/>
            </w:tcMar>
          </w:tcPr>
          <w:p>
            <w:pPr>
              <w:spacing w:line="258"/>
            </w:pPr>
            <w:r>
              <w:rPr>
                <w:sz w:val="19"/>
                <w:szCs w:val="19"/>
              </w:rPr>
              <w:t xml:space="preserve">[Diisi sesuai baseline wilayah]</w:t>
            </w:r>
          </w:p>
        </w:tc>
        <w:tc>
          <w:tcPr>
            <w:tcW w:type="dxa" w:w="2900"/>
            <w:shd w:fill="FBF0F3" w:val="clear"/>
            <w:tcMar>
              <w:top w:type="dxa" w:w="90"/>
              <w:left w:type="dxa" w:w="120"/>
              <w:bottom w:type="dxa" w:w="90"/>
              <w:right w:type="dxa" w:w="120"/>
            </w:tcMar>
          </w:tcPr>
          <w:p>
            <w:pPr>
              <w:spacing w:line="258"/>
            </w:pPr>
            <w:r>
              <w:rPr>
                <w:sz w:val="19"/>
                <w:szCs w:val="19"/>
              </w:rPr>
              <w:t xml:space="preserve">Formulir umpan balik rujukan</w:t>
            </w:r>
          </w:p>
        </w:tc>
      </w:tr>
      <w:tr>
        <w:tc>
          <w:tcPr>
            <w:tcW w:type="dxa" w:w="3200"/>
            <w:shd w:fill="FFFFFF" w:val="clear"/>
            <w:tcMar>
              <w:top w:type="dxa" w:w="90"/>
              <w:left w:type="dxa" w:w="120"/>
              <w:bottom w:type="dxa" w:w="90"/>
              <w:right w:type="dxa" w:w="120"/>
            </w:tcMar>
          </w:tcPr>
          <w:p>
            <w:pPr>
              <w:spacing w:line="258"/>
            </w:pPr>
            <w:r>
              <w:rPr>
                <w:sz w:val="19"/>
                <w:szCs w:val="19"/>
              </w:rPr>
              <w:t xml:space="preserve">Cakupan integrasi konseling kontrasepsi pada layanan antenatal/pascapersalinan berbasis masyarakat</w:t>
            </w:r>
          </w:p>
        </w:tc>
        <w:tc>
          <w:tcPr>
            <w:tcW w:type="dxa" w:w="3000"/>
            <w:shd w:fill="FFFFFF" w:val="clear"/>
            <w:tcMar>
              <w:top w:type="dxa" w:w="90"/>
              <w:left w:type="dxa" w:w="120"/>
              <w:bottom w:type="dxa" w:w="90"/>
              <w:right w:type="dxa" w:w="120"/>
            </w:tcMar>
          </w:tcPr>
          <w:p>
            <w:pPr>
              <w:spacing w:line="258"/>
            </w:pPr>
            <w:r>
              <w:rPr>
                <w:sz w:val="19"/>
                <w:szCs w:val="19"/>
              </w:rPr>
              <w:t xml:space="preserve">[Diisi sesuai baseline wilayah]</w:t>
            </w:r>
          </w:p>
        </w:tc>
        <w:tc>
          <w:tcPr>
            <w:tcW w:type="dxa" w:w="2900"/>
            <w:shd w:fill="FFFFFF" w:val="clear"/>
            <w:tcMar>
              <w:top w:type="dxa" w:w="90"/>
              <w:left w:type="dxa" w:w="120"/>
              <w:bottom w:type="dxa" w:w="90"/>
              <w:right w:type="dxa" w:w="120"/>
            </w:tcMar>
          </w:tcPr>
          <w:p>
            <w:pPr>
              <w:spacing w:line="258"/>
            </w:pPr>
            <w:r>
              <w:rPr>
                <w:sz w:val="19"/>
                <w:szCs w:val="19"/>
              </w:rPr>
              <w:t xml:space="preserve">Laporan Puskesmas, mengacu FIGO-ICM (2024)</w:t>
            </w:r>
          </w:p>
        </w:tc>
      </w:tr>
      <w:tr>
        <w:tc>
          <w:tcPr>
            <w:tcW w:type="dxa" w:w="3200"/>
            <w:shd w:fill="FBF0F3" w:val="clear"/>
            <w:tcMar>
              <w:top w:type="dxa" w:w="90"/>
              <w:left w:type="dxa" w:w="120"/>
              <w:bottom w:type="dxa" w:w="90"/>
              <w:right w:type="dxa" w:w="120"/>
            </w:tcMar>
          </w:tcPr>
          <w:p>
            <w:pPr>
              <w:spacing w:line="258"/>
            </w:pPr>
            <w:r>
              <w:rPr>
                <w:sz w:val="19"/>
                <w:szCs w:val="19"/>
              </w:rPr>
              <w:t xml:space="preserve">Jumlah kegiatan edukasi masyarakat terlaksana</w:t>
            </w:r>
          </w:p>
        </w:tc>
        <w:tc>
          <w:tcPr>
            <w:tcW w:type="dxa" w:w="3000"/>
            <w:shd w:fill="FBF0F3" w:val="clear"/>
            <w:tcMar>
              <w:top w:type="dxa" w:w="90"/>
              <w:left w:type="dxa" w:w="120"/>
              <w:bottom w:type="dxa" w:w="90"/>
              <w:right w:type="dxa" w:w="120"/>
            </w:tcMar>
          </w:tcPr>
          <w:p>
            <w:pPr>
              <w:spacing w:line="258"/>
            </w:pPr>
            <w:r>
              <w:rPr>
                <w:sz w:val="19"/>
                <w:szCs w:val="19"/>
              </w:rPr>
              <w:t xml:space="preserve">[Diisi sesuai baseline wilayah]</w:t>
            </w:r>
          </w:p>
        </w:tc>
        <w:tc>
          <w:tcPr>
            <w:tcW w:type="dxa" w:w="2900"/>
            <w:shd w:fill="FBF0F3" w:val="clear"/>
            <w:tcMar>
              <w:top w:type="dxa" w:w="90"/>
              <w:left w:type="dxa" w:w="120"/>
              <w:bottom w:type="dxa" w:w="90"/>
              <w:right w:type="dxa" w:w="120"/>
            </w:tcMar>
          </w:tcPr>
          <w:p>
            <w:pPr>
              <w:spacing w:line="258"/>
            </w:pPr>
            <w:r>
              <w:rPr>
                <w:sz w:val="19"/>
                <w:szCs w:val="19"/>
              </w:rPr>
              <w:t xml:space="preserve">Laporan bulanan program</w:t>
            </w:r>
          </w:p>
        </w:tc>
      </w:tr>
    </w:tbl>
    <w:p>
      <w:pPr>
        <w:spacing w:before="160"/>
      </w:pPr>
    </w:p>
    <w:p>
      <w:pPr>
        <w:pStyle w:val="Heading1"/>
        <w:shd w:fill="7A1F3D" w:color="auto" w:val="clear"/>
        <w:spacing w:after="160" w:before="320"/>
        <w:ind w:left="100" w:right="100"/>
      </w:pPr>
      <w:r>
        <w:rPr>
          <w:b/>
          <w:bCs/>
          <w:color w:val="FFFFFF"/>
          <w:sz w:val="30"/>
          <w:szCs w:val="30"/>
        </w:rPr>
        <w:t xml:space="preserve">10. PEMBIAYAAN</w:t>
      </w:r>
    </w:p>
    <w:p>
      <w:pPr>
        <w:spacing w:after="140" w:line="288"/>
      </w:pPr>
      <w:r>
        <w:rPr>
          <w:sz w:val="22"/>
          <w:szCs w:val="22"/>
        </w:rPr>
        <w:t xml:space="preserve">Pembiayaan program kesehatan reproduksi berbasis masyarakat dapat bersumber dari kombinasi anggaran berikut, disesuaikan dengan ketersediaan dan regulasi daerah masing-masing:</w:t>
      </w:r>
    </w:p>
    <w:p>
      <w:pPr>
        <w:pStyle w:val="ListParagraph"/>
        <w:numPr>
          <w:ilvl w:val="0"/>
          <w:numId w:val="2"/>
        </w:numPr>
        <w:spacing w:after="80" w:line="276"/>
      </w:pPr>
      <w:r>
        <w:rPr>
          <w:sz w:val="22"/>
          <w:szCs w:val="22"/>
        </w:rPr>
        <w:t xml:space="preserve">Anggaran Pendapatan dan Belanja Daerah (APBD) melalui Dinas Kesehatan.</w:t>
      </w:r>
    </w:p>
    <w:p>
      <w:pPr>
        <w:pStyle w:val="ListParagraph"/>
        <w:numPr>
          <w:ilvl w:val="0"/>
          <w:numId w:val="2"/>
        </w:numPr>
        <w:spacing w:after="80" w:line="276"/>
      </w:pPr>
      <w:r>
        <w:rPr>
          <w:sz w:val="22"/>
          <w:szCs w:val="22"/>
        </w:rPr>
        <w:t xml:space="preserve">Dana Alokasi Khusus (DAK) Bidang Kesehatan sesuai peruntukan program kesehatan reproduksi/KIA-KB.</w:t>
      </w:r>
    </w:p>
    <w:p>
      <w:pPr>
        <w:pStyle w:val="ListParagraph"/>
        <w:numPr>
          <w:ilvl w:val="0"/>
          <w:numId w:val="2"/>
        </w:numPr>
        <w:spacing w:after="80" w:line="276"/>
      </w:pPr>
      <w:r>
        <w:rPr>
          <w:sz w:val="22"/>
          <w:szCs w:val="22"/>
        </w:rPr>
        <w:t xml:space="preserve">Anggaran Pendapatan dan Belanja Desa (APBDes) untuk kegiatan promotif-preventif tingkat desa, termasuk konvergensi dengan program Kampung Keluarga Berkualitas.</w:t>
      </w:r>
    </w:p>
    <w:p>
      <w:pPr>
        <w:pStyle w:val="ListParagraph"/>
        <w:numPr>
          <w:ilvl w:val="0"/>
          <w:numId w:val="2"/>
        </w:numPr>
        <w:spacing w:after="80" w:line="276"/>
      </w:pPr>
      <w:r>
        <w:rPr>
          <w:sz w:val="22"/>
          <w:szCs w:val="22"/>
        </w:rPr>
        <w:t xml:space="preserve">Bantuan Operasional Kesehatan (BOK) Puskesmas.</w:t>
      </w:r>
    </w:p>
    <w:p>
      <w:pPr>
        <w:pStyle w:val="ListParagraph"/>
        <w:numPr>
          <w:ilvl w:val="0"/>
          <w:numId w:val="2"/>
        </w:numPr>
        <w:spacing w:after="80" w:line="276"/>
      </w:pPr>
      <w:r>
        <w:rPr>
          <w:sz w:val="22"/>
          <w:szCs w:val="22"/>
        </w:rPr>
        <w:t xml:space="preserve">Kemitraan dengan mitra pembangunan/organisasi non-pemerintah, sepanjang sesuai regulasi dan tidak bertentangan dengan kebijakan daerah.</w:t>
      </w:r>
    </w:p>
    <w:p>
      <w:pPr>
        <w:spacing w:after="140" w:line="288"/>
      </w:pPr>
      <w:r>
        <w:rPr>
          <w:sz w:val="22"/>
          <w:szCs w:val="22"/>
        </w:rPr>
        <w:t xml:space="preserve">Perencanaan anggaran WAJIB disusun bersamaan dengan rencana kerja tahunan program agar kegiatan pelatihan kader, edukasi masyarakat, dan monitoring-evaluasi dapat dilaksanakan secara berkelanjutan, selaras dengan mekanisme perencanaan-penganggaran konvergen sebagaimana diatur dalam Pedoman Optimalisasi Penyelenggaraan Kampung Keluarga Berkualitas (2023).</w:t>
      </w:r>
    </w:p>
    <w:p>
      <w:pPr>
        <w:pStyle w:val="Heading1"/>
        <w:shd w:fill="7A1F3D" w:color="auto" w:val="clear"/>
        <w:spacing w:after="160" w:before="320"/>
        <w:ind w:left="100" w:right="100"/>
      </w:pPr>
      <w:r>
        <w:rPr>
          <w:b/>
          <w:bCs/>
          <w:color w:val="FFFFFF"/>
          <w:sz w:val="30"/>
          <w:szCs w:val="30"/>
        </w:rPr>
        <w:t xml:space="preserve">11. PENUTUP</w:t>
      </w:r>
    </w:p>
    <w:p>
      <w:pPr>
        <w:spacing w:after="140" w:line="288"/>
      </w:pPr>
      <w:r>
        <w:rPr>
          <w:sz w:val="22"/>
          <w:szCs w:val="22"/>
        </w:rPr>
        <w:t xml:space="preserve">Pedoman ini disusun sebagai acuan operasional bagi Dinas Kesehatan, Puskesmas, kader, dan pemangku kepentingan lintas sektor dalam merencanakan dan melaksanakan program kesehatan reproduksi berbasis masyarakat secara sistematis, selaras dengan standar kompetensi Subspesialis Obginsos menurut Konsil Kesehatan Indonesia serta standar internasional yang relevan (WHO, IAWG, FIGO-ICM). Keberhasilan pelaksanaannya sangat ditentukan oleh komitmen bersama seluruh pihak, mulai dari tingkat keluarga hingga pemerintah daerah, serta konsistensi dalam pencatatan, pelaporan, dan evaluasi berkala.</w:t>
      </w:r>
    </w:p>
    <w:p>
      <w:pPr>
        <w:spacing w:after="140" w:line="288"/>
      </w:pPr>
      <w:r>
        <w:rPr>
          <w:sz w:val="22"/>
          <w:szCs w:val="22"/>
        </w:rPr>
        <w:t xml:space="preserve">Pedoman ini bersifat dinamis dan akan ditinjau ulang secara berkala mengikuti perkembangan regulasi nasional serta pemutakhiran standar teknis internasional, dengan tetap merujuk pada standar kompetensi Subspesialis Obginsos sebagai penggerak teknis program.</w:t>
      </w:r>
    </w:p>
    <w:p>
      <w:pPr>
        <w:pStyle w:val="Heading1"/>
        <w:shd w:fill="7A1F3D" w:color="auto" w:val="clear"/>
        <w:spacing w:after="160" w:before="320"/>
        <w:ind w:left="100" w:right="100"/>
      </w:pPr>
      <w:r>
        <w:rPr>
          <w:b/>
          <w:bCs/>
          <w:color w:val="FFFFFF"/>
          <w:sz w:val="30"/>
          <w:szCs w:val="30"/>
        </w:rPr>
        <w:t xml:space="preserve">12. KEPUSTAKAAN</w:t>
      </w:r>
    </w:p>
    <w:p>
      <w:pPr>
        <w:spacing w:after="140" w:line="276"/>
        <w:ind w:left="260" w:hanging="260"/>
      </w:pPr>
      <w:r>
        <w:rPr>
          <w:b/>
          <w:bCs/>
          <w:sz w:val="20"/>
          <w:szCs w:val="20"/>
        </w:rPr>
        <w:t xml:space="preserve">1. </w:t>
      </w:r>
      <w:r>
        <w:rPr>
          <w:sz w:val="20"/>
          <w:szCs w:val="20"/>
        </w:rPr>
        <w:t xml:space="preserve">Konsil Kesehatan Indonesia. Keputusan Ketua Konsil Kesehatan Indonesia Nomor HK.01.02/KKI/1318/2026 tentang Standar Kompetensi Dokter Spesialis dan Subspesialis Bidang Obstetri dan Ginekologi. </w:t>
      </w:r>
      <w:r>
        <w:rPr>
          <w:i/>
          <w:iCs/>
          <w:color w:val="666666"/>
          <w:sz w:val="20"/>
          <w:szCs w:val="20"/>
        </w:rPr>
        <w:t xml:space="preserve">Dokumen resmi dilampirkan pengguna; tautan publik belum teridentifikasi pada saat penyusunan dokumen ini.</w:t>
      </w:r>
    </w:p>
    <w:p>
      <w:pPr>
        <w:spacing w:after="140" w:line="276"/>
        <w:ind w:left="260" w:hanging="260"/>
      </w:pPr>
      <w:r>
        <w:rPr>
          <w:b/>
          <w:bCs/>
          <w:sz w:val="20"/>
          <w:szCs w:val="20"/>
        </w:rPr>
        <w:t xml:space="preserve">2. </w:t>
      </w:r>
      <w:r>
        <w:rPr>
          <w:sz w:val="20"/>
          <w:szCs w:val="20"/>
        </w:rPr>
        <w:t xml:space="preserve">Republik Indonesia. Undang-Undang Nomor 17 Tahun 2023 tentang Kesehatan. </w:t>
      </w:r>
      <w:hyperlink w:history="1" r:id="rIdwkzezpoduvrxhyxfxphez">
        <w:r>
          <w:rPr>
            <w:color w:val="1A5276"/>
            <w:sz w:val="20"/>
            <w:szCs w:val="20"/>
            <w:u w:val="single"/>
          </w:rPr>
          <w:t xml:space="preserve">https://peraturan.go.id/id/uu-no-17-tahun-2023</w:t>
        </w:r>
      </w:hyperlink>
    </w:p>
    <w:p>
      <w:pPr>
        <w:spacing w:after="140" w:line="276"/>
        <w:ind w:left="260" w:hanging="260"/>
      </w:pPr>
      <w:r>
        <w:rPr>
          <w:b/>
          <w:bCs/>
          <w:sz w:val="20"/>
          <w:szCs w:val="20"/>
        </w:rPr>
        <w:t xml:space="preserve">3. </w:t>
      </w:r>
      <w:r>
        <w:rPr>
          <w:sz w:val="20"/>
          <w:szCs w:val="20"/>
        </w:rPr>
        <w:t xml:space="preserve">Republik Indonesia. Peraturan Pemerintah Nomor 28 Tahun 2024 tentang Peraturan Pelaksanaan Undang-Undang Nomor 17 Tahun 2023 tentang Kesehatan. </w:t>
      </w:r>
      <w:hyperlink w:history="1" r:id="rIdau9ilkbytdq873veax4tb">
        <w:r>
          <w:rPr>
            <w:color w:val="1A5276"/>
            <w:sz w:val="20"/>
            <w:szCs w:val="20"/>
            <w:u w:val="single"/>
          </w:rPr>
          <w:t xml:space="preserve">https://peraturan.go.id/id/pp-no-28-tahun-2024</w:t>
        </w:r>
      </w:hyperlink>
    </w:p>
    <w:p>
      <w:pPr>
        <w:spacing w:after="140" w:line="276"/>
        <w:ind w:left="260" w:hanging="260"/>
      </w:pPr>
      <w:r>
        <w:rPr>
          <w:b/>
          <w:bCs/>
          <w:sz w:val="20"/>
          <w:szCs w:val="20"/>
        </w:rPr>
        <w:t xml:space="preserve">4. </w:t>
      </w:r>
      <w:r>
        <w:rPr>
          <w:sz w:val="20"/>
          <w:szCs w:val="20"/>
        </w:rPr>
        <w:t xml:space="preserve">Republik Indonesia. Peraturan Pemerintah Nomor 61 Tahun 2014 tentang Kesehatan Reproduksi. </w:t>
      </w:r>
      <w:hyperlink w:history="1" r:id="rIdspxqw02r52-b70ndkjvyf">
        <w:r>
          <w:rPr>
            <w:color w:val="1A5276"/>
            <w:sz w:val="20"/>
            <w:szCs w:val="20"/>
            <w:u w:val="single"/>
          </w:rPr>
          <w:t xml:space="preserve">https://peraturan.go.id/id/pp-no-61-tahun-2014</w:t>
        </w:r>
      </w:hyperlink>
    </w:p>
    <w:p>
      <w:pPr>
        <w:spacing w:after="140" w:line="276"/>
        <w:ind w:left="260" w:hanging="260"/>
      </w:pPr>
      <w:r>
        <w:rPr>
          <w:b/>
          <w:bCs/>
          <w:sz w:val="20"/>
          <w:szCs w:val="20"/>
        </w:rPr>
        <w:t xml:space="preserve">5. </w:t>
      </w:r>
      <w:r>
        <w:rPr>
          <w:sz w:val="20"/>
          <w:szCs w:val="20"/>
        </w:rPr>
        <w:t xml:space="preserve">Kementerian Kesehatan Republik Indonesia. Peraturan Menteri Kesehatan Nomor 1438/MENKES/SK/IX/2010 tentang Standar Pelayanan Kedokteran. </w:t>
      </w:r>
      <w:hyperlink w:history="1" r:id="rIdxxfe-vkxgnfcpvonfynud">
        <w:r>
          <w:rPr>
            <w:color w:val="1A5276"/>
            <w:sz w:val="20"/>
            <w:szCs w:val="20"/>
            <w:u w:val="single"/>
          </w:rPr>
          <w:t xml:space="preserve">https://peraturan.go.id/id/permenkes-no-1438-menkes-sk-ix-2010-tahun-2010</w:t>
        </w:r>
      </w:hyperlink>
    </w:p>
    <w:p>
      <w:pPr>
        <w:spacing w:after="140" w:line="276"/>
        <w:ind w:left="260" w:hanging="260"/>
      </w:pPr>
      <w:r>
        <w:rPr>
          <w:b/>
          <w:bCs/>
          <w:sz w:val="20"/>
          <w:szCs w:val="20"/>
        </w:rPr>
        <w:t xml:space="preserve">6. </w:t>
      </w:r>
      <w:r>
        <w:rPr>
          <w:sz w:val="20"/>
          <w:szCs w:val="20"/>
        </w:rPr>
        <w:t xml:space="preserve">Republik Indonesia. Undang-Undang Nomor 12 Tahun 2022 tentang Tindak Pidana Kekerasan Seksual. </w:t>
      </w:r>
      <w:hyperlink w:history="1" r:id="rId9-h87aqovoce3fegvjys5">
        <w:r>
          <w:rPr>
            <w:color w:val="1A5276"/>
            <w:sz w:val="20"/>
            <w:szCs w:val="20"/>
            <w:u w:val="single"/>
          </w:rPr>
          <w:t xml:space="preserve">https://peraturan.go.id/id/uu-no-12-tahun-2022</w:t>
        </w:r>
      </w:hyperlink>
    </w:p>
    <w:p>
      <w:pPr>
        <w:spacing w:after="140" w:line="276"/>
        <w:ind w:left="260" w:hanging="260"/>
      </w:pPr>
      <w:r>
        <w:rPr>
          <w:b/>
          <w:bCs/>
          <w:sz w:val="20"/>
          <w:szCs w:val="20"/>
        </w:rPr>
        <w:t xml:space="preserve">7. </w:t>
      </w:r>
      <w:r>
        <w:rPr>
          <w:sz w:val="20"/>
          <w:szCs w:val="20"/>
        </w:rPr>
        <w:t xml:space="preserve">Republik Indonesia. Undang-Undang Nomor 52 Tahun 2009 tentang Perkembangan Kependudukan dan Pembangunan Keluarga. </w:t>
      </w:r>
      <w:hyperlink w:history="1" r:id="rIddlq6vj89dvnmblxals8ao">
        <w:r>
          <w:rPr>
            <w:color w:val="1A5276"/>
            <w:sz w:val="20"/>
            <w:szCs w:val="20"/>
            <w:u w:val="single"/>
          </w:rPr>
          <w:t xml:space="preserve">https://peraturan.go.id/id/uu-no-52-tahun-2009</w:t>
        </w:r>
      </w:hyperlink>
    </w:p>
    <w:p>
      <w:pPr>
        <w:spacing w:after="140" w:line="276"/>
        <w:ind w:left="260" w:hanging="260"/>
      </w:pPr>
      <w:r>
        <w:rPr>
          <w:b/>
          <w:bCs/>
          <w:sz w:val="20"/>
          <w:szCs w:val="20"/>
        </w:rPr>
        <w:t xml:space="preserve">8. </w:t>
      </w:r>
      <w:r>
        <w:rPr>
          <w:sz w:val="20"/>
          <w:szCs w:val="20"/>
        </w:rPr>
        <w:t xml:space="preserve">Kementerian Koordinator Bidang Pembangunan Manusia dan Kebudayaan, Kementerian Dalam Negeri, Badan Kependudukan dan Keluarga Berencana Nasional. Pedoman Optimalisasi Penyelenggaraan Kampung Keluarga Berkualitas. Jakarta, 2023. </w:t>
      </w:r>
      <w:hyperlink w:history="1" r:id="rIdin0btarr2do4qptlt3b5x">
        <w:r>
          <w:rPr>
            <w:color w:val="1A5276"/>
            <w:sz w:val="20"/>
            <w:szCs w:val="20"/>
            <w:u w:val="single"/>
          </w:rPr>
          <w:t xml:space="preserve">https://docu.bkkbndiy.id/wp-content/uploads/2024/05/Pedoman-Optimalisasi-Penyelenggaraan-Kampung-Keluarga-Berkualitas.pdf</w:t>
        </w:r>
      </w:hyperlink>
    </w:p>
    <w:p>
      <w:pPr>
        <w:spacing w:after="140" w:line="276"/>
        <w:ind w:left="260" w:hanging="260"/>
      </w:pPr>
      <w:r>
        <w:rPr>
          <w:b/>
          <w:bCs/>
          <w:sz w:val="20"/>
          <w:szCs w:val="20"/>
        </w:rPr>
        <w:t xml:space="preserve">9. </w:t>
      </w:r>
      <w:r>
        <w:rPr>
          <w:sz w:val="20"/>
          <w:szCs w:val="20"/>
        </w:rPr>
        <w:t xml:space="preserve">Inter-Agency Working Group on Reproductive Health in Crises (IAWG). Inter-agency Field Manual on Reproductive Health in Humanitarian Settings, edisi 2018 (pemutakhiran dari Reproductive Health in Refugee Situations: An Inter-Agency Field Manual, 1999). </w:t>
      </w:r>
      <w:hyperlink w:history="1" r:id="rId8oc6hkv6-mm2qpcvnkncd">
        <w:r>
          <w:rPr>
            <w:color w:val="1A5276"/>
            <w:sz w:val="20"/>
            <w:szCs w:val="20"/>
            <w:u w:val="single"/>
          </w:rPr>
          <w:t xml:space="preserve">https://www.iawgfieldmanual.com/manual</w:t>
        </w:r>
      </w:hyperlink>
    </w:p>
    <w:p>
      <w:pPr>
        <w:spacing w:after="140" w:line="276"/>
        <w:ind w:left="260" w:hanging="260"/>
      </w:pPr>
      <w:r>
        <w:rPr>
          <w:b/>
          <w:bCs/>
          <w:sz w:val="20"/>
          <w:szCs w:val="20"/>
        </w:rPr>
        <w:t xml:space="preserve">10. </w:t>
      </w:r>
      <w:r>
        <w:rPr>
          <w:sz w:val="20"/>
          <w:szCs w:val="20"/>
        </w:rPr>
        <w:t xml:space="preserve">World Health Organization. WHO Guideline on Health Policy and System Support to Optimize Community Health Worker Programmes. Geneva: WHO; 2018. </w:t>
      </w:r>
      <w:hyperlink w:history="1" r:id="rIdreiofztqybluzgsq-m2aj">
        <w:r>
          <w:rPr>
            <w:color w:val="1A5276"/>
            <w:sz w:val="20"/>
            <w:szCs w:val="20"/>
            <w:u w:val="single"/>
          </w:rPr>
          <w:t xml:space="preserve">https://www.who.int/publications/i/item/9789241550369</w:t>
        </w:r>
      </w:hyperlink>
    </w:p>
    <w:p>
      <w:pPr>
        <w:spacing w:after="140" w:line="276"/>
        <w:ind w:left="260" w:hanging="260"/>
      </w:pPr>
      <w:r>
        <w:rPr>
          <w:b/>
          <w:bCs/>
          <w:sz w:val="20"/>
          <w:szCs w:val="20"/>
        </w:rPr>
        <w:t xml:space="preserve">11. </w:t>
      </w:r>
      <w:r>
        <w:rPr>
          <w:sz w:val="20"/>
          <w:szCs w:val="20"/>
        </w:rPr>
        <w:t xml:space="preserve">International Federation of Gynecology and Obstetrics (FIGO), International Confederation of Midwives (ICM). FIGO-ICM Joint Statement on Contraception. </w:t>
      </w:r>
      <w:hyperlink w:history="1" r:id="rIdt3hldbgt3o2v0dfeswxz1">
        <w:r>
          <w:rPr>
            <w:color w:val="1A5276"/>
            <w:sz w:val="20"/>
            <w:szCs w:val="20"/>
            <w:u w:val="single"/>
          </w:rPr>
          <w:t xml:space="preserve">https://www.figo.org/resources/figo-statements/figo-icm-joint-statement-contraception</w:t>
        </w:r>
      </w:hyperlink>
    </w:p>
    <w:p>
      <w:pPr>
        <w:spacing w:after="140" w:line="276"/>
        <w:ind w:left="260" w:hanging="260"/>
      </w:pPr>
      <w:r>
        <w:rPr>
          <w:b/>
          <w:bCs/>
          <w:sz w:val="20"/>
          <w:szCs w:val="20"/>
        </w:rPr>
        <w:t xml:space="preserve">12. </w:t>
      </w:r>
      <w:r>
        <w:rPr>
          <w:sz w:val="20"/>
          <w:szCs w:val="20"/>
        </w:rPr>
        <w:t xml:space="preserve">Aberdeen Medico-Chirurgical Society. Sir Dugald Baird — perintis social obstetrics dan pendiri Aberdeen Maternity and Neonatal Databank (1951). </w:t>
      </w:r>
      <w:hyperlink w:history="1" r:id="rIdb4fs1q20puoogjfemkgwk">
        <w:r>
          <w:rPr>
            <w:color w:val="1A5276"/>
            <w:sz w:val="20"/>
            <w:szCs w:val="20"/>
            <w:u w:val="single"/>
          </w:rPr>
          <w:t xml:space="preserve">https://med-chi.co.uk/heritage/archive/people/sir-dugald-baird/</w:t>
        </w:r>
      </w:hyperlink>
    </w:p>
    <w:sectPr>
      <w:headerReference w:type="default" r:id="rId7"/>
      <w:footerReference w:type="default" r:id="rId8"/>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66666"/>
        <w:sz w:val="18"/>
        <w:szCs w:val="18"/>
      </w:rPr>
      <w:t xml:space="preserve">Halaman </w:t>
    </w:r>
    <w:r>
      <w:rPr>
        <w:color w:val="666666"/>
        <w:sz w:val="18"/>
        <w:szCs w:val="18"/>
      </w:rPr>
      <w:fldChar w:fldCharType="begin"/>
      <w:instrText xml:space="preserve">PAGE</w:instrText>
      <w:fldChar w:fldCharType="separate"/>
      <w:fldChar w:fldCharType="end"/>
    </w:r>
    <w:r>
      <w:rPr>
        <w:color w:val="666666"/>
        <w:sz w:val="18"/>
        <w:szCs w:val="18"/>
      </w:rPr>
      <w:t xml:space="preserve"> dari </w:t>
    </w:r>
    <w:r>
      <w:rPr>
        <w:color w:val="666666"/>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666666"/>
        <w:sz w:val="16"/>
        <w:szCs w:val="16"/>
      </w:rPr>
      <w:t xml:space="preserve">Pedoman Perencanaan dan Pelaksanaan Program Kesehatan Reproduksi Berbasis Masyarakat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60"/>
      </w:pPr>
    </w:lvl>
  </w:abstractNum>
  <w:abstractNum w:abstractNumId="3" w15:restartNumberingAfterBreak="0">
    <w:multiLevelType w:val="hybridMultilevel"/>
    <w:lvl w:ilvl="0" w15:tentative="1">
      <w:start w:val="1"/>
      <w:numFmt w:val="decimal"/>
      <w:lvlText w:val="%1."/>
      <w:lvlJc w:val="left"/>
      <w:pPr>
        <w:ind w:left="480" w:hanging="2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wkzezpoduvrxhyxfxphez" Type="http://schemas.openxmlformats.org/officeDocument/2006/relationships/hyperlink" Target="https://peraturan.go.id/id/uu-no-17-tahun-2023" TargetMode="External"/><Relationship Id="rIdau9ilkbytdq873veax4tb" Type="http://schemas.openxmlformats.org/officeDocument/2006/relationships/hyperlink" Target="https://peraturan.go.id/id/pp-no-28-tahun-2024" TargetMode="External"/><Relationship Id="rIdspxqw02r52-b70ndkjvyf" Type="http://schemas.openxmlformats.org/officeDocument/2006/relationships/hyperlink" Target="https://peraturan.go.id/id/pp-no-61-tahun-2014" TargetMode="External"/><Relationship Id="rIdxxfe-vkxgnfcpvonfynud" Type="http://schemas.openxmlformats.org/officeDocument/2006/relationships/hyperlink" Target="https://peraturan.go.id/id/permenkes-no-1438-menkes-sk-ix-2010-tahun-2010" TargetMode="External"/><Relationship Id="rId9-h87aqovoce3fegvjys5" Type="http://schemas.openxmlformats.org/officeDocument/2006/relationships/hyperlink" Target="https://peraturan.go.id/id/uu-no-12-tahun-2022" TargetMode="External"/><Relationship Id="rIddlq6vj89dvnmblxals8ao" Type="http://schemas.openxmlformats.org/officeDocument/2006/relationships/hyperlink" Target="https://peraturan.go.id/id/uu-no-52-tahun-2009" TargetMode="External"/><Relationship Id="rIdin0btarr2do4qptlt3b5x" Type="http://schemas.openxmlformats.org/officeDocument/2006/relationships/hyperlink" Target="https://docu.bkkbndiy.id/wp-content/uploads/2024/05/Pedoman-Optimalisasi-Penyelenggaraan-Kampung-Keluarga-Berkualitas.pdf" TargetMode="External"/><Relationship Id="rId8oc6hkv6-mm2qpcvnkncd" Type="http://schemas.openxmlformats.org/officeDocument/2006/relationships/hyperlink" Target="https://www.iawgfieldmanual.com/manual" TargetMode="External"/><Relationship Id="rIdreiofztqybluzgsq-m2aj" Type="http://schemas.openxmlformats.org/officeDocument/2006/relationships/hyperlink" Target="https://www.who.int/publications/i/item/9789241550369" TargetMode="External"/><Relationship Id="rIdt3hldbgt3o2v0dfeswxz1" Type="http://schemas.openxmlformats.org/officeDocument/2006/relationships/hyperlink" Target="https://www.figo.org/resources/figo-statements/figo-icm-joint-statement-contraception" TargetMode="External"/><Relationship Id="rIdb4fs1q20puoogjfemkgwk" Type="http://schemas.openxmlformats.org/officeDocument/2006/relationships/hyperlink" Target="https://med-chi.co.uk/heritage/archive/people/sir-dugald-baird/" TargetMode="External"/><Relationship Id="rId2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2026-07-31T18:48:00.971Z</dcterms:created>
  <dcterms:modified xsi:type="dcterms:W3CDTF">2026-07-31T18:48:00.986Z</dcterms:modified>
</cp:coreProperties>
</file>

<file path=docProps/custom.xml><?xml version="1.0" encoding="utf-8"?>
<Properties xmlns="http://schemas.openxmlformats.org/officeDocument/2006/custom-properties" xmlns:vt="http://schemas.openxmlformats.org/officeDocument/2006/docPropsVTypes"/>
</file>