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500"/>
              <w:left w:type="dxa" w:w="400"/>
              <w:bottom w:type="dxa" w:w="500"/>
              <w:right w:type="dxa" w:w="400"/>
            </w:tcMar>
          </w:tcPr>
          <w:p>
            <w:pPr>
              <w:spacing w:after="200"/>
            </w:pPr>
            <w:r>
              <w:rPr>
                <w:b/>
                <w:bCs/>
                <w:color w:val="7A1F3D"/>
                <w:sz w:val="17"/>
                <w:szCs w:val="17"/>
                <w:shd w:fill="FFFFFF" w:color="auto" w:val="clear"/>
              </w:rPr>
              <w:t xml:space="preserve">  PEDOMAN MASYARAKAT — EDISI DIPERKAYA &amp; TERAUDIT  </w:t>
            </w:r>
          </w:p>
          <w:p>
            <w:pPr>
              <w:spacing w:after="100"/>
            </w:pPr>
            <w:r>
              <w:rPr>
                <w:i/>
                <w:iCs/>
                <w:color w:val="F2D9E2"/>
                <w:sz w:val="20"/>
                <w:szCs w:val="20"/>
              </w:rPr>
              <w:t xml:space="preserve">Seri Obstetri Ginekologi Sosial — Dokumen 3 dari 5</w:t>
            </w:r>
          </w:p>
          <w:p>
            <w:pPr>
              <w:spacing w:after="100" w:before="100"/>
            </w:pPr>
            <w:r>
              <w:rPr>
                <w:b/>
                <w:bCs/>
                <w:color w:val="FFFFFF"/>
                <w:sz w:val="38"/>
                <w:szCs w:val="38"/>
              </w:rPr>
              <w:t xml:space="preserve">PEDOMAN PELATIHAN DAN PENGEMBANGAN TENAGA PELATIH KESEHATAN REPRODUKSI</w:t>
            </w:r>
          </w:p>
          <w:p>
            <w:pPr>
              <w:spacing w:after="40" w:before="200"/>
            </w:pPr>
            <w:r>
              <w:rPr>
                <w:b/>
                <w:bCs/>
                <w:i/>
                <w:iCs/>
                <w:color w:val="FFFFFF"/>
                <w:sz w:val="22"/>
                <w:szCs w:val="22"/>
              </w:rPr>
              <w:t xml:space="preserve">[Nama Dinas Kesehatan/Institusi Pengampu]</w:t>
            </w:r>
          </w:p>
        </w:tc>
      </w:tr>
    </w:tbl>
    <w:p>
      <w:pPr>
        <w:spacing w:after="160" w:before="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Penulis</w:t>
            </w:r>
          </w:p>
          <w:p>
            <w:pPr>
              <w:spacing w:after="40"/>
            </w:pPr>
            <w:r>
              <w:rPr>
                <w:b w:val="false"/>
                <w:bCs w:val="false"/>
                <w:color w:val="2B2B2B"/>
                <w:sz w:val="19"/>
                <w:szCs w:val="19"/>
              </w:rPr>
              <w:t xml:space="preserve">Dr.dr. Budi Siswanto, Sp.OG., Subsp.Obginsos., SH., S.Kom.</w:t>
            </w:r>
          </w:p>
        </w:tc>
        <w:tc>
          <w:tcPr>
            <w:tcW w:type="dxa" w:w="4675"/>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Penerbit</w:t>
            </w:r>
          </w:p>
          <w:p>
            <w:pPr>
              <w:spacing w:after="40"/>
            </w:pPr>
            <w:r>
              <w:rPr>
                <w:b w:val="false"/>
                <w:bCs w:val="false"/>
                <w:color w:val="2B2B2B"/>
                <w:sz w:val="19"/>
                <w:szCs w:val="19"/>
              </w:rPr>
              <w:t xml:space="preserve">Perpustakaan ABBA</w:t>
            </w:r>
          </w:p>
        </w:tc>
      </w:tr>
      <w:tr>
        <w:tc>
          <w:tcPr>
            <w:tcW w:type="dxa" w:w="4675"/>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Alamat Penerbit</w:t>
            </w:r>
          </w:p>
          <w:p>
            <w:pPr>
              <w:spacing w:after="40"/>
            </w:pPr>
            <w:r>
              <w:rPr>
                <w:b w:val="false"/>
                <w:bCs w:val="false"/>
                <w:color w:val="2B2B2B"/>
                <w:sz w:val="19"/>
                <w:szCs w:val="19"/>
              </w:rPr>
              <w:t xml:space="preserve">Jl Danau Kerinci No 9 Malang</w:t>
            </w:r>
          </w:p>
        </w:tc>
        <w:tc>
          <w:tcPr>
            <w:tcW w:type="dxa" w:w="4675"/>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Buku Sumber</w:t>
            </w:r>
          </w:p>
          <w:p>
            <w:pPr>
              <w:spacing w:after="40"/>
            </w:pPr>
            <w:r>
              <w:rPr>
                <w:b w:val="false"/>
                <w:bCs w:val="false"/>
                <w:color w:val="2B2B2B"/>
                <w:sz w:val="19"/>
                <w:szCs w:val="19"/>
              </w:rPr>
              <w:t xml:space="preserve">Seri 14 Buku Ajar — Buku 12</w:t>
            </w:r>
          </w:p>
        </w:tc>
      </w:tr>
      <w:tr>
        <w:tc>
          <w:tcPr>
            <w:tcW w:type="dxa" w:w="93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Status Revisi</w:t>
            </w:r>
          </w:p>
          <w:p>
            <w:pPr>
              <w:spacing w:after="40"/>
            </w:pPr>
            <w:r>
              <w:rPr>
                <w:b w:val="false"/>
                <w:bCs w:val="false"/>
                <w:color w:val="2B2B2B"/>
                <w:sz w:val="19"/>
                <w:szCs w:val="19"/>
              </w:rPr>
              <w:t xml:space="preserve">Edisi 2 — telah melalui audit substansi, konsistensi, bahasa, referensi, sitasi, dan struktur (Juli 2026)</w:t>
            </w:r>
          </w:p>
        </w:tc>
      </w:tr>
    </w:tbl>
    <w:p>
      <w:pPr>
        <w:spacing w:after="200" w:before="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1  </w:t>
            </w:r>
            <w:r>
              <w:rPr>
                <w:b/>
                <w:bCs/>
                <w:color w:val="FFFFFF"/>
                <w:sz w:val="26"/>
                <w:szCs w:val="26"/>
              </w:rPr>
              <w:t xml:space="preserve">Latar Belakang</w:t>
            </w:r>
          </w:p>
        </w:tc>
      </w:tr>
    </w:tbl>
    <w:p>
      <w:pPr>
        <w:spacing w:after="140" w:before="0"/>
      </w:pPr>
    </w:p>
    <w:p>
      <w:pPr>
        <w:spacing w:after="120" w:before="60" w:line="288"/>
        <w:jc w:val="both"/>
      </w:pPr>
      <w:r>
        <w:rPr>
          <w:color w:val="2B2B2B"/>
          <w:sz w:val="21"/>
          <w:szCs w:val="21"/>
        </w:rPr>
        <w:t xml:space="preserve">Kesehatan reproduksi merupakan salah satu urusan wajib pelayanan dasar bidang kesehatan yang penyelenggaraannya memerlukan tenaga pelatih (trainer) yang kompeten, mulai dari tingkat Dinas Kesehatan, Puskesmas, hingga jaringan kader masyarakat. Selama ini, banyak program pelatihan kesehatan reproduksi di lapangan dilaksanakan tanpa kurikulum baku, tanpa metode andragogi yang terstruktur, dan tanpa instrumen evaluasi peserta yang terukur, sehingga mutu dan konsistensi hasil pelatihan antarwilayah menjadi timpang.</w:t>
      </w:r>
    </w:p>
    <w:p>
      <w:pPr>
        <w:spacing w:after="120" w:before="60" w:line="288"/>
        <w:jc w:val="both"/>
      </w:pPr>
      <w:r>
        <w:rPr>
          <w:color w:val="2B2B2B"/>
          <w:sz w:val="21"/>
          <w:szCs w:val="21"/>
        </w:rPr>
        <w:t xml:space="preserve">Undang-Undang Nomor 17 Tahun 2023 tentang Kesehatan menegaskan pentingnya penguatan sumber daya manusia kesehatan melalui pendidikan dan pelatihan berkelanjutan yang terstandar </w:t>
      </w:r>
      <w:r>
        <w:rPr>
          <w:b/>
          <w:bCs/>
          <w:color w:val="7A1F3D"/>
          <w:sz w:val="18"/>
          <w:szCs w:val="18"/>
          <w:vertAlign w:val="superscript"/>
        </w:rPr>
        <w:t xml:space="preserve">[2]</w:t>
      </w:r>
      <w:r>
        <w:rPr>
          <w:color w:val="2B2B2B"/>
          <w:sz w:val="21"/>
          <w:szCs w:val="21"/>
        </w:rPr>
        <w:t xml:space="preserve">. Sejak berdirinya Konsil Kesehatan Indonesia (KKI) pada 8 Agustus 2023 sebagai peleburan Konsil Kedokteran Indonesia dan Konsil Tenaga Kesehatan Indonesia </w:t>
      </w:r>
      <w:r>
        <w:rPr>
          <w:b/>
          <w:bCs/>
          <w:color w:val="7A1F3D"/>
          <w:sz w:val="18"/>
          <w:szCs w:val="18"/>
          <w:vertAlign w:val="superscript"/>
        </w:rPr>
        <w:t xml:space="preserve">[13]</w:t>
      </w:r>
      <w:r>
        <w:rPr>
          <w:color w:val="2B2B2B"/>
          <w:sz w:val="21"/>
          <w:szCs w:val="21"/>
        </w:rPr>
        <w:t xml:space="preserve">, pengaturan standar kompetensi dan standar pendidikan profesi kesehatan berada dalam satu kelembagaan yang menaungi seluruh Tenaga Medis dan Tenaga Kesehatan. Keputusan Ketua Konsil Kesehatan Indonesia Nomor HK.01.02/KKI/1318/2026 tentang Standar Kompetensi Dokter Spesialis dan Subspesialis Bidang Obstetri dan Ginekologi, ditetapkan 16 Juni 2026, menjadi rujukan kompetensi dasar terkini bagi dokter Subspesialis Obstetri Ginekologi Sosial (Obginsos) </w:t>
      </w:r>
      <w:r>
        <w:rPr>
          <w:b/>
          <w:bCs/>
          <w:color w:val="7A1F3D"/>
          <w:sz w:val="18"/>
          <w:szCs w:val="18"/>
          <w:vertAlign w:val="superscript"/>
        </w:rPr>
        <w:t xml:space="preserve">[1]</w:t>
      </w:r>
      <w:r>
        <w:rPr>
          <w:color w:val="2B2B2B"/>
          <w:sz w:val="21"/>
          <w:szCs w:val="21"/>
        </w:rPr>
        <w:t xml:space="preserve">, melanjutkan dan memutakhirkan Peraturan Konsil Kedokteran Indonesia Nomor 86 dan 87 Tahun 2020 tentang standar pendidikan profesi spesialis dan subspesialis Obstetri dan Ginekologi yang berlaku sebelumnya </w:t>
      </w:r>
      <w:r>
        <w:rPr>
          <w:b/>
          <w:bCs/>
          <w:color w:val="7A1F3D"/>
          <w:sz w:val="18"/>
          <w:szCs w:val="18"/>
          <w:vertAlign w:val="superscript"/>
        </w:rPr>
        <w:t xml:space="preserve">[4,5]</w:t>
      </w:r>
      <w:r>
        <w:rPr>
          <w:color w:val="2B2B2B"/>
          <w:sz w:val="21"/>
          <w:szCs w:val="21"/>
        </w:rPr>
        <w:t xml:space="preserve">.</w:t>
      </w:r>
    </w:p>
    <w:p>
      <w:pPr>
        <w:spacing w:after="120" w:before="60" w:line="288"/>
        <w:jc w:val="both"/>
      </w:pPr>
      <w:r>
        <w:rPr>
          <w:color w:val="2B2B2B"/>
          <w:sz w:val="21"/>
          <w:szCs w:val="21"/>
        </w:rPr>
        <w:t xml:space="preserve">Agar setara dengan standar internasional, pedoman ini juga mengacu pada WHO Guidelines 2013 tentang transformasi pendidikan tenaga kesehatan </w:t>
      </w:r>
      <w:r>
        <w:rPr>
          <w:b/>
          <w:bCs/>
          <w:color w:val="7A1F3D"/>
          <w:sz w:val="18"/>
          <w:szCs w:val="18"/>
          <w:vertAlign w:val="superscript"/>
        </w:rPr>
        <w:t xml:space="preserve">[9]</w:t>
      </w:r>
      <w:r>
        <w:rPr>
          <w:color w:val="2B2B2B"/>
          <w:sz w:val="21"/>
          <w:szCs w:val="21"/>
        </w:rPr>
        <w:t xml:space="preserve">, WHO Family Planning and Comprehensive Abortion Care (FP-CAC) Toolkit 2022 mengenai kompetensi dan pengembangan kurikulum tenaga kesehatan primer </w:t>
      </w:r>
      <w:r>
        <w:rPr>
          <w:b/>
          <w:bCs/>
          <w:color w:val="7A1F3D"/>
          <w:sz w:val="18"/>
          <w:szCs w:val="18"/>
          <w:vertAlign w:val="superscript"/>
        </w:rPr>
        <w:t xml:space="preserve">[10,11]</w:t>
      </w:r>
      <w:r>
        <w:rPr>
          <w:color w:val="2B2B2B"/>
          <w:sz w:val="21"/>
          <w:szCs w:val="21"/>
        </w:rPr>
        <w:t xml:space="preserve">, serta Minimum Initial Service Package (MISP) dari Inter-Agency Working Group on Reproductive Health in Crises (IAWG) untuk konteks kedaruratan/bencana </w:t>
      </w:r>
      <w:r>
        <w:rPr>
          <w:b/>
          <w:bCs/>
          <w:color w:val="7A1F3D"/>
          <w:sz w:val="18"/>
          <w:szCs w:val="18"/>
          <w:vertAlign w:val="superscript"/>
        </w:rPr>
        <w:t xml:space="preserve">[12]</w:t>
      </w:r>
      <w:r>
        <w:rPr>
          <w:color w:val="2B2B2B"/>
          <w:sz w:val="21"/>
          <w:szCs w:val="21"/>
        </w:rPr>
        <w:t xml:space="preserve">. Dokter Subspesialis Obginsos, sebagaimana ditegaskan Kolegium Obstetri dan Ginekologi Indonesia, memang diarahkan untuk menyetarakan kompetensi dengan standar global sekaligus berperan aktif menyelesaikan masalah obstetri-ginekologi dalam konteks populasi/masyarakat </w:t>
      </w:r>
      <w:r>
        <w:rPr>
          <w:b/>
          <w:bCs/>
          <w:color w:val="7A1F3D"/>
          <w:sz w:val="18"/>
          <w:szCs w:val="18"/>
          <w:vertAlign w:val="superscript"/>
        </w:rPr>
        <w:t xml:space="preserve">[14]</w:t>
      </w:r>
      <w:r>
        <w:rPr>
          <w:color w:val="2B2B2B"/>
          <w:sz w:val="21"/>
          <w:szCs w:val="21"/>
        </w:rPr>
        <w:t xml:space="preserve">.</w:t>
      </w:r>
    </w:p>
    <w:p>
      <w:pPr>
        <w:spacing w:after="120" w:before="60" w:line="288"/>
        <w:jc w:val="both"/>
      </w:pPr>
      <w:r>
        <w:rPr>
          <w:color w:val="2B2B2B"/>
          <w:sz w:val="21"/>
          <w:szCs w:val="21"/>
        </w:rPr>
        <w:t xml:space="preserve">Pedoman ini disusun untuk menjawab kebutuhan tersebut: menyediakan blueprint pelatihan yang baku (tujuan–materi–metode–evaluasi), metode pengajaran keterampilan klinis-komunitas berbasis prinsip andragogi </w:t>
      </w:r>
      <w:r>
        <w:rPr>
          <w:b/>
          <w:bCs/>
          <w:color w:val="7A1F3D"/>
          <w:sz w:val="18"/>
          <w:szCs w:val="18"/>
          <w:vertAlign w:val="superscript"/>
        </w:rPr>
        <w:t xml:space="preserve">[8]</w:t>
      </w:r>
      <w:r>
        <w:rPr>
          <w:color w:val="2B2B2B"/>
          <w:sz w:val="21"/>
          <w:szCs w:val="21"/>
        </w:rPr>
        <w:t xml:space="preserve"> dan Peyton's Four-Step Approach </w:t>
      </w:r>
      <w:r>
        <w:rPr>
          <w:b/>
          <w:bCs/>
          <w:color w:val="7A1F3D"/>
          <w:sz w:val="18"/>
          <w:szCs w:val="18"/>
          <w:vertAlign w:val="superscript"/>
        </w:rPr>
        <w:t xml:space="preserve">[7]</w:t>
      </w:r>
      <w:r>
        <w:rPr>
          <w:color w:val="2B2B2B"/>
          <w:sz w:val="21"/>
          <w:szCs w:val="21"/>
        </w:rPr>
        <w:t xml:space="preserve">, serta kriteria evaluasi peserta pelatihan yang mengacu pada Miller's Pyramid of Clinical Competence </w:t>
      </w:r>
      <w:r>
        <w:rPr>
          <w:b/>
          <w:bCs/>
          <w:color w:val="7A1F3D"/>
          <w:sz w:val="18"/>
          <w:szCs w:val="18"/>
          <w:vertAlign w:val="superscript"/>
        </w:rPr>
        <w:t xml:space="preserve">[6]</w:t>
      </w:r>
      <w:r>
        <w:rPr>
          <w:color w:val="2B2B2B"/>
          <w:sz w:val="21"/>
          <w:szCs w:val="21"/>
        </w:rPr>
        <w:t xml:space="preserve"> — agar kader dan tenaga pelatih di seluruh jenjang memiliki acuan yang seragam, dapat direplikasi, selaras dengan standar nasional dan internasional, serta dapat dipertanggungjawabkan mutunya.</w:t>
      </w:r>
    </w:p>
    <w:p>
      <w:pPr>
        <w:pStyle w:val="Heading2"/>
        <w:spacing w:after="100" w:before="200"/>
      </w:pPr>
      <w:r>
        <w:rPr>
          <w:b/>
          <w:bCs/>
          <w:color w:val="7A1F3D"/>
        </w:rPr>
        <w:t xml:space="preserve">1.1 Landasan Nasional dan Internasional</w:t>
      </w:r>
    </w:p>
    <w:p>
      <w:pPr>
        <w:spacing w:after="120" w:before="60" w:line="288"/>
        <w:jc w:val="both"/>
      </w:pPr>
      <w:r>
        <w:rPr>
          <w:color w:val="2B2B2B"/>
          <w:sz w:val="21"/>
          <w:szCs w:val="21"/>
        </w:rPr>
        <w:t xml:space="preserve">Landasan penyusunan pedoman ini dirangkum pada tabel berikut agar keterlacakan (traceability) setiap ketentuan dapat diverifikasi: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00"/>
        <w:gridCol w:w="2200"/>
        <w:gridCol w:w="4650"/>
      </w:tblGrid>
      <w:tr>
        <w:tc>
          <w:tcPr>
            <w:tcW w:type="dxa" w:w="25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Landasan</w:t>
            </w:r>
          </w:p>
        </w:tc>
        <w:tc>
          <w:tcPr>
            <w:tcW w:type="dxa" w:w="22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Penerbit/Tahun</w:t>
            </w:r>
          </w:p>
        </w:tc>
        <w:tc>
          <w:tcPr>
            <w:tcW w:type="dxa" w:w="46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Relevansi bagi Pedoman Ini</w:t>
            </w:r>
          </w:p>
        </w:tc>
      </w:tr>
      <w:tr>
        <w:tc>
          <w:tcPr>
            <w:tcW w:type="dxa" w:w="25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Kepkonsil No. HK.01.02/KKI/1318/2026 [1]</w:t>
            </w:r>
          </w:p>
        </w:tc>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Konsil Kesehatan Indonesia, 2026</w:t>
            </w:r>
          </w:p>
        </w:tc>
        <w:tc>
          <w:tcPr>
            <w:tcW w:type="dxa" w:w="46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Standar kompetensi terkini dokter Sp.OG dan Subspesialis (termasuk Obginsos) sebagai rujukan penggerak teknis program</w:t>
            </w:r>
          </w:p>
        </w:tc>
      </w:tr>
      <w:tr>
        <w:tc>
          <w:tcPr>
            <w:tcW w:type="dxa" w:w="25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UU No. 17/2023 tentang Kesehatan [2]</w:t>
            </w:r>
          </w:p>
        </w:tc>
        <w:tc>
          <w:tcPr>
            <w:tcW w:type="dxa" w:w="2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Republik Indonesia, 2023</w:t>
            </w:r>
          </w:p>
        </w:tc>
        <w:tc>
          <w:tcPr>
            <w:tcW w:type="dxa" w:w="46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Dasar hukum penyelenggaraan pendidikan dan pelatihan berkelanjutan tenaga kesehatan</w:t>
            </w:r>
          </w:p>
        </w:tc>
      </w:tr>
      <w:tr>
        <w:tc>
          <w:tcPr>
            <w:tcW w:type="dxa" w:w="25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UU No. 12/2022 tentang TPKS [3]</w:t>
            </w:r>
          </w:p>
        </w:tc>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Republik Indonesia, 2022</w:t>
            </w:r>
          </w:p>
        </w:tc>
        <w:tc>
          <w:tcPr>
            <w:tcW w:type="dxa" w:w="46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Dasar penanganan kasus kekerasan seksual dalam materi pelatihan konseling dan rujukan</w:t>
            </w:r>
          </w:p>
        </w:tc>
      </w:tr>
      <w:tr>
        <w:tc>
          <w:tcPr>
            <w:tcW w:type="dxa" w:w="25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Perkonsil No. 86 &amp; 87/2020 [4,5]</w:t>
            </w:r>
          </w:p>
        </w:tc>
        <w:tc>
          <w:tcPr>
            <w:tcW w:type="dxa" w:w="2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Konsil Kedokteran Indonesia, 2020</w:t>
            </w:r>
          </w:p>
        </w:tc>
        <w:tc>
          <w:tcPr>
            <w:tcW w:type="dxa" w:w="46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Standar pendidikan profesi Sp.OG dan Subspesialis sebelum pemutakhiran 2026 — kontinuitas historis</w:t>
            </w:r>
          </w:p>
        </w:tc>
      </w:tr>
      <w:tr>
        <w:tc>
          <w:tcPr>
            <w:tcW w:type="dxa" w:w="25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WHO Guidelines 2013 [9]</w:t>
            </w:r>
          </w:p>
        </w:tc>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World Health Organization, 2013</w:t>
            </w:r>
          </w:p>
        </w:tc>
        <w:tc>
          <w:tcPr>
            <w:tcW w:type="dxa" w:w="46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Lima domain transformasi pendidikan tenaga kesehatan: institusi, akreditasi, tata kelola, pembiayaan, monitoring</w:t>
            </w:r>
          </w:p>
        </w:tc>
      </w:tr>
      <w:tr>
        <w:tc>
          <w:tcPr>
            <w:tcW w:type="dxa" w:w="25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WHO FP-CAC Toolkit Vol. 1 &amp; 2 [10,11]</w:t>
            </w:r>
          </w:p>
        </w:tc>
        <w:tc>
          <w:tcPr>
            <w:tcW w:type="dxa" w:w="2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World Health Organization, 2022</w:t>
            </w:r>
          </w:p>
        </w:tc>
        <w:tc>
          <w:tcPr>
            <w:tcW w:type="dxa" w:w="46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Kerangka kompetensi dan panduan pengembangan kurikulum KB/kesehatan reproduksi bagi tenaga primer</w:t>
            </w:r>
          </w:p>
        </w:tc>
      </w:tr>
      <w:tr>
        <w:tc>
          <w:tcPr>
            <w:tcW w:type="dxa" w:w="25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IAWG MISP for SRH [12]</w:t>
            </w:r>
          </w:p>
        </w:tc>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IAWG, mutakhir</w:t>
            </w:r>
          </w:p>
        </w:tc>
        <w:tc>
          <w:tcPr>
            <w:tcW w:type="dxa" w:w="46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Standar minimum layanan kesehatan reproduksi pada situasi krisis/bencana</w:t>
            </w:r>
          </w:p>
        </w:tc>
      </w:tr>
    </w:tbl>
    <w:p>
      <w:pPr>
        <w:spacing w:after="100" w:before="0"/>
      </w:pPr>
    </w:p>
    <w:p>
      <w:pPr>
        <w:spacing w:after="120" w:before="60" w:line="288"/>
        <w:jc w:val="both"/>
      </w:pPr>
      <w:r>
        <w:rPr>
          <w:i/>
          <w:iCs/>
          <w:color w:val="2B2B2B"/>
          <w:sz w:val="19"/>
          <w:szCs w:val="19"/>
        </w:rPr>
        <w:t xml:space="preserve">Catatan transparansi sumber: Kepkonsil Nomor HK.01.02/KKI/1318/2026 dikutip berdasarkan salinan dokumen resmi yang diserahkan oleh institusi pengampu; seluruh dasar hukum dan referensi internasional lain pada tabel ini telah diverifikasi ketersediaannya pada laman resmi penerbit masing-masing (lihat Kepustakaan, Bagian 12).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2  </w:t>
            </w:r>
            <w:r>
              <w:rPr>
                <w:b/>
                <w:bCs/>
                <w:color w:val="FFFFFF"/>
                <w:sz w:val="26"/>
                <w:szCs w:val="26"/>
              </w:rPr>
              <w:t xml:space="preserve">Tujuan</w:t>
            </w:r>
          </w:p>
        </w:tc>
      </w:tr>
    </w:tbl>
    <w:p>
      <w:pPr>
        <w:spacing w:after="140" w:before="0"/>
      </w:pPr>
    </w:p>
    <w:p>
      <w:pPr>
        <w:pStyle w:val="Heading2"/>
        <w:spacing w:after="100" w:before="200"/>
      </w:pPr>
      <w:r>
        <w:rPr>
          <w:b/>
          <w:bCs/>
          <w:color w:val="7A1F3D"/>
        </w:rPr>
        <w:t xml:space="preserve">2.1 Tujuan Umum</w:t>
      </w:r>
    </w:p>
    <w:p>
      <w:pPr>
        <w:spacing w:after="120" w:before="60" w:line="288"/>
        <w:jc w:val="both"/>
      </w:pPr>
      <w:r>
        <w:rPr>
          <w:color w:val="2B2B2B"/>
          <w:sz w:val="21"/>
          <w:szCs w:val="21"/>
        </w:rPr>
        <w:t xml:space="preserve">Terselenggaranya sistem pelatihan dan pengembangan tenaga pelatih kesehatan reproduksi yang terstandar, berjenjang, dan berkelanjutan di tingkat Dinas Kesehatan, Puskesmas, dan jaringan kader masyarakat, selaras dengan standar kompetensi nasional dan standar internasional.</w:t>
      </w:r>
    </w:p>
    <w:p>
      <w:pPr>
        <w:pStyle w:val="Heading2"/>
        <w:spacing w:after="100" w:before="200"/>
      </w:pPr>
      <w:r>
        <w:rPr>
          <w:b/>
          <w:bCs/>
          <w:color w:val="7A1F3D"/>
        </w:rPr>
        <w:t xml:space="preserve">2.2 Tujuan Khusus</w:t>
      </w:r>
    </w:p>
    <w:p>
      <w:pPr>
        <w:pStyle w:val="ListParagraph"/>
        <w:numPr>
          <w:ilvl w:val="0"/>
          <w:numId w:val="2"/>
        </w:numPr>
        <w:spacing w:after="40" w:before="40" w:line="276"/>
      </w:pPr>
      <w:r>
        <w:rPr>
          <w:color w:val="2B2B2B"/>
          <w:sz w:val="21"/>
          <w:szCs w:val="21"/>
        </w:rPr>
        <w:t xml:space="preserve">Tersedianya blueprint pelatihan baku (tujuan–materi–metode–evaluasi) untuk program Training of Trainers (ToT) kesehatan reproduksi.</w:t>
      </w:r>
    </w:p>
    <w:p>
      <w:pPr>
        <w:pStyle w:val="ListParagraph"/>
        <w:numPr>
          <w:ilvl w:val="0"/>
          <w:numId w:val="2"/>
        </w:numPr>
        <w:spacing w:after="40" w:before="40" w:line="276"/>
      </w:pPr>
      <w:r>
        <w:rPr>
          <w:color w:val="2B2B2B"/>
          <w:sz w:val="21"/>
          <w:szCs w:val="21"/>
        </w:rPr>
        <w:t xml:space="preserve">Diterapkannya metode andragogi </w:t>
      </w:r>
      <w:r>
        <w:rPr>
          <w:b/>
          <w:bCs/>
          <w:color w:val="7A1F3D"/>
          <w:sz w:val="18"/>
          <w:szCs w:val="18"/>
          <w:vertAlign w:val="superscript"/>
        </w:rPr>
        <w:t xml:space="preserve">[8]</w:t>
      </w:r>
      <w:r>
        <w:rPr>
          <w:color w:val="2B2B2B"/>
          <w:sz w:val="21"/>
          <w:szCs w:val="21"/>
        </w:rPr>
        <w:t xml:space="preserve"> dan Peyton's Four-Step Approach </w:t>
      </w:r>
      <w:r>
        <w:rPr>
          <w:b/>
          <w:bCs/>
          <w:color w:val="7A1F3D"/>
          <w:sz w:val="18"/>
          <w:szCs w:val="18"/>
          <w:vertAlign w:val="superscript"/>
        </w:rPr>
        <w:t xml:space="preserve">[7]</w:t>
      </w:r>
      <w:r>
        <w:rPr>
          <w:color w:val="2B2B2B"/>
          <w:sz w:val="21"/>
          <w:szCs w:val="21"/>
        </w:rPr>
        <w:t xml:space="preserve"> secara operasional dalam pengajaran keterampilan klinis-komunitas kepada kader dan tenaga kesehatan non-spesialis.</w:t>
      </w:r>
    </w:p>
    <w:p>
      <w:pPr>
        <w:pStyle w:val="ListParagraph"/>
        <w:numPr>
          <w:ilvl w:val="0"/>
          <w:numId w:val="2"/>
        </w:numPr>
        <w:spacing w:after="40" w:before="40" w:line="276"/>
      </w:pPr>
      <w:r>
        <w:rPr>
          <w:color w:val="2B2B2B"/>
          <w:sz w:val="21"/>
          <w:szCs w:val="21"/>
        </w:rPr>
        <w:t xml:space="preserve">Diterapkannya kriteria evaluasi peserta pelatihan yang mengacu pada Miller's Pyramid </w:t>
      </w:r>
      <w:r>
        <w:rPr>
          <w:b/>
          <w:bCs/>
          <w:color w:val="7A1F3D"/>
          <w:sz w:val="18"/>
          <w:szCs w:val="18"/>
          <w:vertAlign w:val="superscript"/>
        </w:rPr>
        <w:t xml:space="preserve">[6]</w:t>
      </w:r>
      <w:r>
        <w:rPr>
          <w:color w:val="2B2B2B"/>
          <w:sz w:val="21"/>
          <w:szCs w:val="21"/>
        </w:rPr>
        <w:t xml:space="preserve">, mencakup ranah knows, knows how, shows how, dan does.</w:t>
      </w:r>
    </w:p>
    <w:p>
      <w:pPr>
        <w:pStyle w:val="ListParagraph"/>
        <w:numPr>
          <w:ilvl w:val="0"/>
          <w:numId w:val="2"/>
        </w:numPr>
        <w:spacing w:after="40" w:before="40" w:line="276"/>
      </w:pPr>
      <w:r>
        <w:rPr>
          <w:color w:val="2B2B2B"/>
          <w:sz w:val="21"/>
          <w:szCs w:val="21"/>
        </w:rPr>
        <w:t xml:space="preserve">Terselarasinya kompetensi pelatihan dengan kerangka domain WHO FP-CAC Toolkit </w:t>
      </w:r>
      <w:r>
        <w:rPr>
          <w:b/>
          <w:bCs/>
          <w:color w:val="7A1F3D"/>
          <w:sz w:val="18"/>
          <w:szCs w:val="18"/>
          <w:vertAlign w:val="superscript"/>
        </w:rPr>
        <w:t xml:space="preserve">[10,11]</w:t>
      </w:r>
      <w:r>
        <w:rPr>
          <w:color w:val="2B2B2B"/>
          <w:sz w:val="21"/>
          <w:szCs w:val="21"/>
        </w:rPr>
        <w:t xml:space="preserve"> serta lima domain transformasi pendidikan tenaga kesehatan WHO 2013 </w:t>
      </w:r>
      <w:r>
        <w:rPr>
          <w:b/>
          <w:bCs/>
          <w:color w:val="7A1F3D"/>
          <w:sz w:val="18"/>
          <w:szCs w:val="18"/>
          <w:vertAlign w:val="superscript"/>
        </w:rPr>
        <w:t xml:space="preserve">[9]</w:t>
      </w:r>
      <w:r>
        <w:rPr>
          <w:color w:val="2B2B2B"/>
          <w:sz w:val="21"/>
          <w:szCs w:val="21"/>
        </w:rPr>
        <w:t xml:space="preserve">.</w:t>
      </w:r>
    </w:p>
    <w:p>
      <w:pPr>
        <w:pStyle w:val="ListParagraph"/>
        <w:numPr>
          <w:ilvl w:val="0"/>
          <w:numId w:val="2"/>
        </w:numPr>
        <w:spacing w:after="40" w:before="40" w:line="276"/>
      </w:pPr>
      <w:r>
        <w:rPr>
          <w:color w:val="2B2B2B"/>
          <w:sz w:val="21"/>
          <w:szCs w:val="21"/>
        </w:rPr>
        <w:t xml:space="preserve">Terbangunnya mekanisme monitoring, pembinaan lanjutan (refreshing), dan jenjang karier tenaga pelatih di tingkat kabupaten/kota.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3  </w:t>
            </w:r>
            <w:r>
              <w:rPr>
                <w:b/>
                <w:bCs/>
                <w:color w:val="FFFFFF"/>
                <w:sz w:val="26"/>
                <w:szCs w:val="26"/>
              </w:rPr>
              <w:t xml:space="preserve">Sasaran</w:t>
            </w:r>
          </w:p>
        </w:tc>
      </w:tr>
    </w:tbl>
    <w:p>
      <w:pPr>
        <w:spacing w:after="140" w:before="0"/>
      </w:pPr>
    </w:p>
    <w:p>
      <w:pPr>
        <w:spacing w:after="120" w:before="60" w:line="288"/>
        <w:jc w:val="both"/>
      </w:pPr>
      <w:r>
        <w:rPr>
          <w:color w:val="2B2B2B"/>
          <w:sz w:val="21"/>
          <w:szCs w:val="21"/>
        </w:rPr>
        <w:t xml:space="preserve">Pedoman ini ditujukan bagi pihak-pihak berikut, sesuai peran masing-masing dalam penyelenggaraan pelatihan kesehatan reproduksi:</w:t>
      </w:r>
    </w:p>
    <w:p>
      <w:pPr>
        <w:pStyle w:val="ListParagraph"/>
        <w:numPr>
          <w:ilvl w:val="0"/>
          <w:numId w:val="3"/>
        </w:numPr>
        <w:spacing w:after="40" w:before="40" w:line="276"/>
      </w:pPr>
      <w:r>
        <w:rPr>
          <w:color w:val="2B2B2B"/>
          <w:sz w:val="21"/>
          <w:szCs w:val="21"/>
        </w:rPr>
        <w:t xml:space="preserve">Pengelola program kesehatan reproduksi di Dinas Kesehatan Provinsi/Kabupaten/Kota, sebagai penanggung jawab kebijakan dan anggaran pelatihan.</w:t>
      </w:r>
    </w:p>
    <w:p>
      <w:pPr>
        <w:pStyle w:val="ListParagraph"/>
        <w:numPr>
          <w:ilvl w:val="0"/>
          <w:numId w:val="3"/>
        </w:numPr>
        <w:spacing w:after="40" w:before="40" w:line="276"/>
      </w:pPr>
      <w:r>
        <w:rPr>
          <w:color w:val="2B2B2B"/>
          <w:sz w:val="21"/>
          <w:szCs w:val="21"/>
        </w:rPr>
        <w:t xml:space="preserve">Kepala Puskesmas dan penanggung jawab program KIA-KB, sebagai penyelenggara pelatihan di tingkat fasilitas kesehatan primer.</w:t>
      </w:r>
    </w:p>
    <w:p>
      <w:pPr>
        <w:pStyle w:val="ListParagraph"/>
        <w:numPr>
          <w:ilvl w:val="0"/>
          <w:numId w:val="3"/>
        </w:numPr>
        <w:spacing w:after="40" w:before="40" w:line="276"/>
      </w:pPr>
      <w:r>
        <w:rPr>
          <w:color w:val="2B2B2B"/>
          <w:sz w:val="21"/>
          <w:szCs w:val="21"/>
        </w:rPr>
        <w:t xml:space="preserve">Calon tenaga pelatih dari kalangan bidan, perawat, dan tenaga kesehatan masyarakat.</w:t>
      </w:r>
    </w:p>
    <w:p>
      <w:pPr>
        <w:pStyle w:val="ListParagraph"/>
        <w:numPr>
          <w:ilvl w:val="0"/>
          <w:numId w:val="3"/>
        </w:numPr>
        <w:spacing w:after="40" w:before="40" w:line="276"/>
      </w:pPr>
      <w:r>
        <w:rPr>
          <w:color w:val="2B2B2B"/>
          <w:sz w:val="21"/>
          <w:szCs w:val="21"/>
        </w:rPr>
        <w:t xml:space="preserve">Kader kesehatan masyarakat dan tokoh masyarakat sebagai peserta pelatihan berjenjang (cascade training).</w:t>
      </w:r>
    </w:p>
    <w:p>
      <w:pPr>
        <w:pStyle w:val="ListParagraph"/>
        <w:numPr>
          <w:ilvl w:val="0"/>
          <w:numId w:val="3"/>
        </w:numPr>
        <w:spacing w:after="40" w:before="40" w:line="276"/>
      </w:pPr>
      <w:r>
        <w:rPr>
          <w:color w:val="2B2B2B"/>
          <w:sz w:val="21"/>
          <w:szCs w:val="21"/>
        </w:rPr>
        <w:t xml:space="preserve">Dokter Subspesialis Obstetri Ginekologi Sosial (Obginsos) dan mitra akademik, sebagai pembina teknis kurikulum sesuai kompetensi pada Kepkonsil </w:t>
      </w:r>
      <w:r>
        <w:rPr>
          <w:b/>
          <w:bCs/>
          <w:color w:val="7A1F3D"/>
          <w:sz w:val="18"/>
          <w:szCs w:val="18"/>
          <w:vertAlign w:val="superscript"/>
        </w:rPr>
        <w:t xml:space="preserve">[1]</w:t>
      </w:r>
      <w:r>
        <w:rPr>
          <w:color w:val="2B2B2B"/>
          <w:sz w:val="21"/>
          <w:szCs w:val="21"/>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4  </w:t>
            </w:r>
            <w:r>
              <w:rPr>
                <w:b/>
                <w:bCs/>
                <w:color w:val="FFFFFF"/>
                <w:sz w:val="26"/>
                <w:szCs w:val="26"/>
              </w:rPr>
              <w:t xml:space="preserve">Ruang Lingkup</w:t>
            </w:r>
          </w:p>
        </w:tc>
      </w:tr>
    </w:tbl>
    <w:p>
      <w:pPr>
        <w:spacing w:after="140" w:before="0"/>
      </w:pPr>
    </w:p>
    <w:p>
      <w:pPr>
        <w:spacing w:after="120" w:before="60" w:line="288"/>
        <w:jc w:val="both"/>
      </w:pPr>
      <w:r>
        <w:rPr>
          <w:color w:val="2B2B2B"/>
          <w:sz w:val="21"/>
          <w:szCs w:val="21"/>
        </w:rPr>
        <w:t xml:space="preserve">Ruang lingkup pedoman ini mencakup keseluruhan siklus pengembangan tenaga pelatih kesehatan reproduksi, meliputi:</w:t>
      </w:r>
    </w:p>
    <w:p>
      <w:pPr>
        <w:pStyle w:val="ListParagraph"/>
        <w:numPr>
          <w:ilvl w:val="0"/>
          <w:numId w:val="3"/>
        </w:numPr>
        <w:spacing w:after="40" w:before="40" w:line="276"/>
      </w:pPr>
      <w:r>
        <w:rPr>
          <w:color w:val="2B2B2B"/>
          <w:sz w:val="21"/>
          <w:szCs w:val="21"/>
        </w:rPr>
        <w:t xml:space="preserve">Perencanaan kebutuhan pelatih (training needs assessment) di wilayah kerja.</w:t>
      </w:r>
    </w:p>
    <w:p>
      <w:pPr>
        <w:pStyle w:val="ListParagraph"/>
        <w:numPr>
          <w:ilvl w:val="0"/>
          <w:numId w:val="3"/>
        </w:numPr>
        <w:spacing w:after="40" w:before="40" w:line="276"/>
      </w:pPr>
      <w:r>
        <w:rPr>
          <w:color w:val="2B2B2B"/>
          <w:sz w:val="21"/>
          <w:szCs w:val="21"/>
        </w:rPr>
        <w:t xml:space="preserve">Penyusunan blueprint pelatihan (tujuan, materi, metode, dan evaluasi).</w:t>
      </w:r>
    </w:p>
    <w:p>
      <w:pPr>
        <w:pStyle w:val="ListParagraph"/>
        <w:numPr>
          <w:ilvl w:val="0"/>
          <w:numId w:val="3"/>
        </w:numPr>
        <w:spacing w:after="40" w:before="40" w:line="276"/>
      </w:pPr>
      <w:r>
        <w:rPr>
          <w:color w:val="2B2B2B"/>
          <w:sz w:val="21"/>
          <w:szCs w:val="21"/>
        </w:rPr>
        <w:t xml:space="preserve">Pelaksanaan pelatihan tingkat pertama (ToT) dan pelatihan berjenjang (cascade training) ke kader.</w:t>
      </w:r>
    </w:p>
    <w:p>
      <w:pPr>
        <w:pStyle w:val="ListParagraph"/>
        <w:numPr>
          <w:ilvl w:val="0"/>
          <w:numId w:val="3"/>
        </w:numPr>
        <w:spacing w:after="40" w:before="40" w:line="276"/>
      </w:pPr>
      <w:r>
        <w:rPr>
          <w:color w:val="2B2B2B"/>
          <w:sz w:val="21"/>
          <w:szCs w:val="21"/>
        </w:rPr>
        <w:t xml:space="preserve">Evaluasi peserta pelatihan dan sertifikasi kompetensi tenaga pelatih.</w:t>
      </w:r>
    </w:p>
    <w:p>
      <w:pPr>
        <w:pStyle w:val="ListParagraph"/>
        <w:numPr>
          <w:ilvl w:val="0"/>
          <w:numId w:val="3"/>
        </w:numPr>
        <w:spacing w:after="40" w:before="40" w:line="276"/>
      </w:pPr>
      <w:r>
        <w:rPr>
          <w:color w:val="2B2B2B"/>
          <w:sz w:val="21"/>
          <w:szCs w:val="21"/>
        </w:rPr>
        <w:t xml:space="preserve">Pembinaan lanjutan, penyegaran (refreshing), dan pengembangan jenjang karier tenaga pelatih.</w:t>
      </w:r>
    </w:p>
    <w:p>
      <w:pPr>
        <w:spacing w:after="120" w:before="60" w:line="288"/>
        <w:jc w:val="both"/>
      </w:pPr>
      <w:r>
        <w:rPr>
          <w:color w:val="2B2B2B"/>
          <w:sz w:val="21"/>
          <w:szCs w:val="21"/>
        </w:rPr>
        <w:t xml:space="preserve">Pedoman ini TIDAK mencakup tata laksana klinis pasien individual di fasilitas pelayanan kesehatan — hal tersebut diatur dalam PPK (Panduan Praktik Klinis) tersendiri di masing-masing rumah sakit/fasilitas kesehatan.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5  </w:t>
            </w:r>
            <w:r>
              <w:rPr>
                <w:b/>
                <w:bCs/>
                <w:color w:val="FFFFFF"/>
                <w:sz w:val="26"/>
                <w:szCs w:val="26"/>
              </w:rPr>
              <w:t xml:space="preserve">Definisi Operasional</w:t>
            </w:r>
          </w:p>
        </w:tc>
      </w:tr>
    </w:tbl>
    <w:p>
      <w:pPr>
        <w:spacing w:after="140" w:before="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c>
          <w:tcPr>
            <w:tcW w:type="dxa" w:w="31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Istilah</w:t>
            </w:r>
          </w:p>
        </w:tc>
        <w:tc>
          <w:tcPr>
            <w:tcW w:type="dxa" w:w="62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Definisi Operasional</w:t>
            </w:r>
          </w:p>
        </w:tc>
      </w:tr>
      <w:tr>
        <w:tc>
          <w:tcPr>
            <w:tcW w:type="dxa" w:w="31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Tenaga Pelatih (Trainer)</w:t>
            </w:r>
          </w:p>
        </w:tc>
        <w:tc>
          <w:tcPr>
            <w:tcW w:type="dxa" w:w="62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Tenaga kesehatan yang telah memenuhi kriteria kompetensi tertentu dan ditugaskan untuk melatih tenaga kesehatan lain atau kader masyarakat.</w:t>
            </w:r>
          </w:p>
        </w:tc>
      </w:tr>
      <w:tr>
        <w:tc>
          <w:tcPr>
            <w:tcW w:type="dxa" w:w="31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Training of Trainers (ToT)</w:t>
            </w:r>
          </w:p>
        </w:tc>
        <w:tc>
          <w:tcPr>
            <w:tcW w:type="dxa" w:w="62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Pelatihan berjenjang pertama yang mencetak tenaga pelatih, sebelum tenaga tersebut melatih kelompok sasaran berikutnya (cascade training).</w:t>
            </w:r>
          </w:p>
        </w:tc>
      </w:tr>
      <w:tr>
        <w:tc>
          <w:tcPr>
            <w:tcW w:type="dxa" w:w="31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Andragogi</w:t>
            </w:r>
          </w:p>
        </w:tc>
        <w:tc>
          <w:tcPr>
            <w:tcW w:type="dxa" w:w="62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Pendekatan pembelajaran orang dewasa yang menekankan pengalaman peserta, relevansi praktis, dan pembelajaran berpusat pada masalah (Knowles, Holton, Swanson &amp; Robinson, 2020) [8].</w:t>
            </w:r>
          </w:p>
        </w:tc>
      </w:tr>
      <w:tr>
        <w:tc>
          <w:tcPr>
            <w:tcW w:type="dxa" w:w="31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Peyton's Four-Step Approach</w:t>
            </w:r>
          </w:p>
        </w:tc>
        <w:tc>
          <w:tcPr>
            <w:tcW w:type="dxa" w:w="62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Metode pengajaran keterampilan klinis-komunitas empat langkah: demonstration, deconstruction, comprehension, performance (Walker &amp; Peyton, 1998) [7].</w:t>
            </w:r>
          </w:p>
        </w:tc>
      </w:tr>
      <w:tr>
        <w:tc>
          <w:tcPr>
            <w:tcW w:type="dxa" w:w="31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Miller's Pyramid</w:t>
            </w:r>
          </w:p>
        </w:tc>
        <w:tc>
          <w:tcPr>
            <w:tcW w:type="dxa" w:w="62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Kerangka evaluasi kompetensi berjenjang: knows, knows how, shows how, dan does (Miller, 1990) [6].</w:t>
            </w:r>
          </w:p>
        </w:tc>
      </w:tr>
      <w:tr>
        <w:tc>
          <w:tcPr>
            <w:tcW w:type="dxa" w:w="31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Cascade Training</w:t>
            </w:r>
          </w:p>
        </w:tc>
        <w:tc>
          <w:tcPr>
            <w:tcW w:type="dxa" w:w="62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Pelatihan berjenjang, di mana tenaga pelatih hasil ToT selanjutnya melatih kelompok sasaran yang lebih luas (kader, masyarakat).</w:t>
            </w:r>
          </w:p>
        </w:tc>
      </w:tr>
      <w:tr>
        <w:tc>
          <w:tcPr>
            <w:tcW w:type="dxa" w:w="31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Obginsos (Obstetri Ginekologi Sosial)</w:t>
            </w:r>
          </w:p>
        </w:tc>
        <w:tc>
          <w:tcPr>
            <w:tcW w:type="dxa" w:w="62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Subspesialisasi Obstetri dan Ginekologi yang berfokus pada diagnosis dan tata laksana masalah obstetri-ginekologi dalam konteks populasi/masyarakat, bukan pasien individual [1,14].</w:t>
            </w:r>
          </w:p>
        </w:tc>
      </w:tr>
    </w:tbl>
    <w:p>
      <w:r>
        <w:br w:type="pag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6  </w:t>
            </w:r>
            <w:r>
              <w:rPr>
                <w:b/>
                <w:bCs/>
                <w:color w:val="FFFFFF"/>
                <w:sz w:val="26"/>
                <w:szCs w:val="26"/>
              </w:rPr>
              <w:t xml:space="preserve">Strategi dan Langkah Pelaksanaan</w:t>
            </w:r>
          </w:p>
        </w:tc>
      </w:tr>
    </w:tbl>
    <w:p>
      <w:pPr>
        <w:spacing w:after="140" w:before="0"/>
      </w:pPr>
    </w:p>
    <w:p>
      <w:pPr>
        <w:pStyle w:val="Heading2"/>
        <w:spacing w:after="100" w:before="200"/>
      </w:pPr>
      <w:r>
        <w:rPr>
          <w:b/>
          <w:bCs/>
          <w:color w:val="7A1F3D"/>
        </w:rPr>
        <w:t xml:space="preserve">6.1 Blueprint Pelatihan (Tujuan–Materi–Metode–Evaluasi)</w:t>
      </w:r>
    </w:p>
    <w:p>
      <w:pPr>
        <w:spacing w:after="120" w:before="60" w:line="288"/>
        <w:jc w:val="both"/>
      </w:pPr>
      <w:r>
        <w:rPr>
          <w:color w:val="2B2B2B"/>
          <w:sz w:val="21"/>
          <w:szCs w:val="21"/>
        </w:rPr>
        <w:t xml:space="preserve">Setiap program pelatihan tenaga pelatih kesehatan reproduksi WAJIB disusun mengacu pada blueprint berikut, agar konsisten antarwilayah dan selaras dengan kerangka kompetensi WHO FP-CAC Toolkit [10,11]:</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2350"/>
        <w:gridCol w:w="2350"/>
        <w:gridCol w:w="2250"/>
      </w:tblGrid>
      <w:tr>
        <w:tc>
          <w:tcPr>
            <w:tcW w:type="dxa" w:w="24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Tujuan Pembelajaran</w:t>
            </w:r>
          </w:p>
        </w:tc>
        <w:tc>
          <w:tcPr>
            <w:tcW w:type="dxa" w:w="23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Materi Pokok</w:t>
            </w:r>
          </w:p>
        </w:tc>
        <w:tc>
          <w:tcPr>
            <w:tcW w:type="dxa" w:w="23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Metode</w:t>
            </w:r>
          </w:p>
        </w:tc>
        <w:tc>
          <w:tcPr>
            <w:tcW w:type="dxa" w:w="22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Evaluasi</w:t>
            </w:r>
          </w:p>
        </w:tc>
      </w:tr>
      <w:tr>
        <w:tc>
          <w:tcPr>
            <w:tcW w:type="dxa" w:w="24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Peserta memahami konsep dasar kesehatan reproduksi dan kerangka regulasi</w:t>
            </w:r>
          </w:p>
        </w:tc>
        <w:tc>
          <w:tcPr>
            <w:tcW w:type="dxa" w:w="23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Konsep KIA-KB, hak kesehatan reproduksi, UU No. 17/2023 [2], UU TPKS [3]</w:t>
            </w:r>
          </w:p>
        </w:tc>
        <w:tc>
          <w:tcPr>
            <w:tcW w:type="dxa" w:w="23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Ceramah interaktif, curah pendapat (brainstorming)</w:t>
            </w:r>
          </w:p>
        </w:tc>
        <w:tc>
          <w:tcPr>
            <w:tcW w:type="dxa" w:w="22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Uji tulis (pre/post-test) — ranah knows</w:t>
            </w:r>
          </w:p>
        </w:tc>
      </w:tr>
      <w:tr>
        <w:tc>
          <w:tcPr>
            <w:tcW w:type="dxa" w:w="24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Peserta mampu menjelaskan alur rujukan dan penanganan kasus dasar</w:t>
            </w:r>
          </w:p>
        </w:tc>
        <w:tc>
          <w:tcPr>
            <w:tcW w:type="dxa" w:w="23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Alur rujukan komunitas–Puskesmas–RS, deteksi dini tanda bahaya</w:t>
            </w:r>
          </w:p>
        </w:tc>
        <w:tc>
          <w:tcPr>
            <w:tcW w:type="dxa" w:w="23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Studi kasus, diskusi kelompok kecil</w:t>
            </w:r>
          </w:p>
        </w:tc>
        <w:tc>
          <w:tcPr>
            <w:tcW w:type="dxa" w:w="22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Analisis kasus tertulis — ranah knows how</w:t>
            </w:r>
          </w:p>
        </w:tc>
      </w:tr>
      <w:tr>
        <w:tc>
          <w:tcPr>
            <w:tcW w:type="dxa" w:w="24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Peserta mampu mendemonstrasikan keterampilan konseling dan edukasi dasar</w:t>
            </w:r>
          </w:p>
        </w:tc>
        <w:tc>
          <w:tcPr>
            <w:tcW w:type="dxa" w:w="23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Teknik konseling, komunikasi antarpribadi, edukasi kelompok, kompetensi FP-CAC [10]</w:t>
            </w:r>
          </w:p>
        </w:tc>
        <w:tc>
          <w:tcPr>
            <w:tcW w:type="dxa" w:w="23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Peyton's Four-Step Approach [7], bermain peran (role-play)</w:t>
            </w:r>
          </w:p>
        </w:tc>
        <w:tc>
          <w:tcPr>
            <w:tcW w:type="dxa" w:w="22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Observasi berbasis daftar tilik (checklist) — ranah shows how</w:t>
            </w:r>
          </w:p>
        </w:tc>
      </w:tr>
      <w:tr>
        <w:tc>
          <w:tcPr>
            <w:tcW w:type="dxa" w:w="24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Peserta mampu melatih dan mendampingi kader di lapangan (cascade training)</w:t>
            </w:r>
          </w:p>
        </w:tc>
        <w:tc>
          <w:tcPr>
            <w:tcW w:type="dxa" w:w="23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Teknik fasilitasi orang dewasa [8], penyusunan rencana tindak lanjut</w:t>
            </w:r>
          </w:p>
        </w:tc>
        <w:tc>
          <w:tcPr>
            <w:tcW w:type="dxa" w:w="23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Praktik lapangan terbimbing, microteaching</w:t>
            </w:r>
          </w:p>
        </w:tc>
        <w:tc>
          <w:tcPr>
            <w:tcW w:type="dxa" w:w="22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Portofolio kinerja lapangan dan supervisi — ranah does</w:t>
            </w:r>
          </w:p>
        </w:tc>
      </w:tr>
    </w:tbl>
    <w:p>
      <w:pPr>
        <w:spacing w:after="160" w:before="0"/>
      </w:pPr>
    </w:p>
    <w:p>
      <w:pPr>
        <w:pStyle w:val="Heading2"/>
        <w:spacing w:after="100" w:before="200"/>
      </w:pPr>
      <w:r>
        <w:rPr>
          <w:b/>
          <w:bCs/>
          <w:color w:val="7A1F3D"/>
        </w:rPr>
        <w:t xml:space="preserve">6.2 Penerapan Prinsip Andragogi</w:t>
      </w:r>
    </w:p>
    <w:p>
      <w:pPr>
        <w:spacing w:after="120" w:before="60" w:line="288"/>
        <w:jc w:val="both"/>
      </w:pPr>
      <w:r>
        <w:rPr>
          <w:color w:val="2B2B2B"/>
          <w:sz w:val="21"/>
          <w:szCs w:val="21"/>
        </w:rPr>
        <w:t xml:space="preserve">Pembelajaran bagi calon tenaga pelatih dan kader — yang sebagian besar adalah orang dewasa dengan pengalaman kerja — WAJIB menerapkan enam prinsip andragogi sebagaimana dirumuskan Knowles, Holton, Swanson, dan Robinson (2020) </w:t>
      </w:r>
      <w:r>
        <w:rPr>
          <w:b/>
          <w:bCs/>
          <w:color w:val="7A1F3D"/>
          <w:sz w:val="18"/>
          <w:szCs w:val="18"/>
          <w:vertAlign w:val="superscript"/>
        </w:rPr>
        <w:t xml:space="preserve">[8]</w:t>
      </w:r>
      <w:r>
        <w:rPr>
          <w:color w:val="2B2B2B"/>
          <w:sz w:val="21"/>
          <w:szCs w:val="21"/>
        </w:rPr>
        <w:t xml:space="preserve">:</w:t>
      </w:r>
    </w:p>
    <w:p>
      <w:pPr>
        <w:pStyle w:val="ListParagraph"/>
        <w:numPr>
          <w:ilvl w:val="0"/>
          <w:numId w:val="3"/>
        </w:numPr>
        <w:spacing w:after="40" w:before="40" w:line="276"/>
      </w:pPr>
      <w:r>
        <w:rPr>
          <w:color w:val="2B2B2B"/>
          <w:sz w:val="21"/>
          <w:szCs w:val="21"/>
        </w:rPr>
        <w:t xml:space="preserve">Kebutuhan untuk tahu (the need to know): menjelaskan manfaat praktis setiap materi sebelum masuk ke isi teknis.</w:t>
      </w:r>
    </w:p>
    <w:p>
      <w:pPr>
        <w:pStyle w:val="ListParagraph"/>
        <w:numPr>
          <w:ilvl w:val="0"/>
          <w:numId w:val="3"/>
        </w:numPr>
        <w:spacing w:after="40" w:before="40" w:line="276"/>
      </w:pPr>
      <w:r>
        <w:rPr>
          <w:color w:val="2B2B2B"/>
          <w:sz w:val="21"/>
          <w:szCs w:val="21"/>
        </w:rPr>
        <w:t xml:space="preserve">Konsep diri peserta (self-concept): menghargai pengalaman peserta sebagai sumber belajar, bukan penerima pasif informasi.</w:t>
      </w:r>
    </w:p>
    <w:p>
      <w:pPr>
        <w:pStyle w:val="ListParagraph"/>
        <w:numPr>
          <w:ilvl w:val="0"/>
          <w:numId w:val="3"/>
        </w:numPr>
        <w:spacing w:after="40" w:before="40" w:line="276"/>
      </w:pPr>
      <w:r>
        <w:rPr>
          <w:color w:val="2B2B2B"/>
          <w:sz w:val="21"/>
          <w:szCs w:val="21"/>
        </w:rPr>
        <w:t xml:space="preserve">Peran pengalaman (experience): mengaitkan setiap materi dengan masalah nyata yang dihadapi peserta di wilayah kerjanya (problem-centered).</w:t>
      </w:r>
    </w:p>
    <w:p>
      <w:pPr>
        <w:pStyle w:val="ListParagraph"/>
        <w:numPr>
          <w:ilvl w:val="0"/>
          <w:numId w:val="3"/>
        </w:numPr>
        <w:spacing w:after="40" w:before="40" w:line="276"/>
      </w:pPr>
      <w:r>
        <w:rPr>
          <w:color w:val="2B2B2B"/>
          <w:sz w:val="21"/>
          <w:szCs w:val="21"/>
        </w:rPr>
        <w:t xml:space="preserve">Kesiapan belajar (readiness to learn): menyesuaikan urutan materi dengan tantangan aktual peserta di lapangan.</w:t>
      </w:r>
    </w:p>
    <w:p>
      <w:pPr>
        <w:pStyle w:val="ListParagraph"/>
        <w:numPr>
          <w:ilvl w:val="0"/>
          <w:numId w:val="3"/>
        </w:numPr>
        <w:spacing w:after="40" w:before="40" w:line="276"/>
      </w:pPr>
      <w:r>
        <w:rPr>
          <w:color w:val="2B2B2B"/>
          <w:sz w:val="21"/>
          <w:szCs w:val="21"/>
        </w:rPr>
        <w:t xml:space="preserve">Orientasi belajar (orientation to learning): menekankan penerapan langsung, bukan sekadar penguasaan teori.</w:t>
      </w:r>
    </w:p>
    <w:p>
      <w:pPr>
        <w:pStyle w:val="ListParagraph"/>
        <w:numPr>
          <w:ilvl w:val="0"/>
          <w:numId w:val="3"/>
        </w:numPr>
        <w:spacing w:after="40" w:before="40" w:line="276"/>
      </w:pPr>
      <w:r>
        <w:rPr>
          <w:color w:val="2B2B2B"/>
          <w:sz w:val="21"/>
          <w:szCs w:val="21"/>
        </w:rPr>
        <w:t xml:space="preserve">Motivasi (motivation): memberi ruang refleksi dan umpan balik dua arah pada setiap sesi, bukan hanya ceramah satu arah.</w:t>
      </w:r>
    </w:p>
    <w:p>
      <w:pPr>
        <w:pStyle w:val="Heading2"/>
        <w:spacing w:after="100" w:before="200"/>
      </w:pPr>
      <w:r>
        <w:rPr>
          <w:b/>
          <w:bCs/>
          <w:color w:val="7A1F3D"/>
        </w:rPr>
        <w:t xml:space="preserve">6.3 Langkah Operasional Peyton's Four-Step Approach</w:t>
      </w:r>
    </w:p>
    <w:p>
      <w:pPr>
        <w:spacing w:after="120" w:before="60" w:line="288"/>
        <w:jc w:val="both"/>
      </w:pPr>
      <w:r>
        <w:rPr>
          <w:color w:val="2B2B2B"/>
          <w:sz w:val="21"/>
          <w:szCs w:val="21"/>
        </w:rPr>
        <w:t xml:space="preserve">Untuk pengajaran keterampilan praktis (konseling, edukasi kelompok, deteksi dini), tenaga pelatih WAJIB menerapkan empat langkah Walker &amp; Peyton (1998) </w:t>
      </w:r>
      <w:r>
        <w:rPr>
          <w:b/>
          <w:bCs/>
          <w:color w:val="7A1F3D"/>
          <w:sz w:val="18"/>
          <w:szCs w:val="18"/>
          <w:vertAlign w:val="superscript"/>
        </w:rPr>
        <w:t xml:space="preserve">[7]</w:t>
      </w:r>
      <w:r>
        <w:rPr>
          <w:color w:val="2B2B2B"/>
          <w:sz w:val="21"/>
          <w:szCs w:val="21"/>
        </w:rPr>
        <w:t xml:space="preserve"> berikut secara berurutan: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LANGKAH 1 — Demonstration: Pelatih mempraktikkan keterampilan secara utuh dan wajar, tanpa komentar/penjelasan, agar peserta melihat gambaran keseluruhan.</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LANGKAH 2 — Deconstruction: Pelatih mengulang praktik yang sama, kali ini sambil menjelaskan setiap langkah secara rinci.</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LANGKAH 3 — Comprehension: Peserta menjelaskan setiap langkah dengan kata-katanya sendiri, sementara pelatih mempraktikkannya sesuai instruksi peserta.</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LANGKAH 4 — Performance: Peserta mempraktikkan keterampilan secara mandiri dari awal hingga akhir, dengan pelatih memberi umpan balik di akhir sesi.</w:t>
            </w:r>
          </w:p>
        </w:tc>
      </w:tr>
    </w:tbl>
    <w:p>
      <w:pPr>
        <w:spacing w:after="120" w:before="0"/>
      </w:pPr>
    </w:p>
    <w:p>
      <w:pPr>
        <w:spacing w:after="120" w:before="60" w:line="288"/>
        <w:jc w:val="both"/>
      </w:pPr>
      <w:r>
        <w:rPr>
          <w:color w:val="2B2B2B"/>
          <w:sz w:val="21"/>
          <w:szCs w:val="21"/>
        </w:rPr>
        <w:t xml:space="preserve">Catatan pelaksanaan: metode ini dirancang untuk rasio pelatih-peserta 1:1; pada pelatihan kelompok, disarankan kelompok kecil (maksimal 6–8 peserta per pelatih pendamping) agar setiap peserta tetap memperoleh kesempatan praktik dan umpan balik individual yang memadai.</w:t>
      </w:r>
    </w:p>
    <w:p>
      <w:pPr>
        <w:pStyle w:val="Heading2"/>
        <w:spacing w:after="100" w:before="200"/>
      </w:pPr>
      <w:r>
        <w:rPr>
          <w:b/>
          <w:bCs/>
          <w:color w:val="7A1F3D"/>
        </w:rPr>
        <w:t xml:space="preserve">6.4 Keselarasan dengan Lima Domain Transformasi Pendidikan WHO 2013</w:t>
      </w:r>
    </w:p>
    <w:p>
      <w:pPr>
        <w:spacing w:after="120" w:before="60" w:line="288"/>
        <w:jc w:val="both"/>
      </w:pPr>
      <w:r>
        <w:rPr>
          <w:color w:val="2B2B2B"/>
          <w:sz w:val="21"/>
          <w:szCs w:val="21"/>
        </w:rPr>
        <w:t xml:space="preserve">WHO Guidelines 2013 merekomendasikan lima domain intervensi untuk transformasi pendidikan tenaga kesehatan </w:t>
      </w:r>
      <w:r>
        <w:rPr>
          <w:b/>
          <w:bCs/>
          <w:color w:val="7A1F3D"/>
          <w:sz w:val="18"/>
          <w:szCs w:val="18"/>
          <w:vertAlign w:val="superscript"/>
        </w:rPr>
        <w:t xml:space="preserve">[9]</w:t>
      </w:r>
      <w:r>
        <w:rPr>
          <w:color w:val="2B2B2B"/>
          <w:sz w:val="21"/>
          <w:szCs w:val="21"/>
        </w:rPr>
        <w:t xml:space="preserve">. Pedoman ini mengadaptasi kelima domain tersebut ke konteks pelatihan tenaga pelatih kesehatan reproduksi sebagai berikut: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900"/>
        <w:gridCol w:w="6450"/>
      </w:tblGrid>
      <w:tr>
        <w:tc>
          <w:tcPr>
            <w:tcW w:type="dxa" w:w="29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Domain WHO 2013</w:t>
            </w:r>
          </w:p>
        </w:tc>
        <w:tc>
          <w:tcPr>
            <w:tcW w:type="dxa" w:w="64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Adaptasi pada Pelatihan Tenaga Pelatih</w:t>
            </w:r>
          </w:p>
        </w:tc>
      </w:tr>
      <w:tr>
        <w:tc>
          <w:tcPr>
            <w:tcW w:type="dxa" w:w="29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Institusi pendidikan &amp; pelatihan</w:t>
            </w:r>
          </w:p>
        </w:tc>
        <w:tc>
          <w:tcPr>
            <w:tcW w:type="dxa" w:w="64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Puskesmas dan Dinas Kesehatan berperan sebagai wahana ToT dan cascade training yang terdokumentasi</w:t>
            </w:r>
          </w:p>
        </w:tc>
      </w:tr>
      <w:tr>
        <w:tc>
          <w:tcPr>
            <w:tcW w:type="dxa" w:w="29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Akreditasi dan regulasi</w:t>
            </w:r>
          </w:p>
        </w:tc>
        <w:tc>
          <w:tcPr>
            <w:tcW w:type="dxa" w:w="64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Sertifikasi tenaga pelatih mengacu pada kriteria Miller's Pyramid [6] dan supervisi berkala</w:t>
            </w:r>
          </w:p>
        </w:tc>
      </w:tr>
      <w:tr>
        <w:tc>
          <w:tcPr>
            <w:tcW w:type="dxa" w:w="29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Tata kelola dan perencanaan</w:t>
            </w:r>
          </w:p>
        </w:tc>
        <w:tc>
          <w:tcPr>
            <w:tcW w:type="dxa" w:w="64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Kajian kebutuhan pelatih (TNA) menjadi dasar perencanaan angkatan ToT tiap tahun</w:t>
            </w:r>
          </w:p>
        </w:tc>
      </w:tr>
      <w:tr>
        <w:tc>
          <w:tcPr>
            <w:tcW w:type="dxa" w:w="29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Pembiayaan dan keberlanjutan</w:t>
            </w:r>
          </w:p>
        </w:tc>
        <w:tc>
          <w:tcPr>
            <w:tcW w:type="dxa" w:w="64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Sumber pembiayaan dari APBD/DAK/BOK dijelaskan pada Bagian 10 Pembiayaan</w:t>
            </w:r>
          </w:p>
        </w:tc>
      </w:tr>
      <w:tr>
        <w:tc>
          <w:tcPr>
            <w:tcW w:type="dxa" w:w="29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Monitoring, implementasi, dan evaluasi</w:t>
            </w:r>
          </w:p>
        </w:tc>
        <w:tc>
          <w:tcPr>
            <w:tcW w:type="dxa" w:w="64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Supervisi fasilitatif dan indikator keberhasilan dijelaskan pada Bagian 8 dan 9</w:t>
            </w:r>
          </w:p>
        </w:tc>
      </w:tr>
    </w:tbl>
    <w:p>
      <w:pPr>
        <w:spacing w:after="140" w:before="0"/>
      </w:pPr>
    </w:p>
    <w:p>
      <w:pPr>
        <w:pStyle w:val="Heading2"/>
        <w:spacing w:after="100" w:before="200"/>
      </w:pPr>
      <w:r>
        <w:rPr>
          <w:b/>
          <w:bCs/>
          <w:color w:val="7A1F3D"/>
        </w:rPr>
        <w:t xml:space="preserve">6.5 Alur Pelaksanaan Program Pelatihan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Kajian Kebutuhan Pelatih (Training Needs Assessment) di wilayah kerja Dinas Kesehatan/Puskesmas</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Penyusunan Blueprint Pelatihan (Tujuan–Materi–Metode–Evaluasi) oleh tim penyusun bersama Dokter Subspesialis Obginsos</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Pelaksanaan Training of Trainers (ToT) tahap pertama bagi calon tenaga pelatih</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Evaluasi Peserta ToT berbasis Miller's Pyramid dan Sertifikasi Tenaga Pelatih</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Pelatihan Berjenjang (Cascade Training) oleh tenaga pelatih tersertifikasi kepada kader/masyarakat</w:t>
            </w:r>
          </w:p>
        </w:tc>
      </w:tr>
    </w:tbl>
    <w:p>
      <w:pPr>
        <w:spacing w:after="20" w:before="20"/>
        <w:jc w:val="center"/>
      </w:pPr>
      <w:r>
        <w:rPr>
          <w:b/>
          <w:bCs/>
          <w:color w:val="7A1F3D"/>
          <w:sz w:val="24"/>
          <w:szCs w:val="24"/>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7A1F3D" w:sz="4"/>
              <w:left w:val="single" w:color="7A1F3D" w:sz="4"/>
              <w:bottom w:val="single" w:color="7A1F3D" w:sz="4"/>
              <w:right w:val="single" w:color="7A1F3D" w:sz="4"/>
            </w:tcBorders>
            <w:shd w:fill="F3E3E9" w:color="auto" w:val="clear"/>
            <w:tcMar>
              <w:top w:type="dxa" w:w="100"/>
              <w:left w:type="dxa" w:w="160"/>
              <w:bottom w:type="dxa" w:w="100"/>
              <w:right w:type="dxa" w:w="160"/>
            </w:tcMar>
          </w:tcPr>
          <w:p>
            <w:pPr>
              <w:jc w:val="center"/>
            </w:pPr>
            <w:r>
              <w:rPr>
                <w:b/>
                <w:bCs/>
                <w:color w:val="7A1F3D"/>
                <w:sz w:val="20"/>
                <w:szCs w:val="20"/>
              </w:rPr>
              <w:t xml:space="preserve">Monitoring, Pembinaan Lanjutan, dan Penyegaran (Refreshing) Berkala</w:t>
            </w:r>
          </w:p>
        </w:tc>
      </w:tr>
    </w:tbl>
    <w:p>
      <w:r>
        <w:br w:type="pag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7  </w:t>
            </w:r>
            <w:r>
              <w:rPr>
                <w:b/>
                <w:bCs/>
                <w:color w:val="FFFFFF"/>
                <w:sz w:val="26"/>
                <w:szCs w:val="26"/>
              </w:rPr>
              <w:t xml:space="preserve">Peran Lintas Program dan Lintas Sektor</w:t>
            </w:r>
          </w:p>
        </w:tc>
      </w:tr>
    </w:tbl>
    <w:p>
      <w:pPr>
        <w:spacing w:after="140" w:before="0"/>
      </w:pPr>
    </w:p>
    <w:p>
      <w:pPr>
        <w:spacing w:after="120" w:before="60" w:line="288"/>
        <w:jc w:val="both"/>
      </w:pPr>
      <w:r>
        <w:rPr>
          <w:color w:val="2B2B2B"/>
          <w:sz w:val="21"/>
          <w:szCs w:val="21"/>
        </w:rPr>
        <w:t xml:space="preserve">Penyelenggaraan pelatihan tenaga pelatih kesehatan reproduksi memerlukan koordinasi lintas program dan lintas sektor sebagai berikut: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00"/>
        <w:gridCol w:w="4200"/>
        <w:gridCol w:w="2950"/>
      </w:tblGrid>
      <w:tr>
        <w:tc>
          <w:tcPr>
            <w:tcW w:type="dxa" w:w="22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Aktor</w:t>
            </w:r>
          </w:p>
        </w:tc>
        <w:tc>
          <w:tcPr>
            <w:tcW w:type="dxa" w:w="42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Peran</w:t>
            </w:r>
          </w:p>
        </w:tc>
        <w:tc>
          <w:tcPr>
            <w:tcW w:type="dxa" w:w="29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Output</w:t>
            </w:r>
          </w:p>
        </w:tc>
      </w:tr>
      <w:tr>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Dinas Kesehatan Provinsi/Kabupaten/Kota</w:t>
            </w:r>
          </w:p>
        </w:tc>
        <w:tc>
          <w:tcPr>
            <w:tcW w:type="dxa" w:w="4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Menetapkan kebijakan, mengalokasikan anggaran, dan melakukan supervisi program pelatihan tenaga pelatih di wilayahnya</w:t>
            </w:r>
          </w:p>
        </w:tc>
        <w:tc>
          <w:tcPr>
            <w:tcW w:type="dxa" w:w="29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Kebijakan dan anggaran pelatihan tenaga pelatih</w:t>
            </w:r>
          </w:p>
        </w:tc>
      </w:tr>
      <w:tr>
        <w:tc>
          <w:tcPr>
            <w:tcW w:type="dxa" w:w="2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Puskesmas</w:t>
            </w:r>
          </w:p>
        </w:tc>
        <w:tc>
          <w:tcPr>
            <w:tcW w:type="dxa" w:w="4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Melaksanakan training needs assessment lokal dan menjadi tempat pelaksanaan cascade training</w:t>
            </w:r>
          </w:p>
        </w:tc>
        <w:tc>
          <w:tcPr>
            <w:tcW w:type="dxa" w:w="29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Data kebutuhan pelatih dan laporan pelatihan lokal</w:t>
            </w:r>
          </w:p>
        </w:tc>
      </w:tr>
      <w:tr>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Dokter Subspesialis Obginsos / Kolegium Obstetri dan Ginekologi Indonesia</w:t>
            </w:r>
          </w:p>
        </w:tc>
        <w:tc>
          <w:tcPr>
            <w:tcW w:type="dxa" w:w="4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Membina kurikulum, menjadi narasumber utama, dan memverifikasi mutu materi teknis sesuai standar kompetensi Kepkonsil [1,14]</w:t>
            </w:r>
          </w:p>
        </w:tc>
        <w:tc>
          <w:tcPr>
            <w:tcW w:type="dxa" w:w="29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Kurikulum tervalidasi dan modul pelatihan</w:t>
            </w:r>
          </w:p>
        </w:tc>
      </w:tr>
      <w:tr>
        <w:tc>
          <w:tcPr>
            <w:tcW w:type="dxa" w:w="2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Organisasi Profesi (IBI, PPNI, IDI)</w:t>
            </w:r>
          </w:p>
        </w:tc>
        <w:tc>
          <w:tcPr>
            <w:tcW w:type="dxa" w:w="4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Memberikan rekomendasi standar keterampilan dan mendukung sertifikasi tenaga pelatih</w:t>
            </w:r>
          </w:p>
        </w:tc>
        <w:tc>
          <w:tcPr>
            <w:tcW w:type="dxa" w:w="29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Rekomendasi standar kompetensi</w:t>
            </w:r>
          </w:p>
        </w:tc>
      </w:tr>
      <w:tr>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BKKBN dan mitra program KB</w:t>
            </w:r>
          </w:p>
        </w:tc>
        <w:tc>
          <w:tcPr>
            <w:tcW w:type="dxa" w:w="4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Menyediakan materi teknis KB dan mendukung integrasi program</w:t>
            </w:r>
          </w:p>
        </w:tc>
        <w:tc>
          <w:tcPr>
            <w:tcW w:type="dxa" w:w="29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Materi teknis terintegrasi</w:t>
            </w:r>
          </w:p>
        </w:tc>
      </w:tr>
      <w:tr>
        <w:tc>
          <w:tcPr>
            <w:tcW w:type="dxa" w:w="2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Kader dan tokoh masyarakat</w:t>
            </w:r>
          </w:p>
        </w:tc>
        <w:tc>
          <w:tcPr>
            <w:tcW w:type="dxa" w:w="42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Menjadi peserta cascade training dan mitra penyuluhan di tingkat komunitas</w:t>
            </w:r>
          </w:p>
        </w:tc>
        <w:tc>
          <w:tcPr>
            <w:tcW w:type="dxa" w:w="29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Jejaring kader terlatih di tingkat desa/kelurahan</w:t>
            </w:r>
          </w:p>
        </w:tc>
      </w:tr>
      <w:tr>
        <w:tc>
          <w:tcPr>
            <w:tcW w:type="dxa" w:w="2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Perguruan tinggi/mitra akademik</w:t>
            </w:r>
          </w:p>
        </w:tc>
        <w:tc>
          <w:tcPr>
            <w:tcW w:type="dxa" w:w="42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Mendukung penyusunan instrumen evaluasi dan riset mutu pelatihan</w:t>
            </w:r>
          </w:p>
        </w:tc>
        <w:tc>
          <w:tcPr>
            <w:tcW w:type="dxa" w:w="29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Instrumen evaluasi dan hasil kajian mutu</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8  </w:t>
            </w:r>
            <w:r>
              <w:rPr>
                <w:b/>
                <w:bCs/>
                <w:color w:val="FFFFFF"/>
                <w:sz w:val="26"/>
                <w:szCs w:val="26"/>
              </w:rPr>
              <w:t xml:space="preserve">Monitoring dan Evaluasi</w:t>
            </w:r>
          </w:p>
        </w:tc>
      </w:tr>
    </w:tbl>
    <w:p>
      <w:pPr>
        <w:spacing w:after="140" w:before="0"/>
      </w:pPr>
    </w:p>
    <w:p>
      <w:pPr>
        <w:spacing w:after="120" w:before="60" w:line="288"/>
        <w:jc w:val="both"/>
      </w:pPr>
      <w:r>
        <w:rPr>
          <w:color w:val="2B2B2B"/>
          <w:sz w:val="21"/>
          <w:szCs w:val="21"/>
        </w:rPr>
        <w:t xml:space="preserve">Evaluasi peserta pelatihan WAJIB mengacu pada Miller's Pyramid of Clinical Competence </w:t>
      </w:r>
      <w:r>
        <w:rPr>
          <w:b/>
          <w:bCs/>
          <w:color w:val="7A1F3D"/>
          <w:sz w:val="18"/>
          <w:szCs w:val="18"/>
          <w:vertAlign w:val="superscript"/>
        </w:rPr>
        <w:t xml:space="preserve">[6]</w:t>
      </w:r>
      <w:r>
        <w:rPr>
          <w:color w:val="2B2B2B"/>
          <w:sz w:val="21"/>
          <w:szCs w:val="21"/>
        </w:rPr>
        <w:t xml:space="preserve">, dengan instrumen yang berbeda pada setiap jenjang sebagai berikut: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3350"/>
      </w:tblGrid>
      <w:tr>
        <w:tc>
          <w:tcPr>
            <w:tcW w:type="dxa" w:w="26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Jenjang Miller's Pyramid</w:t>
            </w:r>
          </w:p>
        </w:tc>
        <w:tc>
          <w:tcPr>
            <w:tcW w:type="dxa" w:w="34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Fokus Penilaian</w:t>
            </w:r>
          </w:p>
        </w:tc>
        <w:tc>
          <w:tcPr>
            <w:tcW w:type="dxa" w:w="33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Instrumen Evaluasi</w:t>
            </w:r>
          </w:p>
        </w:tc>
      </w:tr>
      <w:tr>
        <w:tc>
          <w:tcPr>
            <w:tcW w:type="dxa" w:w="26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Does (Melakukan)</w:t>
            </w:r>
          </w:p>
        </w:tc>
        <w:tc>
          <w:tcPr>
            <w:tcW w:type="dxa" w:w="34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Kinerja nyata tenaga pelatih dalam melatih/mendampingi kader di lapangan</w:t>
            </w:r>
          </w:p>
        </w:tc>
        <w:tc>
          <w:tcPr>
            <w:tcW w:type="dxa" w:w="33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Supervisi lapangan, portofolio kinerja, umpan balik peserta cascade training</w:t>
            </w:r>
          </w:p>
        </w:tc>
      </w:tr>
      <w:tr>
        <w:tc>
          <w:tcPr>
            <w:tcW w:type="dxa" w:w="26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Shows How (Menunjukkan)</w:t>
            </w:r>
          </w:p>
        </w:tc>
        <w:tc>
          <w:tcPr>
            <w:tcW w:type="dxa" w:w="34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Kemampuan mendemonstrasikan keterampilan konseling/edukasi sesuai standar</w:t>
            </w:r>
          </w:p>
        </w:tc>
        <w:tc>
          <w:tcPr>
            <w:tcW w:type="dxa" w:w="33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Observasi terstruktur dengan daftar tilik (checklist), simulasi/role-play</w:t>
            </w:r>
          </w:p>
        </w:tc>
      </w:tr>
      <w:tr>
        <w:tc>
          <w:tcPr>
            <w:tcW w:type="dxa" w:w="26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Knows How (Tahu Bagaimana)</w:t>
            </w:r>
          </w:p>
        </w:tc>
        <w:tc>
          <w:tcPr>
            <w:tcW w:type="dxa" w:w="34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Kemampuan menganalisis dan memutuskan langkah pada kasus/skenario</w:t>
            </w:r>
          </w:p>
        </w:tc>
        <w:tc>
          <w:tcPr>
            <w:tcW w:type="dxa" w:w="33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Studi kasus tertulis, diskusi kelompok terstruktur</w:t>
            </w:r>
          </w:p>
        </w:tc>
      </w:tr>
      <w:tr>
        <w:tc>
          <w:tcPr>
            <w:tcW w:type="dxa" w:w="26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Knows (Tahu)</w:t>
            </w:r>
          </w:p>
        </w:tc>
        <w:tc>
          <w:tcPr>
            <w:tcW w:type="dxa" w:w="34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Penguasaan konsep dasar dan regulasi kesehatan reproduksi</w:t>
            </w:r>
          </w:p>
        </w:tc>
        <w:tc>
          <w:tcPr>
            <w:tcW w:type="dxa" w:w="33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Uji tulis (pre-test dan post-test)</w:t>
            </w:r>
          </w:p>
        </w:tc>
      </w:tr>
    </w:tbl>
    <w:p>
      <w:pPr>
        <w:spacing w:after="140" w:before="0"/>
      </w:pPr>
    </w:p>
    <w:p>
      <w:pPr>
        <w:pStyle w:val="Heading2"/>
        <w:spacing w:after="100" w:before="200"/>
      </w:pPr>
      <w:r>
        <w:rPr>
          <w:b/>
          <w:bCs/>
          <w:color w:val="7A1F3D"/>
        </w:rPr>
        <w:t xml:space="preserve">8.1 Mekanisme Monitoring Berkelanjutan</w:t>
      </w:r>
    </w:p>
    <w:p>
      <w:pPr>
        <w:pStyle w:val="ListParagraph"/>
        <w:numPr>
          <w:ilvl w:val="0"/>
          <w:numId w:val="3"/>
        </w:numPr>
        <w:spacing w:after="40" w:before="40" w:line="276"/>
      </w:pPr>
      <w:r>
        <w:rPr>
          <w:color w:val="2B2B2B"/>
          <w:sz w:val="21"/>
          <w:szCs w:val="21"/>
        </w:rPr>
        <w:t xml:space="preserve">Supervisi fasilitatif oleh Puskesmas/Dinas Kesehatan dilakukan minimal setiap 3 (tiga) bulan pada tahun pertama pasca-ToT.</w:t>
      </w:r>
    </w:p>
    <w:p>
      <w:pPr>
        <w:pStyle w:val="ListParagraph"/>
        <w:numPr>
          <w:ilvl w:val="0"/>
          <w:numId w:val="3"/>
        </w:numPr>
        <w:spacing w:after="40" w:before="40" w:line="276"/>
      </w:pPr>
      <w:r>
        <w:rPr>
          <w:color w:val="2B2B2B"/>
          <w:sz w:val="21"/>
          <w:szCs w:val="21"/>
        </w:rPr>
        <w:t xml:space="preserve">Pertemuan penyegaran (refreshing) tenaga pelatih dilakukan minimal 1 (satu) kali per tahun.</w:t>
      </w:r>
    </w:p>
    <w:p>
      <w:pPr>
        <w:pStyle w:val="ListParagraph"/>
        <w:numPr>
          <w:ilvl w:val="0"/>
          <w:numId w:val="3"/>
        </w:numPr>
        <w:spacing w:after="40" w:before="40" w:line="276"/>
      </w:pPr>
      <w:r>
        <w:rPr>
          <w:color w:val="2B2B2B"/>
          <w:sz w:val="21"/>
          <w:szCs w:val="21"/>
        </w:rPr>
        <w:t xml:space="preserve">Umpan balik dari kader/peserta cascade training dikumpulkan secara berkala, selaras dengan panduan Dissemination, Implementation, Monitoring and Evaluation (DIME) pada WHO FP-CAC Toolkit </w:t>
      </w:r>
      <w:r>
        <w:rPr>
          <w:b/>
          <w:bCs/>
          <w:color w:val="7A1F3D"/>
          <w:sz w:val="18"/>
          <w:szCs w:val="18"/>
          <w:vertAlign w:val="superscript"/>
        </w:rPr>
        <w:t xml:space="preserve">[11]</w:t>
      </w:r>
      <w:r>
        <w:rPr>
          <w:color w:val="2B2B2B"/>
          <w:sz w:val="21"/>
          <w:szCs w:val="21"/>
        </w:rPr>
        <w:t xml:space="preserve">.</w:t>
      </w:r>
    </w:p>
    <w:p>
      <w:r>
        <w:br w:type="pag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9  </w:t>
            </w:r>
            <w:r>
              <w:rPr>
                <w:b/>
                <w:bCs/>
                <w:color w:val="FFFFFF"/>
                <w:sz w:val="26"/>
                <w:szCs w:val="26"/>
              </w:rPr>
              <w:t xml:space="preserve">Indikator Keberhasilan</w:t>
            </w:r>
          </w:p>
        </w:tc>
      </w:tr>
    </w:tbl>
    <w:p>
      <w:pPr>
        <w:spacing w:after="140" w:before="0"/>
      </w:pPr>
    </w:p>
    <w:p>
      <w:pPr>
        <w:spacing w:after="120" w:before="60" w:line="288"/>
        <w:jc w:val="both"/>
      </w:pPr>
      <w:r>
        <w:rPr>
          <w:color w:val="2B2B2B"/>
          <w:sz w:val="21"/>
          <w:szCs w:val="21"/>
        </w:rPr>
        <w:t xml:space="preserve">Indikator berikut digunakan sebagai dashboard pemantauan keberhasilan program di tingkat Dinas Kesehatan/Puskesmas: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600"/>
        <w:gridCol w:w="2650"/>
        <w:gridCol w:w="3100"/>
      </w:tblGrid>
      <w:tr>
        <w:tc>
          <w:tcPr>
            <w:tcW w:type="dxa" w:w="36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Indikator</w:t>
            </w:r>
          </w:p>
        </w:tc>
        <w:tc>
          <w:tcPr>
            <w:tcW w:type="dxa" w:w="265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Target</w:t>
            </w:r>
          </w:p>
        </w:tc>
        <w:tc>
          <w:tcPr>
            <w:tcW w:type="dxa" w:w="3100"/>
            <w:tcBorders>
              <w:top w:val="single" w:color="D9D9D9" w:sz="4"/>
              <w:left w:val="single" w:color="D9D9D9" w:sz="4"/>
              <w:bottom w:val="single" w:color="D9D9D9" w:sz="4"/>
              <w:right w:val="single" w:color="D9D9D9" w:sz="4"/>
            </w:tcBorders>
            <w:shd w:fill="7A1F3D" w:color="auto" w:val="clear"/>
            <w:tcMar>
              <w:top w:type="dxa" w:w="100"/>
              <w:left w:type="dxa" w:w="120"/>
              <w:bottom w:type="dxa" w:w="100"/>
              <w:right w:type="dxa" w:w="120"/>
            </w:tcMar>
            <w:vAlign w:val="center"/>
          </w:tcPr>
          <w:p>
            <w:r>
              <w:rPr>
                <w:b/>
                <w:bCs/>
                <w:color w:val="FFFFFF"/>
                <w:sz w:val="19"/>
                <w:szCs w:val="19"/>
              </w:rPr>
              <w:t xml:space="preserve">Sumber Data</w:t>
            </w:r>
          </w:p>
        </w:tc>
      </w:tr>
      <w:tr>
        <w:tc>
          <w:tcPr>
            <w:tcW w:type="dxa" w:w="36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Persentase calon tenaga pelatih yang lulus evaluasi ToT (ranah shows how)</w:t>
            </w:r>
          </w:p>
        </w:tc>
        <w:tc>
          <w:tcPr>
            <w:tcW w:type="dxa" w:w="26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 80% peserta ToT per angkatan</w:t>
            </w:r>
          </w:p>
        </w:tc>
        <w:tc>
          <w:tcPr>
            <w:tcW w:type="dxa" w:w="31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Laporan hasil evaluasi ToT</w:t>
            </w:r>
          </w:p>
        </w:tc>
      </w:tr>
      <w:tr>
        <w:tc>
          <w:tcPr>
            <w:tcW w:type="dxa" w:w="36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Jumlah kader terlatih melalui cascade training per wilayah kerja Puskesmas</w:t>
            </w:r>
          </w:p>
        </w:tc>
        <w:tc>
          <w:tcPr>
            <w:tcW w:type="dxa" w:w="26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Sesuai target tahunan Dinas Kesehatan setempat</w:t>
            </w:r>
          </w:p>
        </w:tc>
        <w:tc>
          <w:tcPr>
            <w:tcW w:type="dxa" w:w="31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Laporan pelatihan Puskesmas</w:t>
            </w:r>
          </w:p>
        </w:tc>
      </w:tr>
      <w:tr>
        <w:tc>
          <w:tcPr>
            <w:tcW w:type="dxa" w:w="36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Persentase tenaga pelatih yang mendapat supervisi fasilitatif tepat waktu</w:t>
            </w:r>
          </w:p>
        </w:tc>
        <w:tc>
          <w:tcPr>
            <w:tcW w:type="dxa" w:w="26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100% tenaga pelatih aktif per triwulan</w:t>
            </w:r>
          </w:p>
        </w:tc>
        <w:tc>
          <w:tcPr>
            <w:tcW w:type="dxa" w:w="31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Register supervisi Dinas Kesehatan/Puskesmas</w:t>
            </w:r>
          </w:p>
        </w:tc>
      </w:tr>
      <w:tr>
        <w:tc>
          <w:tcPr>
            <w:tcW w:type="dxa" w:w="36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Tingkat kepuasan peserta cascade training terhadap tenaga pelatih</w:t>
            </w:r>
          </w:p>
        </w:tc>
        <w:tc>
          <w:tcPr>
            <w:tcW w:type="dxa" w:w="265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bCs/>
                <w:color w:val="2B2B2B"/>
                <w:sz w:val="19"/>
                <w:szCs w:val="19"/>
              </w:rPr>
              <w:t xml:space="preserve">Skor rerata ≥ 4 dari skala 5</w:t>
            </w:r>
          </w:p>
        </w:tc>
        <w:tc>
          <w:tcPr>
            <w:tcW w:type="dxa" w:w="3100"/>
            <w:tcBorders>
              <w:top w:val="single" w:color="D9D9D9" w:sz="4"/>
              <w:left w:val="single" w:color="D9D9D9" w:sz="4"/>
              <w:bottom w:val="single" w:color="D9D9D9" w:sz="4"/>
              <w:right w:val="single" w:color="D9D9D9" w:sz="4"/>
            </w:tcBorders>
            <w:tcMar>
              <w:top w:type="dxa" w:w="90"/>
              <w:left w:type="dxa" w:w="120"/>
              <w:bottom w:type="dxa" w:w="90"/>
              <w:right w:type="dxa" w:w="120"/>
            </w:tcMar>
            <w:vAlign w:val="center"/>
          </w:tcPr>
          <w:p>
            <w:pPr>
              <w:spacing w:after="40"/>
            </w:pPr>
            <w:r>
              <w:rPr>
                <w:b w:val="false"/>
                <w:bCs w:val="false"/>
                <w:color w:val="2B2B2B"/>
                <w:sz w:val="19"/>
                <w:szCs w:val="19"/>
              </w:rPr>
              <w:t xml:space="preserve">Kuesioner umpan balik peserta</w:t>
            </w:r>
          </w:p>
        </w:tc>
      </w:tr>
      <w:tr>
        <w:tc>
          <w:tcPr>
            <w:tcW w:type="dxa" w:w="36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Persentase tenaga pelatih yang mengikuti kegiatan penyegaran tahunan</w:t>
            </w:r>
          </w:p>
        </w:tc>
        <w:tc>
          <w:tcPr>
            <w:tcW w:type="dxa" w:w="265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bCs/>
                <w:color w:val="2B2B2B"/>
                <w:sz w:val="19"/>
                <w:szCs w:val="19"/>
              </w:rPr>
              <w:t xml:space="preserve">≥ 90% tenaga pelatih terdaftar</w:t>
            </w:r>
          </w:p>
        </w:tc>
        <w:tc>
          <w:tcPr>
            <w:tcW w:type="dxa" w:w="3100"/>
            <w:tcBorders>
              <w:top w:val="single" w:color="D9D9D9" w:sz="4"/>
              <w:left w:val="single" w:color="D9D9D9" w:sz="4"/>
              <w:bottom w:val="single" w:color="D9D9D9" w:sz="4"/>
              <w:right w:val="single" w:color="D9D9D9" w:sz="4"/>
            </w:tcBorders>
            <w:shd w:fill="F3E3E9" w:color="auto" w:val="clear"/>
            <w:tcMar>
              <w:top w:type="dxa" w:w="90"/>
              <w:left w:type="dxa" w:w="120"/>
              <w:bottom w:type="dxa" w:w="90"/>
              <w:right w:type="dxa" w:w="120"/>
            </w:tcMar>
            <w:vAlign w:val="center"/>
          </w:tcPr>
          <w:p>
            <w:pPr>
              <w:spacing w:after="40"/>
            </w:pPr>
            <w:r>
              <w:rPr>
                <w:b w:val="false"/>
                <w:bCs w:val="false"/>
                <w:color w:val="2B2B2B"/>
                <w:sz w:val="19"/>
                <w:szCs w:val="19"/>
              </w:rPr>
              <w:t xml:space="preserve">Laporan kegiatan refreshing</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10  </w:t>
            </w:r>
            <w:r>
              <w:rPr>
                <w:b/>
                <w:bCs/>
                <w:color w:val="FFFFFF"/>
                <w:sz w:val="26"/>
                <w:szCs w:val="26"/>
              </w:rPr>
              <w:t xml:space="preserve">Pembiayaan</w:t>
            </w:r>
          </w:p>
        </w:tc>
      </w:tr>
    </w:tbl>
    <w:p>
      <w:pPr>
        <w:spacing w:after="140" w:before="0"/>
      </w:pPr>
    </w:p>
    <w:p>
      <w:pPr>
        <w:spacing w:after="120" w:before="60" w:line="288"/>
        <w:jc w:val="both"/>
      </w:pPr>
      <w:r>
        <w:rPr>
          <w:color w:val="2B2B2B"/>
          <w:sz w:val="21"/>
          <w:szCs w:val="21"/>
        </w:rPr>
        <w:t xml:space="preserve">Pembiayaan penyelenggaraan pelatihan tenaga pelatih kesehatan reproduksi dapat bersumber dari:</w:t>
      </w:r>
    </w:p>
    <w:p>
      <w:pPr>
        <w:pStyle w:val="ListParagraph"/>
        <w:numPr>
          <w:ilvl w:val="0"/>
          <w:numId w:val="3"/>
        </w:numPr>
        <w:spacing w:after="40" w:before="40" w:line="276"/>
      </w:pPr>
      <w:r>
        <w:rPr>
          <w:color w:val="2B2B2B"/>
          <w:sz w:val="21"/>
          <w:szCs w:val="21"/>
        </w:rPr>
        <w:t xml:space="preserve">Anggaran Pendapatan dan Belanja Daerah (APBD) melalui Dinas Kesehatan Provinsi/Kabupaten/Kota.</w:t>
      </w:r>
    </w:p>
    <w:p>
      <w:pPr>
        <w:pStyle w:val="ListParagraph"/>
        <w:numPr>
          <w:ilvl w:val="0"/>
          <w:numId w:val="3"/>
        </w:numPr>
        <w:spacing w:after="40" w:before="40" w:line="276"/>
      </w:pPr>
      <w:r>
        <w:rPr>
          <w:color w:val="2B2B2B"/>
          <w:sz w:val="21"/>
          <w:szCs w:val="21"/>
        </w:rPr>
        <w:t xml:space="preserve">Dana Alokasi Khusus (DAK) Non-Fisik Bidang Kesehatan, sesuai ketentuan yang berlaku.</w:t>
      </w:r>
    </w:p>
    <w:p>
      <w:pPr>
        <w:pStyle w:val="ListParagraph"/>
        <w:numPr>
          <w:ilvl w:val="0"/>
          <w:numId w:val="3"/>
        </w:numPr>
        <w:spacing w:after="40" w:before="40" w:line="276"/>
      </w:pPr>
      <w:r>
        <w:rPr>
          <w:color w:val="2B2B2B"/>
          <w:sz w:val="21"/>
          <w:szCs w:val="21"/>
        </w:rPr>
        <w:t xml:space="preserve">Bantuan Operasional Kesehatan (BOK) Puskesmas untuk kegiatan cascade training di tingkat komunitas.</w:t>
      </w:r>
    </w:p>
    <w:p>
      <w:pPr>
        <w:pStyle w:val="ListParagraph"/>
        <w:numPr>
          <w:ilvl w:val="0"/>
          <w:numId w:val="3"/>
        </w:numPr>
        <w:spacing w:after="40" w:before="40" w:line="276"/>
      </w:pPr>
      <w:r>
        <w:rPr>
          <w:color w:val="2B2B2B"/>
          <w:sz w:val="21"/>
          <w:szCs w:val="21"/>
        </w:rPr>
        <w:t xml:space="preserve">Kemitraan dengan organisasi profesi, lembaga swadaya masyarakat, dan mitra pembangunan (donor/NGO), sepanjang tidak mengikat dan sesuai regulasi.</w:t>
      </w:r>
    </w:p>
    <w:p>
      <w:pPr>
        <w:spacing w:after="120" w:before="60" w:line="288"/>
        <w:jc w:val="both"/>
      </w:pPr>
      <w:r>
        <w:rPr>
          <w:color w:val="2B2B2B"/>
          <w:sz w:val="21"/>
          <w:szCs w:val="21"/>
        </w:rPr>
        <w:t xml:space="preserve">[Nama Dinas Kesehatan/Institusi Pengampu] menyusun rencana anggaran biaya (RAB) rinci setiap tahun berdasarkan jumlah angkatan ToT dan cascade training yang direncanakan, mengacu pada standar biaya daerah yang berlaku.</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11  </w:t>
            </w:r>
            <w:r>
              <w:rPr>
                <w:b/>
                <w:bCs/>
                <w:color w:val="FFFFFF"/>
                <w:sz w:val="26"/>
                <w:szCs w:val="26"/>
              </w:rPr>
              <w:t xml:space="preserve">Penutup</w:t>
            </w:r>
          </w:p>
        </w:tc>
      </w:tr>
    </w:tbl>
    <w:p>
      <w:pPr>
        <w:spacing w:after="140" w:before="0"/>
      </w:pPr>
    </w:p>
    <w:p>
      <w:pPr>
        <w:spacing w:after="120" w:before="60" w:line="288"/>
        <w:jc w:val="both"/>
      </w:pPr>
      <w:r>
        <w:rPr>
          <w:color w:val="2B2B2B"/>
          <w:sz w:val="21"/>
          <w:szCs w:val="21"/>
        </w:rPr>
        <w:t xml:space="preserve">Pedoman Pelatihan dan Pengembangan Tenaga Pelatih Kesehatan Reproduksi ini disusun sebagai acuan operasional bagi Dinas Kesehatan, Puskesmas, dan jaringan kader masyarakat dalam menyelenggarakan pelatihan yang terstandar, berjenjang, dan berkelanjutan, sekaligus selaras dengan standar kompetensi nasional (Kepkonsil 2026) dan standar internasional (WHO, IAWG).</w:t>
      </w:r>
    </w:p>
    <w:p>
      <w:pPr>
        <w:spacing w:after="120" w:before="60" w:line="288"/>
        <w:jc w:val="both"/>
      </w:pPr>
      <w:r>
        <w:rPr>
          <w:color w:val="2B2B2B"/>
          <w:sz w:val="21"/>
          <w:szCs w:val="21"/>
        </w:rPr>
        <w:t xml:space="preserve">Pedoman ini bersifat dinamis dan akan ditinjau ulang secara berkala — sekurang-kurangnya setiap terdapat pemutakhiran Kepkonsil, regulasi nasional, atau panduan WHO/IAWG yang relevan — mengikuti perkembangan bukti ilmiah terbaru di bidang pendidikan kesehatan dan kesehatan reproduksi. Edisi ini berlaku per Juli 2026 dan disusun berdasarkan sumber-sumber yang tercantum eksplisit pada Bagian 12 Kepustakaan.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7A1F3D" w:color="auto" w:val="clear"/>
            <w:tcMar>
              <w:top w:type="dxa" w:w="160"/>
              <w:left w:type="dxa" w:w="200"/>
              <w:bottom w:type="dxa" w:w="160"/>
              <w:right w:type="dxa" w:w="200"/>
            </w:tcMar>
          </w:tcPr>
          <w:p>
            <w:pPr>
              <w:pStyle w:val="Heading1"/>
              <w:spacing w:after="0" w:before="0"/>
            </w:pPr>
            <w:r>
              <w:rPr>
                <w:b/>
                <w:bCs/>
                <w:color w:val="FFFFFF"/>
                <w:sz w:val="20"/>
                <w:szCs w:val="20"/>
              </w:rPr>
              <w:t xml:space="preserve">12  </w:t>
            </w:r>
            <w:r>
              <w:rPr>
                <w:b/>
                <w:bCs/>
                <w:color w:val="FFFFFF"/>
                <w:sz w:val="26"/>
                <w:szCs w:val="26"/>
              </w:rPr>
              <w:t xml:space="preserve">Kepustakaan</w:t>
            </w:r>
          </w:p>
        </w:tc>
      </w:tr>
    </w:tbl>
    <w:p>
      <w:pPr>
        <w:spacing w:after="140" w:before="0"/>
      </w:pPr>
    </w:p>
    <w:p>
      <w:pPr>
        <w:spacing w:after="100" w:before="40" w:line="264"/>
        <w:jc w:val="both"/>
      </w:pPr>
      <w:r>
        <w:rPr>
          <w:b/>
          <w:bCs/>
          <w:color w:val="2B2B2B"/>
          <w:sz w:val="20"/>
          <w:szCs w:val="20"/>
        </w:rPr>
        <w:t xml:space="preserve">1. </w:t>
      </w:r>
      <w:r>
        <w:rPr>
          <w:i w:val="false"/>
          <w:iCs w:val="false"/>
          <w:color w:val="2B2B2B"/>
          <w:sz w:val="20"/>
          <w:szCs w:val="20"/>
        </w:rPr>
        <w:t xml:space="preserve">Konsil Kesehatan Indonesia. Keputusan Ketua Konsil Kesehatan Indonesia Nomor HK.01.02/KKI/1318/2026 tentang Standar Kompetensi Dokter Spesialis dan Subspesialis Bidang Obstetri dan Ginekologi. 16 Juni 2026. (Dokumen sumber diserahkan oleh institusi pengampu/pengguna).</w:t>
      </w:r>
    </w:p>
    <w:p>
      <w:pPr>
        <w:spacing w:after="100" w:before="40" w:line="264"/>
        <w:jc w:val="both"/>
      </w:pPr>
      <w:r>
        <w:rPr>
          <w:b/>
          <w:bCs/>
          <w:color w:val="2B2B2B"/>
          <w:sz w:val="20"/>
          <w:szCs w:val="20"/>
        </w:rPr>
        <w:t xml:space="preserve">2. </w:t>
      </w:r>
      <w:r>
        <w:rPr>
          <w:i w:val="false"/>
          <w:iCs w:val="false"/>
          <w:color w:val="2B2B2B"/>
          <w:sz w:val="20"/>
          <w:szCs w:val="20"/>
        </w:rPr>
        <w:t xml:space="preserve">Republik Indonesia. Undang-Undang Nomor 17 Tahun 2023 tentang Kesehatan. Lembaran Negara RI Tahun 2023 Nomor 105.</w:t>
      </w:r>
      <w:r>
        <w:rPr>
          <w:color w:val="2B2B2B"/>
          <w:sz w:val="20"/>
          <w:szCs w:val="20"/>
        </w:rPr>
        <w:t xml:space="preserve"> Tersedia pada: </w:t>
      </w:r>
      <w:hyperlink w:history="1" r:id="rId4gzhjtojfnnbfpwbugeel">
        <w:r>
          <w:rPr>
            <w:color w:val="2B5FA8"/>
            <w:sz w:val="20"/>
            <w:szCs w:val="20"/>
            <w:u w:val="single"/>
          </w:rPr>
          <w:t xml:space="preserve">https://peraturan.go.id/id/uu-no-17-tahun-2023</w:t>
        </w:r>
      </w:hyperlink>
    </w:p>
    <w:p>
      <w:pPr>
        <w:spacing w:after="100" w:before="40" w:line="264"/>
        <w:jc w:val="both"/>
      </w:pPr>
      <w:r>
        <w:rPr>
          <w:b/>
          <w:bCs/>
          <w:color w:val="2B2B2B"/>
          <w:sz w:val="20"/>
          <w:szCs w:val="20"/>
        </w:rPr>
        <w:t xml:space="preserve">3. </w:t>
      </w:r>
      <w:r>
        <w:rPr>
          <w:i w:val="false"/>
          <w:iCs w:val="false"/>
          <w:color w:val="2B2B2B"/>
          <w:sz w:val="20"/>
          <w:szCs w:val="20"/>
        </w:rPr>
        <w:t xml:space="preserve">Republik Indonesia. Undang-Undang Nomor 12 Tahun 2022 tentang Tindak Pidana Kekerasan Seksual. Lembaran Negara RI Tahun 2022 Nomor 120.</w:t>
      </w:r>
      <w:r>
        <w:rPr>
          <w:color w:val="2B2B2B"/>
          <w:sz w:val="20"/>
          <w:szCs w:val="20"/>
        </w:rPr>
        <w:t xml:space="preserve"> Tersedia pada: </w:t>
      </w:r>
      <w:hyperlink w:history="1" r:id="rIdeiu2ydav2ainwftdugnlr">
        <w:r>
          <w:rPr>
            <w:color w:val="2B5FA8"/>
            <w:sz w:val="20"/>
            <w:szCs w:val="20"/>
            <w:u w:val="single"/>
          </w:rPr>
          <w:t xml:space="preserve">https://peraturan.bpk.go.id/Details/207944/uu-no-12-tahun-2022</w:t>
        </w:r>
      </w:hyperlink>
    </w:p>
    <w:p>
      <w:pPr>
        <w:spacing w:after="100" w:before="40" w:line="264"/>
        <w:jc w:val="both"/>
      </w:pPr>
      <w:r>
        <w:rPr>
          <w:b/>
          <w:bCs/>
          <w:color w:val="2B2B2B"/>
          <w:sz w:val="20"/>
          <w:szCs w:val="20"/>
        </w:rPr>
        <w:t xml:space="preserve">4. </w:t>
      </w:r>
      <w:r>
        <w:rPr>
          <w:i w:val="false"/>
          <w:iCs w:val="false"/>
          <w:color w:val="2B2B2B"/>
          <w:sz w:val="20"/>
          <w:szCs w:val="20"/>
        </w:rPr>
        <w:t xml:space="preserve">Konsil Kedokteran Indonesia. Peraturan Konsil Kedokteran Indonesia Nomor 86 Tahun 2020 tentang Standar Pendidikan Profesi Dokter Spesialis Obstetri dan Ginekologi.</w:t>
      </w:r>
    </w:p>
    <w:p>
      <w:pPr>
        <w:spacing w:after="100" w:before="40" w:line="264"/>
        <w:jc w:val="both"/>
      </w:pPr>
      <w:r>
        <w:rPr>
          <w:b/>
          <w:bCs/>
          <w:color w:val="2B2B2B"/>
          <w:sz w:val="20"/>
          <w:szCs w:val="20"/>
        </w:rPr>
        <w:t xml:space="preserve">5. </w:t>
      </w:r>
      <w:r>
        <w:rPr>
          <w:i w:val="false"/>
          <w:iCs w:val="false"/>
          <w:color w:val="2B2B2B"/>
          <w:sz w:val="20"/>
          <w:szCs w:val="20"/>
        </w:rPr>
        <w:t xml:space="preserve">Konsil Kedokteran Indonesia. Peraturan Konsil Kedokteran Indonesia Nomor 87 Tahun 2020 tentang Standar Pendidikan Sub-Spesialis Obstetri dan Ginekologi.</w:t>
      </w:r>
    </w:p>
    <w:p>
      <w:pPr>
        <w:spacing w:after="100" w:before="40" w:line="264"/>
        <w:jc w:val="both"/>
      </w:pPr>
      <w:r>
        <w:rPr>
          <w:b/>
          <w:bCs/>
          <w:color w:val="2B2B2B"/>
          <w:sz w:val="20"/>
          <w:szCs w:val="20"/>
        </w:rPr>
        <w:t xml:space="preserve">6. </w:t>
      </w:r>
      <w:r>
        <w:rPr>
          <w:i w:val="false"/>
          <w:iCs w:val="false"/>
          <w:color w:val="2B2B2B"/>
          <w:sz w:val="20"/>
          <w:szCs w:val="20"/>
        </w:rPr>
        <w:t xml:space="preserve">Miller GE. The Assessment of Clinical Skills/Competence/Performance. </w:t>
      </w:r>
      <w:r>
        <w:rPr>
          <w:i/>
          <w:iCs/>
          <w:color w:val="2B2B2B"/>
          <w:sz w:val="20"/>
          <w:szCs w:val="20"/>
        </w:rPr>
        <w:t xml:space="preserve">Academic Medicine</w:t>
      </w:r>
      <w:r>
        <w:rPr>
          <w:i w:val="false"/>
          <w:iCs w:val="false"/>
          <w:color w:val="2B2B2B"/>
          <w:sz w:val="20"/>
          <w:szCs w:val="20"/>
        </w:rPr>
        <w:t xml:space="preserve">. 1990;65(9 Suppl):S63–S67. doi:10.1097/00001888-199009000-00045</w:t>
      </w:r>
      <w:r>
        <w:rPr>
          <w:color w:val="2B2B2B"/>
          <w:sz w:val="20"/>
          <w:szCs w:val="20"/>
        </w:rPr>
        <w:t xml:space="preserve"> Tersedia pada: </w:t>
      </w:r>
      <w:hyperlink w:history="1" r:id="rIdmz2thsisef3vnpdqe-y7z">
        <w:r>
          <w:rPr>
            <w:color w:val="2B5FA8"/>
            <w:sz w:val="20"/>
            <w:szCs w:val="20"/>
            <w:u w:val="single"/>
          </w:rPr>
          <w:t xml:space="preserve">https://doi.org/10.1097/00001888-199009000-00045</w:t>
        </w:r>
      </w:hyperlink>
    </w:p>
    <w:p>
      <w:pPr>
        <w:spacing w:after="100" w:before="40" w:line="264"/>
        <w:jc w:val="both"/>
      </w:pPr>
      <w:r>
        <w:rPr>
          <w:b/>
          <w:bCs/>
          <w:color w:val="2B2B2B"/>
          <w:sz w:val="20"/>
          <w:szCs w:val="20"/>
        </w:rPr>
        <w:t xml:space="preserve">7. </w:t>
      </w:r>
      <w:r>
        <w:rPr>
          <w:i w:val="false"/>
          <w:iCs w:val="false"/>
          <w:color w:val="2B2B2B"/>
          <w:sz w:val="20"/>
          <w:szCs w:val="20"/>
        </w:rPr>
        <w:t xml:space="preserve">Walker M, Peyton JWR. Teaching in Theatre. Dalam: Peyton JWR, ed. </w:t>
      </w:r>
      <w:r>
        <w:rPr>
          <w:i/>
          <w:iCs/>
          <w:color w:val="2B2B2B"/>
          <w:sz w:val="20"/>
          <w:szCs w:val="20"/>
        </w:rPr>
        <w:t xml:space="preserve">Teaching and Learning in Medical Practice</w:t>
      </w:r>
      <w:r>
        <w:rPr>
          <w:i w:val="false"/>
          <w:iCs w:val="false"/>
          <w:color w:val="2B2B2B"/>
          <w:sz w:val="20"/>
          <w:szCs w:val="20"/>
        </w:rPr>
        <w:t xml:space="preserve">. Rickmansworth: Manticore Europe Limited; 1998:171–180.</w:t>
      </w:r>
    </w:p>
    <w:p>
      <w:pPr>
        <w:spacing w:after="100" w:before="40" w:line="264"/>
        <w:jc w:val="both"/>
      </w:pPr>
      <w:r>
        <w:rPr>
          <w:b/>
          <w:bCs/>
          <w:color w:val="2B2B2B"/>
          <w:sz w:val="20"/>
          <w:szCs w:val="20"/>
        </w:rPr>
        <w:t xml:space="preserve">8. </w:t>
      </w:r>
      <w:r>
        <w:rPr>
          <w:i w:val="false"/>
          <w:iCs w:val="false"/>
          <w:color w:val="2B2B2B"/>
          <w:sz w:val="20"/>
          <w:szCs w:val="20"/>
        </w:rPr>
        <w:t xml:space="preserve">Knowles MS, Holton EF, Swanson RA, Robinson PA. </w:t>
      </w:r>
      <w:r>
        <w:rPr>
          <w:i/>
          <w:iCs/>
          <w:color w:val="2B2B2B"/>
          <w:sz w:val="20"/>
          <w:szCs w:val="20"/>
        </w:rPr>
        <w:t xml:space="preserve">The Adult Learner: The Definitive Classic in Adult Education and Human Resource Development</w:t>
      </w:r>
      <w:r>
        <w:rPr>
          <w:i w:val="false"/>
          <w:iCs w:val="false"/>
          <w:color w:val="2B2B2B"/>
          <w:sz w:val="20"/>
          <w:szCs w:val="20"/>
        </w:rPr>
        <w:t xml:space="preserve">. 9th ed. New York: Routledge; 2020.</w:t>
      </w:r>
    </w:p>
    <w:p>
      <w:pPr>
        <w:spacing w:after="100" w:before="40" w:line="264"/>
        <w:jc w:val="both"/>
      </w:pPr>
      <w:r>
        <w:rPr>
          <w:b/>
          <w:bCs/>
          <w:color w:val="2B2B2B"/>
          <w:sz w:val="20"/>
          <w:szCs w:val="20"/>
        </w:rPr>
        <w:t xml:space="preserve">9. </w:t>
      </w:r>
      <w:r>
        <w:rPr>
          <w:i w:val="false"/>
          <w:iCs w:val="false"/>
          <w:color w:val="2B2B2B"/>
          <w:sz w:val="20"/>
          <w:szCs w:val="20"/>
        </w:rPr>
        <w:t xml:space="preserve">World Health Organization. </w:t>
      </w:r>
      <w:r>
        <w:rPr>
          <w:i/>
          <w:iCs/>
          <w:color w:val="2B2B2B"/>
          <w:sz w:val="20"/>
          <w:szCs w:val="20"/>
        </w:rPr>
        <w:t xml:space="preserve">Transforming and Scaling Up Health Professionals' Education and Training: WHO Guidelines 2013</w:t>
      </w:r>
      <w:r>
        <w:rPr>
          <w:i w:val="false"/>
          <w:iCs w:val="false"/>
          <w:color w:val="2B2B2B"/>
          <w:sz w:val="20"/>
          <w:szCs w:val="20"/>
        </w:rPr>
        <w:t xml:space="preserve">. Geneva: WHO; 2013.</w:t>
      </w:r>
      <w:r>
        <w:rPr>
          <w:color w:val="2B2B2B"/>
          <w:sz w:val="20"/>
          <w:szCs w:val="20"/>
        </w:rPr>
        <w:t xml:space="preserve"> Tersedia pada: </w:t>
      </w:r>
      <w:hyperlink w:history="1" r:id="rIdylrag4jgl8u3dp4ch8_he">
        <w:r>
          <w:rPr>
            <w:color w:val="2B5FA8"/>
            <w:sz w:val="20"/>
            <w:szCs w:val="20"/>
            <w:u w:val="single"/>
          </w:rPr>
          <w:t xml:space="preserve">https://www.who.int/publications/i/item/transforming-and-scaling-up-health-professionals%E2%80%99-education-and-training</w:t>
        </w:r>
      </w:hyperlink>
    </w:p>
    <w:p>
      <w:pPr>
        <w:spacing w:after="100" w:before="40" w:line="264"/>
        <w:jc w:val="both"/>
      </w:pPr>
      <w:r>
        <w:rPr>
          <w:b/>
          <w:bCs/>
          <w:color w:val="2B2B2B"/>
          <w:sz w:val="20"/>
          <w:szCs w:val="20"/>
        </w:rPr>
        <w:t xml:space="preserve">10. </w:t>
      </w:r>
      <w:r>
        <w:rPr>
          <w:i w:val="false"/>
          <w:iCs w:val="false"/>
          <w:color w:val="2B2B2B"/>
          <w:sz w:val="20"/>
          <w:szCs w:val="20"/>
        </w:rPr>
        <w:t xml:space="preserve">World Health Organization. </w:t>
      </w:r>
      <w:r>
        <w:rPr>
          <w:i/>
          <w:iCs/>
          <w:color w:val="2B2B2B"/>
          <w:sz w:val="20"/>
          <w:szCs w:val="20"/>
        </w:rPr>
        <w:t xml:space="preserve">Family Planning and Comprehensive Abortion Care Toolkit for the Primary Health Care Workforce. Volume 1: Competencies</w:t>
      </w:r>
      <w:r>
        <w:rPr>
          <w:i w:val="false"/>
          <w:iCs w:val="false"/>
          <w:color w:val="2B2B2B"/>
          <w:sz w:val="20"/>
          <w:szCs w:val="20"/>
        </w:rPr>
        <w:t xml:space="preserve">. Geneva: WHO; 2022.</w:t>
      </w:r>
      <w:r>
        <w:rPr>
          <w:color w:val="2B2B2B"/>
          <w:sz w:val="20"/>
          <w:szCs w:val="20"/>
        </w:rPr>
        <w:t xml:space="preserve"> Tersedia pada: </w:t>
      </w:r>
      <w:hyperlink w:history="1" r:id="rId2uopxye9yboi_5k6a1jey">
        <w:r>
          <w:rPr>
            <w:color w:val="2B5FA8"/>
            <w:sz w:val="20"/>
            <w:szCs w:val="20"/>
            <w:u w:val="single"/>
          </w:rPr>
          <w:t xml:space="preserve">https://www.who.int/publications/i/item/9789240063884</w:t>
        </w:r>
      </w:hyperlink>
    </w:p>
    <w:p>
      <w:pPr>
        <w:spacing w:after="100" w:before="40" w:line="264"/>
        <w:jc w:val="both"/>
      </w:pPr>
      <w:r>
        <w:rPr>
          <w:b/>
          <w:bCs/>
          <w:color w:val="2B2B2B"/>
          <w:sz w:val="20"/>
          <w:szCs w:val="20"/>
        </w:rPr>
        <w:t xml:space="preserve">11. </w:t>
      </w:r>
      <w:r>
        <w:rPr>
          <w:i w:val="false"/>
          <w:iCs w:val="false"/>
          <w:color w:val="2B2B2B"/>
          <w:sz w:val="20"/>
          <w:szCs w:val="20"/>
        </w:rPr>
        <w:t xml:space="preserve">World Health Organization. </w:t>
      </w:r>
      <w:r>
        <w:rPr>
          <w:i/>
          <w:iCs/>
          <w:color w:val="2B2B2B"/>
          <w:sz w:val="20"/>
          <w:szCs w:val="20"/>
        </w:rPr>
        <w:t xml:space="preserve">Family Planning and Comprehensive Abortion Care Toolkit for the Primary Health Care Workforce. Volume 2: Programme and Curriculum Development Guide</w:t>
      </w:r>
      <w:r>
        <w:rPr>
          <w:i w:val="false"/>
          <w:iCs w:val="false"/>
          <w:color w:val="2B2B2B"/>
          <w:sz w:val="20"/>
          <w:szCs w:val="20"/>
        </w:rPr>
        <w:t xml:space="preserve">. Geneva: WHO; 2022.</w:t>
      </w:r>
      <w:r>
        <w:rPr>
          <w:color w:val="2B2B2B"/>
          <w:sz w:val="20"/>
          <w:szCs w:val="20"/>
        </w:rPr>
        <w:t xml:space="preserve"> Tersedia pada: </w:t>
      </w:r>
      <w:hyperlink w:history="1" r:id="rIdt_hcewxs9ipizy_e4h2vt">
        <w:r>
          <w:rPr>
            <w:color w:val="2B5FA8"/>
            <w:sz w:val="20"/>
            <w:szCs w:val="20"/>
            <w:u w:val="single"/>
          </w:rPr>
          <w:t xml:space="preserve">https://www.who.int/publications/i/item/9789240063907</w:t>
        </w:r>
      </w:hyperlink>
    </w:p>
    <w:p>
      <w:pPr>
        <w:spacing w:after="100" w:before="40" w:line="264"/>
        <w:jc w:val="both"/>
      </w:pPr>
      <w:r>
        <w:rPr>
          <w:b/>
          <w:bCs/>
          <w:color w:val="2B2B2B"/>
          <w:sz w:val="20"/>
          <w:szCs w:val="20"/>
        </w:rPr>
        <w:t xml:space="preserve">12. </w:t>
      </w:r>
      <w:r>
        <w:rPr>
          <w:i w:val="false"/>
          <w:iCs w:val="false"/>
          <w:color w:val="2B2B2B"/>
          <w:sz w:val="20"/>
          <w:szCs w:val="20"/>
        </w:rPr>
        <w:t xml:space="preserve">Inter-Agency Working Group on Reproductive Health in Crises (IAWG). </w:t>
      </w:r>
      <w:r>
        <w:rPr>
          <w:i/>
          <w:iCs/>
          <w:color w:val="2B2B2B"/>
          <w:sz w:val="20"/>
          <w:szCs w:val="20"/>
        </w:rPr>
        <w:t xml:space="preserve">Minimum Initial Service Package (MISP) for Sexual and Reproductive Health in Crisis Situations</w:t>
      </w:r>
      <w:r>
        <w:rPr>
          <w:i w:val="false"/>
          <w:iCs w:val="false"/>
          <w:color w:val="2B2B2B"/>
          <w:sz w:val="20"/>
          <w:szCs w:val="20"/>
        </w:rPr>
        <w:t xml:space="preserve">. Diakses Juli 2026.</w:t>
      </w:r>
      <w:r>
        <w:rPr>
          <w:color w:val="2B2B2B"/>
          <w:sz w:val="20"/>
          <w:szCs w:val="20"/>
        </w:rPr>
        <w:t xml:space="preserve"> Tersedia pada: </w:t>
      </w:r>
      <w:hyperlink w:history="1" r:id="rIdhjnggk-nt0ffg6bzx4qlq">
        <w:r>
          <w:rPr>
            <w:color w:val="2B5FA8"/>
            <w:sz w:val="20"/>
            <w:szCs w:val="20"/>
            <w:u w:val="single"/>
          </w:rPr>
          <w:t xml:space="preserve">https://iawg.net/</w:t>
        </w:r>
      </w:hyperlink>
    </w:p>
    <w:p>
      <w:pPr>
        <w:spacing w:after="100" w:before="40" w:line="264"/>
        <w:jc w:val="both"/>
      </w:pPr>
      <w:r>
        <w:rPr>
          <w:b/>
          <w:bCs/>
          <w:color w:val="2B2B2B"/>
          <w:sz w:val="20"/>
          <w:szCs w:val="20"/>
        </w:rPr>
        <w:t xml:space="preserve">13. </w:t>
      </w:r>
      <w:r>
        <w:rPr>
          <w:i w:val="false"/>
          <w:iCs w:val="false"/>
          <w:color w:val="2B2B2B"/>
          <w:sz w:val="20"/>
          <w:szCs w:val="20"/>
        </w:rPr>
        <w:t xml:space="preserve">Konsil Kesehatan Indonesia. Profil dan Kedudukan Kelembagaan. Diakses Juli 2026.</w:t>
      </w:r>
      <w:r>
        <w:rPr>
          <w:color w:val="2B2B2B"/>
          <w:sz w:val="20"/>
          <w:szCs w:val="20"/>
        </w:rPr>
        <w:t xml:space="preserve"> Tersedia pada: </w:t>
      </w:r>
      <w:hyperlink w:history="1" r:id="rIduzhl77nsg9-m9wllbibux">
        <w:r>
          <w:rPr>
            <w:color w:val="2B5FA8"/>
            <w:sz w:val="20"/>
            <w:szCs w:val="20"/>
            <w:u w:val="single"/>
          </w:rPr>
          <w:t xml:space="preserve">https://kki.go.id/</w:t>
        </w:r>
      </w:hyperlink>
    </w:p>
    <w:p>
      <w:pPr>
        <w:spacing w:after="100" w:before="40" w:line="264"/>
        <w:jc w:val="both"/>
      </w:pPr>
      <w:r>
        <w:rPr>
          <w:b/>
          <w:bCs/>
          <w:color w:val="2B2B2B"/>
          <w:sz w:val="20"/>
          <w:szCs w:val="20"/>
        </w:rPr>
        <w:t xml:space="preserve">14. </w:t>
      </w:r>
      <w:r>
        <w:rPr>
          <w:i w:val="false"/>
          <w:iCs w:val="false"/>
          <w:color w:val="2B2B2B"/>
          <w:sz w:val="20"/>
          <w:szCs w:val="20"/>
        </w:rPr>
        <w:t xml:space="preserve">Kolegium Obstetri dan Ginekologi Indonesia. Profil Organisasi dan Visi Misi. Diakses Juli 2026.</w:t>
      </w:r>
      <w:r>
        <w:rPr>
          <w:color w:val="2B2B2B"/>
          <w:sz w:val="20"/>
          <w:szCs w:val="20"/>
        </w:rPr>
        <w:t xml:space="preserve"> Tersedia pada: </w:t>
      </w:r>
      <w:hyperlink w:history="1" r:id="rIdsl9pstzffacmnd5r5lgym">
        <w:r>
          <w:rPr>
            <w:color w:val="2B5FA8"/>
            <w:sz w:val="20"/>
            <w:szCs w:val="20"/>
            <w:u w:val="single"/>
          </w:rPr>
          <w:t xml:space="preserve">https://kolegiumobgin.kki.go.id/profil-organisasi</w:t>
        </w:r>
      </w:hyperlink>
    </w:p>
    <w:sectPr>
      <w:headerReference w:type="default" r:id="rId7"/>
      <w:footerReference w:type="default" r:id="rId8"/>
      <w:pgSz w:w="11906" w:h="16838" w:orient="portrait"/>
      <w:pgMar w:top="1000" w:right="1100" w:bottom="1000" w:left="1100"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8A8A"/>
        <w:sz w:val="16"/>
        <w:szCs w:val="16"/>
      </w:rPr>
      <w:t xml:space="preserve">Halaman </w:t>
    </w:r>
    <w:r>
      <w:rPr>
        <w:color w:val="8A8A8A"/>
        <w:sz w:val="16"/>
        <w:szCs w:val="16"/>
      </w:rPr>
      <w:fldChar w:fldCharType="begin"/>
      <w:instrText xml:space="preserve">PAGE</w:instrText>
      <w:fldChar w:fldCharType="separate"/>
      <w:fldChar w:fldCharType="end"/>
    </w:r>
    <w:r>
      <w:rPr>
        <w:color w:val="8A8A8A"/>
        <w:sz w:val="16"/>
        <w:szCs w:val="16"/>
      </w:rPr>
      <w:t xml:space="preserve"> dari </w:t>
    </w:r>
    <w:r>
      <w:rPr>
        <w:color w:val="8A8A8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4" w:space="4"/>
      </w:pBdr>
      <w:jc w:val="right"/>
    </w:pPr>
    <w:r>
      <w:rPr>
        <w:i/>
        <w:iCs/>
        <w:color w:val="8A8A8A"/>
        <w:sz w:val="15"/>
        <w:szCs w:val="15"/>
      </w:rPr>
      <w:t xml:space="preserve">Pedoman Pelatihan dan Pengembangan Tenaga Pelatih Kesehatan Reproduksi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lvl w:ilvl="1" w15:tentative="1">
      <w:start w:val="1"/>
      <w:numFmt w:val="bullet"/>
      <w:lvlText w:val="◦"/>
      <w:lvlJc w:val="left"/>
      <w:pPr>
        <w:ind w:left="720" w:hanging="260"/>
      </w:pPr>
    </w:lvl>
  </w:abstractNum>
  <w:abstractNum w:abstractNumId="3" w15:restartNumberingAfterBreak="0">
    <w:multiLevelType w:val="hybridMultilevel"/>
    <w:lvl w:ilvl="0" w15:tentative="1">
      <w:start w:val="1"/>
      <w:numFmt w:val="decimal"/>
      <w:lvlText w:val="%1."/>
      <w:lvlJc w:val="left"/>
      <w:pPr>
        <w:ind w:left="40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4gzhjtojfnnbfpwbugeel" Type="http://schemas.openxmlformats.org/officeDocument/2006/relationships/hyperlink" Target="https://peraturan.go.id/id/uu-no-17-tahun-2023" TargetMode="External"/><Relationship Id="rIdeiu2ydav2ainwftdugnlr" Type="http://schemas.openxmlformats.org/officeDocument/2006/relationships/hyperlink" Target="https://peraturan.bpk.go.id/Details/207944/uu-no-12-tahun-2022" TargetMode="External"/><Relationship Id="rIdmz2thsisef3vnpdqe-y7z" Type="http://schemas.openxmlformats.org/officeDocument/2006/relationships/hyperlink" Target="https://doi.org/10.1097/00001888-199009000-00045" TargetMode="External"/><Relationship Id="rIdylrag4jgl8u3dp4ch8_he" Type="http://schemas.openxmlformats.org/officeDocument/2006/relationships/hyperlink" Target="https://www.who.int/publications/i/item/transforming-and-scaling-up-health-professionals%E2%80%99-education-and-training" TargetMode="External"/><Relationship Id="rId2uopxye9yboi_5k6a1jey" Type="http://schemas.openxmlformats.org/officeDocument/2006/relationships/hyperlink" Target="https://www.who.int/publications/i/item/9789240063884" TargetMode="External"/><Relationship Id="rIdt_hcewxs9ipizy_e4h2vt" Type="http://schemas.openxmlformats.org/officeDocument/2006/relationships/hyperlink" Target="https://www.who.int/publications/i/item/9789240063907" TargetMode="External"/><Relationship Id="rIdhjnggk-nt0ffg6bzx4qlq" Type="http://schemas.openxmlformats.org/officeDocument/2006/relationships/hyperlink" Target="https://iawg.net/" TargetMode="External"/><Relationship Id="rIduzhl77nsg9-m9wllbibux" Type="http://schemas.openxmlformats.org/officeDocument/2006/relationships/hyperlink" Target="https://kki.go.id/" TargetMode="External"/><Relationship Id="rIdsl9pstzffacmnd5r5lgym" Type="http://schemas.openxmlformats.org/officeDocument/2006/relationships/hyperlink" Target="https://kolegiumobgin.kki.go.id/profil-organisasi"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2026-07-31T18:40:16.637Z</dcterms:created>
  <dcterms:modified xsi:type="dcterms:W3CDTF">2026-07-31T18:40:16.655Z</dcterms:modified>
</cp:coreProperties>
</file>

<file path=docProps/custom.xml><?xml version="1.0" encoding="utf-8"?>
<Properties xmlns="http://schemas.openxmlformats.org/officeDocument/2006/custom-properties" xmlns:vt="http://schemas.openxmlformats.org/officeDocument/2006/docPropsVTypes"/>
</file>