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7A1F3D" w:color="auto" w:val="clear"/>
        <w:spacing w:after="60"/>
        <w:jc w:val="center"/>
      </w:pPr>
      <w:r>
        <w:rPr>
          <w:b/>
          <w:bCs/>
          <w:color w:val="FFFFFF"/>
          <w:sz w:val="20"/>
          <w:szCs w:val="20"/>
        </w:rPr>
        <w:t xml:space="preserve">PANDUAN PRAKTIK KLINIS (PPK)</w:t>
      </w:r>
    </w:p>
    <w:p>
      <w:pPr>
        <w:shd w:fill="7A1F3D" w:color="auto" w:val="clear"/>
        <w:spacing w:after="240"/>
        <w:jc w:val="center"/>
      </w:pPr>
      <w:r>
        <w:rPr>
          <w:b/>
          <w:bCs/>
          <w:color w:val="FFFFFF"/>
          <w:sz w:val="36"/>
          <w:szCs w:val="36"/>
        </w:rPr>
        <w:t xml:space="preserve">KOMPLIKASI PASCA-ABORTUS KOMPLEKS</w:t>
      </w:r>
    </w:p>
    <w:p>
      <w:pPr>
        <w:spacing w:after="200"/>
        <w:jc w:val="center"/>
      </w:pPr>
      <w:r>
        <w:rPr>
          <w:b/>
          <w:bCs/>
          <w:color w:val="FFFFFF"/>
          <w:sz w:val="18"/>
          <w:szCs w:val="18"/>
          <w:shd w:fill="7A1F3D" w:color="auto" w:val="clear"/>
        </w:rPr>
        <w:t xml:space="preserve">  PPK  </w:t>
      </w:r>
      <w:r>
        <w:t xml:space="preserve">   </w:t>
      </w:r>
      <w:r>
        <w:rPr>
          <w:b/>
          <w:bCs/>
          <w:color w:val="FFFFFF"/>
          <w:sz w:val="18"/>
          <w:szCs w:val="18"/>
          <w:shd w:fill="4A4A4A" w:color="auto" w:val="clear"/>
        </w:rPr>
        <w:t xml:space="preserve">  SERI OBSTETRI GINEKOLOGI SOSIAL  </w:t>
      </w:r>
      <w:r>
        <w:t xml:space="preserve">   </w:t>
      </w:r>
      <w:r>
        <w:rPr>
          <w:b/>
          <w:bCs/>
          <w:color w:val="FFFFFF"/>
          <w:sz w:val="18"/>
          <w:szCs w:val="18"/>
          <w:shd w:fill="9C3D5A" w:color="auto" w:val="clear"/>
        </w:rPr>
        <w:t xml:space="preserve">  BUKU SUMBER: BUKU 2 — SERI 14 BUKU AJAR  </w:t>
      </w:r>
      <w:r>
        <w:t xml:space="preserve">   </w:t>
      </w:r>
      <w:r>
        <w:rPr>
          <w:b/>
          <w:bCs/>
          <w:color w:val="FFFFFF"/>
          <w:sz w:val="18"/>
          <w:szCs w:val="18"/>
          <w:shd w:fill="3D6B4A" w:color="auto" w:val="clear"/>
        </w:rPr>
        <w:t xml:space="preserve">  DIREVISI &amp; DIAUDIT — AGUSTUS 2026  </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000"/>
        <w:gridCol w:w="6638"/>
      </w:tblGrid>
      <w:tr>
        <w:tc>
          <w:tcPr>
            <w:tcW w:type="dxa" w:w="3000"/>
            <w:tcMar>
              <w:top w:type="dxa" w:w="80"/>
              <w:left w:type="dxa" w:w="100"/>
              <w:bottom w:type="dxa" w:w="80"/>
              <w:right w:type="dxa" w:w="100"/>
            </w:tcMar>
            <w:vAlign w:val="center"/>
          </w:tcPr>
          <w:p>
            <w:r>
              <w:rPr>
                <w:b/>
                <w:bCs/>
                <w:color w:val="222222"/>
                <w:sz w:val="18"/>
                <w:szCs w:val="18"/>
              </w:rPr>
              <w:t xml:space="preserve">Nama Rumah Sakit</w:t>
            </w:r>
          </w:p>
        </w:tc>
        <w:tc>
          <w:tcPr>
            <w:tcW w:type="dxa" w:w="6638"/>
            <w:tcMar>
              <w:top w:type="dxa" w:w="80"/>
              <w:left w:type="dxa" w:w="100"/>
              <w:bottom w:type="dxa" w:w="80"/>
              <w:right w:type="dxa" w:w="100"/>
            </w:tcMar>
            <w:vAlign w:val="center"/>
          </w:tcPr>
          <w:p>
            <w:r>
              <w:rPr>
                <w:b w:val="false"/>
                <w:bCs w:val="false"/>
                <w:color w:val="222222"/>
                <w:sz w:val="18"/>
                <w:szCs w:val="18"/>
              </w:rPr>
              <w:t xml:space="preserve">[Nama Rumah Sakit]</w:t>
            </w:r>
          </w:p>
        </w:tc>
      </w:tr>
      <w:tr>
        <w:tc>
          <w:tcPr>
            <w:tcW w:type="dxa" w:w="3000"/>
            <w:shd w:fill="FBF5F7" w:color="auto" w:val="clear"/>
            <w:tcMar>
              <w:top w:type="dxa" w:w="80"/>
              <w:left w:type="dxa" w:w="100"/>
              <w:bottom w:type="dxa" w:w="80"/>
              <w:right w:type="dxa" w:w="100"/>
            </w:tcMar>
            <w:vAlign w:val="center"/>
          </w:tcPr>
          <w:p>
            <w:r>
              <w:rPr>
                <w:b/>
                <w:bCs/>
                <w:color w:val="222222"/>
                <w:sz w:val="18"/>
                <w:szCs w:val="18"/>
              </w:rPr>
              <w:t xml:space="preserve">KSM/Departemen</w:t>
            </w:r>
          </w:p>
        </w:tc>
        <w:tc>
          <w:tcPr>
            <w:tcW w:type="dxa" w:w="6638"/>
            <w:shd w:fill="FBF5F7" w:color="auto" w:val="clear"/>
            <w:tcMar>
              <w:top w:type="dxa" w:w="80"/>
              <w:left w:type="dxa" w:w="100"/>
              <w:bottom w:type="dxa" w:w="80"/>
              <w:right w:type="dxa" w:w="100"/>
            </w:tcMar>
            <w:vAlign w:val="center"/>
          </w:tcPr>
          <w:p>
            <w:r>
              <w:rPr>
                <w:b w:val="false"/>
                <w:bCs w:val="false"/>
                <w:color w:val="222222"/>
                <w:sz w:val="18"/>
                <w:szCs w:val="18"/>
              </w:rPr>
              <w:t xml:space="preserve">[Nama KSM/Departemen] — Obstetri dan Ginekologi, Subspesialis Obstetri Ginekologi Sosial</w:t>
            </w:r>
          </w:p>
        </w:tc>
      </w:tr>
      <w:tr>
        <w:tc>
          <w:tcPr>
            <w:tcW w:type="dxa" w:w="3000"/>
            <w:tcMar>
              <w:top w:type="dxa" w:w="80"/>
              <w:left w:type="dxa" w:w="100"/>
              <w:bottom w:type="dxa" w:w="80"/>
              <w:right w:type="dxa" w:w="100"/>
            </w:tcMar>
            <w:vAlign w:val="center"/>
          </w:tcPr>
          <w:p>
            <w:r>
              <w:rPr>
                <w:b/>
                <w:bCs/>
                <w:color w:val="222222"/>
                <w:sz w:val="18"/>
                <w:szCs w:val="18"/>
              </w:rPr>
              <w:t xml:space="preserve">Nomor Dokumen</w:t>
            </w:r>
          </w:p>
        </w:tc>
        <w:tc>
          <w:tcPr>
            <w:tcW w:type="dxa" w:w="6638"/>
            <w:tcMar>
              <w:top w:type="dxa" w:w="80"/>
              <w:left w:type="dxa" w:w="100"/>
              <w:bottom w:type="dxa" w:w="80"/>
              <w:right w:type="dxa" w:w="100"/>
            </w:tcMar>
            <w:vAlign w:val="center"/>
          </w:tcPr>
          <w:p>
            <w:r>
              <w:rPr>
                <w:b w:val="false"/>
                <w:bCs w:val="false"/>
                <w:color w:val="222222"/>
                <w:sz w:val="18"/>
                <w:szCs w:val="18"/>
              </w:rPr>
              <w:t xml:space="preserve">[Nomor Dokumen]</w:t>
            </w:r>
          </w:p>
        </w:tc>
      </w:tr>
      <w:tr>
        <w:tc>
          <w:tcPr>
            <w:tcW w:type="dxa" w:w="3000"/>
            <w:shd w:fill="FBF5F7" w:color="auto" w:val="clear"/>
            <w:tcMar>
              <w:top w:type="dxa" w:w="80"/>
              <w:left w:type="dxa" w:w="100"/>
              <w:bottom w:type="dxa" w:w="80"/>
              <w:right w:type="dxa" w:w="100"/>
            </w:tcMar>
            <w:vAlign w:val="center"/>
          </w:tcPr>
          <w:p>
            <w:r>
              <w:rPr>
                <w:b/>
                <w:bCs/>
                <w:color w:val="222222"/>
                <w:sz w:val="18"/>
                <w:szCs w:val="18"/>
              </w:rPr>
              <w:t xml:space="preserve">Tanggal Berlaku / Tinjau Ulang</w:t>
            </w:r>
          </w:p>
        </w:tc>
        <w:tc>
          <w:tcPr>
            <w:tcW w:type="dxa" w:w="6638"/>
            <w:shd w:fill="FBF5F7" w:color="auto" w:val="clear"/>
            <w:tcMar>
              <w:top w:type="dxa" w:w="80"/>
              <w:left w:type="dxa" w:w="100"/>
              <w:bottom w:type="dxa" w:w="80"/>
              <w:right w:type="dxa" w:w="100"/>
            </w:tcMar>
            <w:vAlign w:val="center"/>
          </w:tcPr>
          <w:p>
            <w:r>
              <w:rPr>
                <w:b w:val="false"/>
                <w:bCs w:val="false"/>
                <w:color w:val="222222"/>
                <w:sz w:val="18"/>
                <w:szCs w:val="18"/>
              </w:rPr>
              <w:t xml:space="preserve">[Tanggal Berlaku] / [Tanggal Tinjau Ulang]</w:t>
            </w:r>
          </w:p>
        </w:tc>
      </w:tr>
      <w:tr>
        <w:tc>
          <w:tcPr>
            <w:tcW w:type="dxa" w:w="3000"/>
            <w:tcMar>
              <w:top w:type="dxa" w:w="80"/>
              <w:left w:type="dxa" w:w="100"/>
              <w:bottom w:type="dxa" w:w="80"/>
              <w:right w:type="dxa" w:w="100"/>
            </w:tcMar>
            <w:vAlign w:val="center"/>
          </w:tcPr>
          <w:p>
            <w:r>
              <w:rPr>
                <w:b/>
                <w:bCs/>
                <w:color w:val="222222"/>
                <w:sz w:val="18"/>
                <w:szCs w:val="18"/>
              </w:rPr>
              <w:t xml:space="preserve">Penulis/Penyusun</w:t>
            </w:r>
          </w:p>
        </w:tc>
        <w:tc>
          <w:tcPr>
            <w:tcW w:type="dxa" w:w="6638"/>
            <w:tcMar>
              <w:top w:type="dxa" w:w="80"/>
              <w:left w:type="dxa" w:w="100"/>
              <w:bottom w:type="dxa" w:w="80"/>
              <w:right w:type="dxa" w:w="100"/>
            </w:tcMar>
            <w:vAlign w:val="center"/>
          </w:tcPr>
          <w:p>
            <w:r>
              <w:rPr>
                <w:b w:val="false"/>
                <w:bCs w:val="false"/>
                <w:color w:val="222222"/>
                <w:sz w:val="18"/>
                <w:szCs w:val="18"/>
              </w:rPr>
              <w:t xml:space="preserve">Dr.dr. Budi Siswanto, Sp.OG., Subsp.Obginsos., SH., S.Kom.</w:t>
            </w:r>
          </w:p>
        </w:tc>
      </w:tr>
      <w:tr>
        <w:tc>
          <w:tcPr>
            <w:tcW w:type="dxa" w:w="3000"/>
            <w:shd w:fill="FBF5F7" w:color="auto" w:val="clear"/>
            <w:tcMar>
              <w:top w:type="dxa" w:w="80"/>
              <w:left w:type="dxa" w:w="100"/>
              <w:bottom w:type="dxa" w:w="80"/>
              <w:right w:type="dxa" w:w="100"/>
            </w:tcMar>
            <w:vAlign w:val="center"/>
          </w:tcPr>
          <w:p>
            <w:r>
              <w:rPr>
                <w:b/>
                <w:bCs/>
                <w:color w:val="222222"/>
                <w:sz w:val="18"/>
                <w:szCs w:val="18"/>
              </w:rPr>
              <w:t xml:space="preserve">Penerbit</w:t>
            </w:r>
          </w:p>
        </w:tc>
        <w:tc>
          <w:tcPr>
            <w:tcW w:type="dxa" w:w="6638"/>
            <w:shd w:fill="FBF5F7" w:color="auto" w:val="clear"/>
            <w:tcMar>
              <w:top w:type="dxa" w:w="80"/>
              <w:left w:type="dxa" w:w="100"/>
              <w:bottom w:type="dxa" w:w="80"/>
              <w:right w:type="dxa" w:w="100"/>
            </w:tcMar>
            <w:vAlign w:val="center"/>
          </w:tcPr>
          <w:p>
            <w:r>
              <w:rPr>
                <w:b w:val="false"/>
                <w:bCs w:val="false"/>
                <w:color w:val="222222"/>
                <w:sz w:val="18"/>
                <w:szCs w:val="18"/>
              </w:rPr>
              <w:t xml:space="preserve">Perpustakaan ABBA</w:t>
            </w:r>
          </w:p>
        </w:tc>
      </w:tr>
      <w:tr>
        <w:tc>
          <w:tcPr>
            <w:tcW w:type="dxa" w:w="3000"/>
            <w:tcMar>
              <w:top w:type="dxa" w:w="80"/>
              <w:left w:type="dxa" w:w="100"/>
              <w:bottom w:type="dxa" w:w="80"/>
              <w:right w:type="dxa" w:w="100"/>
            </w:tcMar>
            <w:vAlign w:val="center"/>
          </w:tcPr>
          <w:p>
            <w:r>
              <w:rPr>
                <w:b/>
                <w:bCs/>
                <w:color w:val="222222"/>
                <w:sz w:val="18"/>
                <w:szCs w:val="18"/>
              </w:rPr>
              <w:t xml:space="preserve">Alamat Penerbit</w:t>
            </w:r>
          </w:p>
        </w:tc>
        <w:tc>
          <w:tcPr>
            <w:tcW w:type="dxa" w:w="6638"/>
            <w:tcMar>
              <w:top w:type="dxa" w:w="80"/>
              <w:left w:type="dxa" w:w="100"/>
              <w:bottom w:type="dxa" w:w="80"/>
              <w:right w:type="dxa" w:w="100"/>
            </w:tcMar>
            <w:vAlign w:val="center"/>
          </w:tcPr>
          <w:p>
            <w:r>
              <w:rPr>
                <w:b w:val="false"/>
                <w:bCs w:val="false"/>
                <w:color w:val="222222"/>
                <w:sz w:val="18"/>
                <w:szCs w:val="18"/>
              </w:rPr>
              <w:t xml:space="preserve">Jl Danau Kerinci No 9 Malang</w:t>
            </w:r>
          </w:p>
        </w:tc>
      </w:tr>
    </w:tbl>
    <w:p>
      <w:pPr>
        <w:pBdr>
          <w:bottom w:val="single" w:color="D9C3CC" w:sz="4"/>
        </w:pBdr>
        <w:spacing w:after="200" w:before="40"/>
      </w:pPr>
      <w:r>
        <w:t xml:space="preserve"/>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1. PENGERTIAN (DEFINISI)</w:t>
      </w:r>
    </w:p>
    <w:p>
      <w:pPr>
        <w:spacing w:after="90"/>
      </w:pPr>
      <w:r>
        <w:rPr>
          <w:color w:val="222222"/>
          <w:sz w:val="20"/>
          <w:szCs w:val="20"/>
        </w:rPr>
        <w:t xml:space="preserve">Komplikasi pasca-abortus kompleks adalah kumpulan kondisi klinis berat yang timbul setelah abortus (spontan, provokatus medisinalis, maupun tidak aman/unsafe abortion), mencakup satu atau lebih dari: perdarahan pervaginam masif yang mengancam hemodinamik, infeksi pelvis hingga sepsis/syok septik, sisa hasil konsepsi (retained products of conception/RPOC) yang menimbulkan perdarahan atau infeksi berulang, serta cedera traumatik pada uterus atau organ sekitar (perforasi, laserasi serviks).</w:t>
      </w:r>
    </w:p>
    <w:p>
      <w:pPr>
        <w:spacing w:after="90"/>
      </w:pPr>
      <w:r>
        <w:rPr>
          <w:color w:val="222222"/>
          <w:sz w:val="20"/>
          <w:szCs w:val="20"/>
        </w:rPr>
        <w:t xml:space="preserve">Secara epidemiologis, WHO memperkirakan sekitar 6 dari 10 kehamilan tidak direncanakan dan 3 dari 10 seluruh kehamilan di dunia berakhir dengan abortus induksi; risiko komplikasi meningkat tajam pada abortus yang tidak aman dibandingkan abortus spontan atau yang dilakukan sesuai standar WHO.</w:t>
      </w:r>
    </w:p>
    <w:p>
      <w:pPr>
        <w:spacing w:after="90"/>
      </w:pPr>
      <w:r>
        <w:rPr>
          <w:color w:val="222222"/>
          <w:sz w:val="20"/>
          <w:szCs w:val="20"/>
        </w:rPr>
        <w:t xml:space="preserve">Definisi dan tata laksana pada PPK ini mengacu pada Abortion Care Guideline edisi ke-2 (WHO, 2024) sebagai rujukan utama — memperbarui edisi pertama 2022 — disesuaikan dengan sumber daya dan regulasi hukum yang berlaku di Indonesia pasca-berlakunya KUHP Nasional (UU No. 1 Tahun 2023) per 2 Januari 2026 (lihat Bagian 8.C — Aspek Etikolegal).</w:t>
      </w:r>
    </w:p>
    <w:p>
      <w:pPr>
        <w:spacing w:after="90"/>
      </w:pPr>
      <w:r>
        <w:rPr>
          <w:color w:val="222222"/>
          <w:sz w:val="20"/>
          <w:szCs w:val="20"/>
        </w:rPr>
        <w:t xml:space="preserve">Dalam kerangka pendidikan Subspesialis Obstetri Ginekologi Sosial (Obginsos), kasus ini WAJIB ditinjau bukan hanya sebagai kasus per-pasien, tetapi juga sebagai fenomena kesehatan populasi (community obstetrics-gynaecology) — mencakup analisis determinan sosial, akses layanan berjenjang (Puskesmas–PONED–PONEK), dan kontribusinya terhadap Angka Kematian Ibu (AKI), sesuai kompetensi inti Obginsos sebagai cabang Community Obgyn.</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2. ANAMNESIS</w:t>
      </w:r>
    </w:p>
    <w:p>
      <w:pPr>
        <w:spacing w:after="80" w:before="160"/>
      </w:pPr>
      <w:r>
        <w:rPr>
          <w:b/>
          <w:bCs/>
          <w:color w:val="7A1F3D"/>
          <w:sz w:val="21"/>
          <w:szCs w:val="21"/>
        </w:rPr>
        <w:t xml:space="preserve">Riwayat Kehamilan dan Abortus</w:t>
      </w:r>
    </w:p>
    <w:p>
      <w:pPr>
        <w:pStyle w:val="ListParagraph"/>
        <w:numPr>
          <w:ilvl w:val="0"/>
          <w:numId w:val="2"/>
        </w:numPr>
        <w:spacing w:after="60"/>
      </w:pPr>
      <w:r>
        <w:rPr>
          <w:color w:val="222222"/>
          <w:sz w:val="20"/>
          <w:szCs w:val="20"/>
        </w:rPr>
        <w:t xml:space="preserve">Usia kehamilan terakhir diketahui (hari pertama haid terakhir/HPHT) dan hasil USG bila ada.</w:t>
      </w:r>
    </w:p>
    <w:p>
      <w:pPr>
        <w:pStyle w:val="ListParagraph"/>
        <w:numPr>
          <w:ilvl w:val="0"/>
          <w:numId w:val="2"/>
        </w:numPr>
        <w:spacing w:after="60"/>
      </w:pPr>
      <w:r>
        <w:rPr>
          <w:color w:val="222222"/>
          <w:sz w:val="20"/>
          <w:szCs w:val="20"/>
        </w:rPr>
        <w:t xml:space="preserve">Jenis abortus: spontan, abortus provokatus medisinalis (indikasi medis), atau dugaan abortus tidak aman (unsafe abortion).</w:t>
      </w:r>
    </w:p>
    <w:p>
      <w:pPr>
        <w:pStyle w:val="ListParagraph"/>
        <w:numPr>
          <w:ilvl w:val="0"/>
          <w:numId w:val="2"/>
        </w:numPr>
        <w:spacing w:after="60"/>
      </w:pPr>
      <w:r>
        <w:rPr>
          <w:color w:val="222222"/>
          <w:sz w:val="20"/>
          <w:szCs w:val="20"/>
        </w:rPr>
        <w:t xml:space="preserve">Metode dan tempat tindakan bila diketahui (bidan, dukun, obat-obatan tanpa resep, fasilitas kesehatan formal).</w:t>
      </w:r>
    </w:p>
    <w:p>
      <w:pPr>
        <w:pStyle w:val="ListParagraph"/>
        <w:numPr>
          <w:ilvl w:val="0"/>
          <w:numId w:val="2"/>
        </w:numPr>
        <w:spacing w:after="60"/>
      </w:pPr>
      <w:r>
        <w:rPr>
          <w:color w:val="222222"/>
          <w:sz w:val="20"/>
          <w:szCs w:val="20"/>
        </w:rPr>
        <w:t xml:space="preserve">Durasi dan jumlah perdarahan (jumlah pembalut per jam, ada tidaknya gumpalan/jaringan yang keluar).</w:t>
      </w:r>
    </w:p>
    <w:p>
      <w:pPr>
        <w:pStyle w:val="ListParagraph"/>
        <w:numPr>
          <w:ilvl w:val="0"/>
          <w:numId w:val="2"/>
        </w:numPr>
        <w:spacing w:after="60"/>
      </w:pPr>
      <w:r>
        <w:rPr>
          <w:color w:val="222222"/>
          <w:sz w:val="20"/>
          <w:szCs w:val="20"/>
        </w:rPr>
        <w:t xml:space="preserve">Nyeri perut bawah: onset, karakter, penjalaran.</w:t>
      </w:r>
    </w:p>
    <w:p>
      <w:pPr>
        <w:spacing w:after="80" w:before="160"/>
      </w:pPr>
      <w:r>
        <w:rPr>
          <w:b/>
          <w:bCs/>
          <w:color w:val="7A1F3D"/>
          <w:sz w:val="21"/>
          <w:szCs w:val="21"/>
        </w:rPr>
        <w:t xml:space="preserve">Gejala Infeksi/Sepsis</w:t>
      </w:r>
    </w:p>
    <w:p>
      <w:pPr>
        <w:pStyle w:val="ListParagraph"/>
        <w:numPr>
          <w:ilvl w:val="0"/>
          <w:numId w:val="2"/>
        </w:numPr>
        <w:spacing w:after="60"/>
      </w:pPr>
      <w:r>
        <w:rPr>
          <w:color w:val="222222"/>
          <w:sz w:val="20"/>
          <w:szCs w:val="20"/>
        </w:rPr>
        <w:t xml:space="preserve">Demam, menggigil, sekret vagina berbau busuk atau purulen.</w:t>
      </w:r>
    </w:p>
    <w:p>
      <w:pPr>
        <w:pStyle w:val="ListParagraph"/>
        <w:numPr>
          <w:ilvl w:val="0"/>
          <w:numId w:val="2"/>
        </w:numPr>
        <w:spacing w:after="60"/>
      </w:pPr>
      <w:r>
        <w:rPr>
          <w:color w:val="222222"/>
          <w:sz w:val="20"/>
          <w:szCs w:val="20"/>
        </w:rPr>
        <w:t xml:space="preserve">Tanda sistemik: lemas berat, penurunan kesadaran, napas cepat, jantung berdebar.</w:t>
      </w:r>
    </w:p>
    <w:p>
      <w:pPr>
        <w:spacing w:after="80" w:before="160"/>
      </w:pPr>
      <w:r>
        <w:rPr>
          <w:b/>
          <w:bCs/>
          <w:color w:val="7A1F3D"/>
          <w:sz w:val="21"/>
          <w:szCs w:val="21"/>
        </w:rPr>
        <w:t xml:space="preserve">Riwayat Relevan Lain</w:t>
      </w:r>
    </w:p>
    <w:p>
      <w:pPr>
        <w:pStyle w:val="ListParagraph"/>
        <w:numPr>
          <w:ilvl w:val="0"/>
          <w:numId w:val="2"/>
        </w:numPr>
        <w:spacing w:after="60"/>
      </w:pPr>
      <w:r>
        <w:rPr>
          <w:color w:val="222222"/>
          <w:sz w:val="20"/>
          <w:szCs w:val="20"/>
        </w:rPr>
        <w:t xml:space="preserve">Riwayat kekerasan seksual atau kehamilan tidak diinginkan (KTD) — tanyakan dengan pendekatan nonjudgmental dan jaga kerahasiaan.</w:t>
      </w:r>
    </w:p>
    <w:p>
      <w:pPr>
        <w:pStyle w:val="ListParagraph"/>
        <w:numPr>
          <w:ilvl w:val="0"/>
          <w:numId w:val="2"/>
        </w:numPr>
        <w:spacing w:after="60"/>
      </w:pPr>
      <w:r>
        <w:rPr>
          <w:color w:val="222222"/>
          <w:sz w:val="20"/>
          <w:szCs w:val="20"/>
        </w:rPr>
        <w:t xml:space="preserve">Riwayat penyakit penyerta (diabetes, gangguan koagulasi), riwayat alergi obat/antibiotik, status imunisasi tetanus.</w:t>
      </w:r>
    </w:p>
    <w:p>
      <w:pPr>
        <w:pStyle w:val="ListParagraph"/>
        <w:numPr>
          <w:ilvl w:val="0"/>
          <w:numId w:val="2"/>
        </w:numPr>
        <w:spacing w:after="60"/>
      </w:pPr>
      <w:r>
        <w:rPr>
          <w:color w:val="222222"/>
          <w:sz w:val="20"/>
          <w:szCs w:val="20"/>
        </w:rPr>
        <w:t xml:space="preserve">Riwayat obstetri sebelumnya dan rencana kontrasepsi/keluarga berencana.</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3. PEMERIKSAAN FISIK</w:t>
      </w:r>
    </w:p>
    <w:p>
      <w:pPr>
        <w:spacing w:after="80" w:before="160"/>
      </w:pPr>
      <w:r>
        <w:rPr>
          <w:b/>
          <w:bCs/>
          <w:color w:val="7A1F3D"/>
          <w:sz w:val="21"/>
          <w:szCs w:val="21"/>
        </w:rPr>
        <w:t xml:space="preserve">Tanda Vital dan Tanda Syok</w:t>
      </w:r>
    </w:p>
    <w:p>
      <w:pPr>
        <w:pStyle w:val="ListParagraph"/>
        <w:numPr>
          <w:ilvl w:val="0"/>
          <w:numId w:val="2"/>
        </w:numPr>
        <w:spacing w:after="60"/>
      </w:pPr>
      <w:r>
        <w:rPr>
          <w:color w:val="222222"/>
          <w:sz w:val="20"/>
          <w:szCs w:val="20"/>
        </w:rPr>
        <w:t xml:space="preserve">Tekanan darah, nadi, frekuensi napas, suhu, saturasi oksigen, tingkat kesadaran (GCS).</w:t>
      </w:r>
    </w:p>
    <w:p>
      <w:pPr>
        <w:pStyle w:val="ListParagraph"/>
        <w:numPr>
          <w:ilvl w:val="0"/>
          <w:numId w:val="2"/>
        </w:numPr>
        <w:spacing w:after="60"/>
      </w:pPr>
      <w:r>
        <w:rPr>
          <w:color w:val="222222"/>
          <w:sz w:val="20"/>
          <w:szCs w:val="20"/>
        </w:rPr>
        <w:t xml:space="preserve">Waspadai tanda syok hipovolemik (takikardia, hipotensi, akral dingin) atau syok septik (demam/hipotermia, hipotensi refrakter cairan, perubahan kesadaran).</w:t>
      </w:r>
    </w:p>
    <w:p>
      <w:pPr>
        <w:spacing w:after="80" w:before="160"/>
      </w:pPr>
      <w:r>
        <w:rPr>
          <w:b/>
          <w:bCs/>
          <w:color w:val="7A1F3D"/>
          <w:sz w:val="21"/>
          <w:szCs w:val="21"/>
        </w:rPr>
        <w:t xml:space="preserve">Pemeriksaan Abdomen</w:t>
      </w:r>
    </w:p>
    <w:p>
      <w:pPr>
        <w:pStyle w:val="ListParagraph"/>
        <w:numPr>
          <w:ilvl w:val="0"/>
          <w:numId w:val="2"/>
        </w:numPr>
        <w:spacing w:after="60"/>
      </w:pPr>
      <w:r>
        <w:rPr>
          <w:color w:val="222222"/>
          <w:sz w:val="20"/>
          <w:szCs w:val="20"/>
        </w:rPr>
        <w:t xml:space="preserve">Nyeri tekan, defans muskular, tanda peritonitis (curiga perforasi uterus atau abses pelvis pecah).</w:t>
      </w:r>
    </w:p>
    <w:p>
      <w:pPr>
        <w:spacing w:after="80" w:before="160"/>
      </w:pPr>
      <w:r>
        <w:rPr>
          <w:b/>
          <w:bCs/>
          <w:color w:val="7A1F3D"/>
          <w:sz w:val="21"/>
          <w:szCs w:val="21"/>
        </w:rPr>
        <w:t xml:space="preserve">Pemeriksaan Genitalia (Inspekulo dan Bimanual)</w:t>
      </w:r>
    </w:p>
    <w:p>
      <w:pPr>
        <w:pStyle w:val="ListParagraph"/>
        <w:numPr>
          <w:ilvl w:val="0"/>
          <w:numId w:val="2"/>
        </w:numPr>
        <w:spacing w:after="60"/>
      </w:pPr>
      <w:r>
        <w:rPr>
          <w:color w:val="222222"/>
          <w:sz w:val="20"/>
          <w:szCs w:val="20"/>
        </w:rPr>
        <w:t xml:space="preserve">Jumlah dan sifat perdarahan aktif, ada tidaknya jaringan di ostium serviks atau introitus vagina.</w:t>
      </w:r>
    </w:p>
    <w:p>
      <w:pPr>
        <w:pStyle w:val="ListParagraph"/>
        <w:numPr>
          <w:ilvl w:val="0"/>
          <w:numId w:val="2"/>
        </w:numPr>
        <w:spacing w:after="60"/>
      </w:pPr>
      <w:r>
        <w:rPr>
          <w:color w:val="222222"/>
          <w:sz w:val="20"/>
          <w:szCs w:val="20"/>
        </w:rPr>
        <w:t xml:space="preserve">Ostium uteri eksterna: terbuka (menunjukkan abortus inkomplit) atau tertutup.</w:t>
      </w:r>
    </w:p>
    <w:p>
      <w:pPr>
        <w:pStyle w:val="ListParagraph"/>
        <w:numPr>
          <w:ilvl w:val="0"/>
          <w:numId w:val="2"/>
        </w:numPr>
        <w:spacing w:after="60"/>
      </w:pPr>
      <w:r>
        <w:rPr>
          <w:color w:val="222222"/>
          <w:sz w:val="20"/>
          <w:szCs w:val="20"/>
        </w:rPr>
        <w:t xml:space="preserve">Bau sekret (curiga infeksi anaerob), tanda laserasi serviks/vagina, nyeri goyang serviks.</w:t>
      </w:r>
    </w:p>
    <w:p>
      <w:pPr>
        <w:pStyle w:val="ListParagraph"/>
        <w:numPr>
          <w:ilvl w:val="0"/>
          <w:numId w:val="2"/>
        </w:numPr>
        <w:spacing w:after="60"/>
      </w:pPr>
      <w:r>
        <w:rPr>
          <w:color w:val="222222"/>
          <w:sz w:val="20"/>
          <w:szCs w:val="20"/>
        </w:rPr>
        <w:t xml:space="preserve">Besar dan konsistensi uterus, nyeri tekan adneksa (curiga abses tuboovarium).</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4. KRITERIA DIAGNOSIS</w:t>
      </w:r>
    </w:p>
    <w:p>
      <w:pPr>
        <w:spacing w:after="90"/>
      </w:pPr>
      <w:r>
        <w:rPr>
          <w:color w:val="222222"/>
          <w:sz w:val="20"/>
          <w:szCs w:val="20"/>
        </w:rPr>
        <w:t xml:space="preserve">Derajat keparahan sepsis pasca-abortus dinilai menggunakan kriteria quick SOFA (qSOFA) dari konsensus Sepsis-3 (Singer et al., 2016), dikombinasikan dengan kriteria WHO Maternal Near-Miss (Say et al., 2009) untuk menentukan kecepatan eskalasi tata laksana pada konteks obstetri.</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200"/>
        <w:gridCol w:w="3200"/>
        <w:gridCol w:w="3238"/>
      </w:tblGrid>
      <w:tr>
        <w:tc>
          <w:tcPr>
            <w:tcW w:type="dxa" w:w="3200"/>
            <w:shd w:fill="7A1F3D" w:color="auto" w:val="clear"/>
            <w:tcMar>
              <w:top w:type="dxa" w:w="80"/>
              <w:left w:type="dxa" w:w="100"/>
              <w:bottom w:type="dxa" w:w="80"/>
              <w:right w:type="dxa" w:w="100"/>
            </w:tcMar>
            <w:vAlign w:val="center"/>
          </w:tcPr>
          <w:p>
            <w:r>
              <w:rPr>
                <w:b/>
                <w:bCs/>
                <w:color w:val="FFFFFF"/>
                <w:sz w:val="18"/>
                <w:szCs w:val="18"/>
              </w:rPr>
              <w:t xml:space="preserve">Parameter</w:t>
            </w:r>
          </w:p>
        </w:tc>
        <w:tc>
          <w:tcPr>
            <w:tcW w:type="dxa" w:w="3200"/>
            <w:shd w:fill="7A1F3D" w:color="auto" w:val="clear"/>
            <w:tcMar>
              <w:top w:type="dxa" w:w="80"/>
              <w:left w:type="dxa" w:w="100"/>
              <w:bottom w:type="dxa" w:w="80"/>
              <w:right w:type="dxa" w:w="100"/>
            </w:tcMar>
            <w:vAlign w:val="center"/>
          </w:tcPr>
          <w:p>
            <w:r>
              <w:rPr>
                <w:b/>
                <w:bCs/>
                <w:color w:val="FFFFFF"/>
                <w:sz w:val="18"/>
                <w:szCs w:val="18"/>
              </w:rPr>
              <w:t xml:space="preserve">Ambang Nilai Abnormal</w:t>
            </w:r>
          </w:p>
        </w:tc>
        <w:tc>
          <w:tcPr>
            <w:tcW w:type="dxa" w:w="3238"/>
            <w:shd w:fill="7A1F3D" w:color="auto" w:val="clear"/>
            <w:tcMar>
              <w:top w:type="dxa" w:w="80"/>
              <w:left w:type="dxa" w:w="100"/>
              <w:bottom w:type="dxa" w:w="80"/>
              <w:right w:type="dxa" w:w="100"/>
            </w:tcMar>
            <w:vAlign w:val="center"/>
          </w:tcPr>
          <w:p>
            <w:r>
              <w:rPr>
                <w:b/>
                <w:bCs/>
                <w:color w:val="FFFFFF"/>
                <w:sz w:val="18"/>
                <w:szCs w:val="18"/>
              </w:rPr>
              <w:t xml:space="preserve">Skor</w:t>
            </w:r>
          </w:p>
        </w:tc>
      </w:tr>
      <w:tr>
        <w:tc>
          <w:tcPr>
            <w:tcW w:type="dxa" w:w="3200"/>
            <w:tcMar>
              <w:top w:type="dxa" w:w="80"/>
              <w:left w:type="dxa" w:w="100"/>
              <w:bottom w:type="dxa" w:w="80"/>
              <w:right w:type="dxa" w:w="100"/>
            </w:tcMar>
            <w:vAlign w:val="center"/>
          </w:tcPr>
          <w:p>
            <w:r>
              <w:rPr>
                <w:b w:val="false"/>
                <w:bCs w:val="false"/>
                <w:color w:val="222222"/>
                <w:sz w:val="18"/>
                <w:szCs w:val="18"/>
              </w:rPr>
              <w:t xml:space="preserve">Frekuensi napas</w:t>
            </w:r>
          </w:p>
        </w:tc>
        <w:tc>
          <w:tcPr>
            <w:tcW w:type="dxa" w:w="3200"/>
            <w:tcMar>
              <w:top w:type="dxa" w:w="80"/>
              <w:left w:type="dxa" w:w="100"/>
              <w:bottom w:type="dxa" w:w="80"/>
              <w:right w:type="dxa" w:w="100"/>
            </w:tcMar>
            <w:vAlign w:val="center"/>
          </w:tcPr>
          <w:p>
            <w:r>
              <w:rPr>
                <w:b w:val="false"/>
                <w:bCs w:val="false"/>
                <w:color w:val="222222"/>
                <w:sz w:val="18"/>
                <w:szCs w:val="18"/>
              </w:rPr>
              <w:t xml:space="preserve">≥ 22 x/menit</w:t>
            </w:r>
          </w:p>
        </w:tc>
        <w:tc>
          <w:tcPr>
            <w:tcW w:type="dxa" w:w="3238"/>
            <w:tcMar>
              <w:top w:type="dxa" w:w="80"/>
              <w:left w:type="dxa" w:w="100"/>
              <w:bottom w:type="dxa" w:w="80"/>
              <w:right w:type="dxa" w:w="100"/>
            </w:tcMar>
            <w:vAlign w:val="center"/>
          </w:tcPr>
          <w:p>
            <w:pPr>
              <w:jc w:val="center"/>
            </w:pPr>
            <w:r>
              <w:rPr>
                <w:b w:val="false"/>
                <w:bCs w:val="false"/>
                <w:color w:val="222222"/>
                <w:sz w:val="18"/>
                <w:szCs w:val="18"/>
              </w:rPr>
              <w:t xml:space="preserve">1</w:t>
            </w:r>
          </w:p>
        </w:tc>
      </w:tr>
      <w:tr>
        <w:tc>
          <w:tcPr>
            <w:tcW w:type="dxa" w:w="3200"/>
            <w:shd w:fill="FBF5F7" w:color="auto" w:val="clear"/>
            <w:tcMar>
              <w:top w:type="dxa" w:w="80"/>
              <w:left w:type="dxa" w:w="100"/>
              <w:bottom w:type="dxa" w:w="80"/>
              <w:right w:type="dxa" w:w="100"/>
            </w:tcMar>
            <w:vAlign w:val="center"/>
          </w:tcPr>
          <w:p>
            <w:r>
              <w:rPr>
                <w:b w:val="false"/>
                <w:bCs w:val="false"/>
                <w:color w:val="222222"/>
                <w:sz w:val="18"/>
                <w:szCs w:val="18"/>
              </w:rPr>
              <w:t xml:space="preserve">Tekanan darah sistolik</w:t>
            </w:r>
          </w:p>
        </w:tc>
        <w:tc>
          <w:tcPr>
            <w:tcW w:type="dxa" w:w="3200"/>
            <w:shd w:fill="FBF5F7" w:color="auto" w:val="clear"/>
            <w:tcMar>
              <w:top w:type="dxa" w:w="80"/>
              <w:left w:type="dxa" w:w="100"/>
              <w:bottom w:type="dxa" w:w="80"/>
              <w:right w:type="dxa" w:w="100"/>
            </w:tcMar>
            <w:vAlign w:val="center"/>
          </w:tcPr>
          <w:p>
            <w:r>
              <w:rPr>
                <w:b w:val="false"/>
                <w:bCs w:val="false"/>
                <w:color w:val="222222"/>
                <w:sz w:val="18"/>
                <w:szCs w:val="18"/>
              </w:rPr>
              <w:t xml:space="preserve">≤ 100 mmHg</w:t>
            </w:r>
          </w:p>
        </w:tc>
        <w:tc>
          <w:tcPr>
            <w:tcW w:type="dxa" w:w="3238"/>
            <w:shd w:fill="FBF5F7" w:color="auto" w:val="clear"/>
            <w:tcMar>
              <w:top w:type="dxa" w:w="80"/>
              <w:left w:type="dxa" w:w="100"/>
              <w:bottom w:type="dxa" w:w="80"/>
              <w:right w:type="dxa" w:w="100"/>
            </w:tcMar>
            <w:vAlign w:val="center"/>
          </w:tcPr>
          <w:p>
            <w:pPr>
              <w:jc w:val="center"/>
            </w:pPr>
            <w:r>
              <w:rPr>
                <w:b w:val="false"/>
                <w:bCs w:val="false"/>
                <w:color w:val="222222"/>
                <w:sz w:val="18"/>
                <w:szCs w:val="18"/>
              </w:rPr>
              <w:t xml:space="preserve">1</w:t>
            </w:r>
          </w:p>
        </w:tc>
      </w:tr>
      <w:tr>
        <w:tc>
          <w:tcPr>
            <w:tcW w:type="dxa" w:w="3200"/>
            <w:tcMar>
              <w:top w:type="dxa" w:w="80"/>
              <w:left w:type="dxa" w:w="100"/>
              <w:bottom w:type="dxa" w:w="80"/>
              <w:right w:type="dxa" w:w="100"/>
            </w:tcMar>
            <w:vAlign w:val="center"/>
          </w:tcPr>
          <w:p>
            <w:r>
              <w:rPr>
                <w:b w:val="false"/>
                <w:bCs w:val="false"/>
                <w:color w:val="222222"/>
                <w:sz w:val="18"/>
                <w:szCs w:val="18"/>
              </w:rPr>
              <w:t xml:space="preserve">Perubahan status mental (GCS &lt; 15)</w:t>
            </w:r>
          </w:p>
        </w:tc>
        <w:tc>
          <w:tcPr>
            <w:tcW w:type="dxa" w:w="3200"/>
            <w:tcMar>
              <w:top w:type="dxa" w:w="80"/>
              <w:left w:type="dxa" w:w="100"/>
              <w:bottom w:type="dxa" w:w="80"/>
              <w:right w:type="dxa" w:w="100"/>
            </w:tcMar>
            <w:vAlign w:val="center"/>
          </w:tcPr>
          <w:p>
            <w:r>
              <w:rPr>
                <w:b w:val="false"/>
                <w:bCs w:val="false"/>
                <w:color w:val="222222"/>
                <w:sz w:val="18"/>
                <w:szCs w:val="18"/>
              </w:rPr>
              <w:t xml:space="preserve">Ada</w:t>
            </w:r>
          </w:p>
        </w:tc>
        <w:tc>
          <w:tcPr>
            <w:tcW w:type="dxa" w:w="3238"/>
            <w:tcMar>
              <w:top w:type="dxa" w:w="80"/>
              <w:left w:type="dxa" w:w="100"/>
              <w:bottom w:type="dxa" w:w="80"/>
              <w:right w:type="dxa" w:w="100"/>
            </w:tcMar>
            <w:vAlign w:val="center"/>
          </w:tcPr>
          <w:p>
            <w:pPr>
              <w:jc w:val="center"/>
            </w:pPr>
            <w:r>
              <w:rPr>
                <w:b w:val="false"/>
                <w:bCs w:val="false"/>
                <w:color w:val="222222"/>
                <w:sz w:val="18"/>
                <w:szCs w:val="18"/>
              </w:rPr>
              <w:t xml:space="preserve">1</w:t>
            </w:r>
          </w:p>
        </w:tc>
      </w:tr>
      <w:tr>
        <w:tc>
          <w:tcPr>
            <w:tcW w:type="dxa" w:w="3200"/>
            <w:shd w:fill="FBF5F7" w:color="auto" w:val="clear"/>
            <w:tcMar>
              <w:top w:type="dxa" w:w="80"/>
              <w:left w:type="dxa" w:w="100"/>
              <w:bottom w:type="dxa" w:w="80"/>
              <w:right w:type="dxa" w:w="100"/>
            </w:tcMar>
            <w:vAlign w:val="center"/>
          </w:tcPr>
          <w:p>
            <w:r>
              <w:rPr>
                <w:b/>
                <w:bCs/>
                <w:color w:val="222222"/>
                <w:sz w:val="18"/>
                <w:szCs w:val="18"/>
              </w:rPr>
              <w:t xml:space="preserve">Interpretasi</w:t>
            </w:r>
          </w:p>
        </w:tc>
        <w:tc>
          <w:tcPr>
            <w:tcW w:type="dxa" w:w="6438"/>
            <w:shd w:fill="FBF5F7" w:color="auto" w:val="clear"/>
            <w:tcMar>
              <w:top w:type="dxa" w:w="80"/>
              <w:left w:type="dxa" w:w="100"/>
              <w:bottom w:type="dxa" w:w="80"/>
              <w:right w:type="dxa" w:w="100"/>
            </w:tcMar>
            <w:vAlign w:val="center"/>
          </w:tcPr>
          <w:p>
            <w:r>
              <w:rPr>
                <w:b/>
                <w:bCs/>
                <w:color w:val="222222"/>
                <w:sz w:val="18"/>
                <w:szCs w:val="18"/>
              </w:rPr>
              <w:t xml:space="preserve">Skor ≥ 2 → risiko tinggi perburukan/sepsis berat, EVAKUASI/RUJUK SEGERA</w:t>
            </w:r>
          </w:p>
        </w:tc>
      </w:tr>
    </w:tbl>
    <w:p>
      <w:pPr>
        <w:spacing w:after="90"/>
      </w:pPr>
      <w:r>
        <w:rPr>
          <w:color w:val="222222"/>
          <w:sz w:val="20"/>
          <w:szCs w:val="20"/>
        </w:rPr>
        <w:t xml:space="preserve"> </w:t>
      </w:r>
    </w:p>
    <w:p>
      <w:pPr>
        <w:spacing w:after="80" w:before="160"/>
      </w:pPr>
      <w:r>
        <w:rPr>
          <w:b/>
          <w:bCs/>
          <w:color w:val="7A1F3D"/>
          <w:sz w:val="21"/>
          <w:szCs w:val="21"/>
        </w:rPr>
        <w:t xml:space="preserve">Kriteria Diagnosis Tambahan</w:t>
      </w:r>
    </w:p>
    <w:p>
      <w:pPr>
        <w:pStyle w:val="ListParagraph"/>
        <w:numPr>
          <w:ilvl w:val="0"/>
          <w:numId w:val="2"/>
        </w:numPr>
        <w:spacing w:after="60"/>
      </w:pPr>
      <w:r>
        <w:rPr>
          <w:color w:val="222222"/>
          <w:sz w:val="20"/>
          <w:szCs w:val="20"/>
        </w:rPr>
        <w:t xml:space="preserve">Abortus inkomplit: ostium terbuka, perdarahan aktif, USG menunjukkan sisa jaringan/gestasional intrauterin heterogen dengan ketebalan endometrium umumnya &gt; 15 mm (nilai ambang bervariasi menurut alat dan operator).</w:t>
      </w:r>
    </w:p>
    <w:p>
      <w:pPr>
        <w:pStyle w:val="ListParagraph"/>
        <w:numPr>
          <w:ilvl w:val="0"/>
          <w:numId w:val="2"/>
        </w:numPr>
        <w:spacing w:after="60"/>
      </w:pPr>
      <w:r>
        <w:rPr>
          <w:color w:val="222222"/>
          <w:sz w:val="20"/>
          <w:szCs w:val="20"/>
        </w:rPr>
        <w:t xml:space="preserve">Sepsis pasca-abortus: fokus infeksi pelvis (endometritis/parametritis/abses) disertai qSOFA ≥ 2 dan/atau laktat serum &gt; 2 mmol/L.</w:t>
      </w:r>
    </w:p>
    <w:p>
      <w:pPr>
        <w:pStyle w:val="ListParagraph"/>
        <w:numPr>
          <w:ilvl w:val="0"/>
          <w:numId w:val="2"/>
        </w:numPr>
        <w:spacing w:after="60"/>
      </w:pPr>
      <w:r>
        <w:rPr>
          <w:color w:val="222222"/>
          <w:sz w:val="20"/>
          <w:szCs w:val="20"/>
        </w:rPr>
        <w:t xml:space="preserve">Syok septik: sepsis dengan hipotensi menetap membutuhkan vasopresor meski resusitasi cairan adekuat, atau laktat &gt; 4 mmol/L.</w:t>
      </w:r>
    </w:p>
    <w:p>
      <w:pPr>
        <w:pStyle w:val="ListParagraph"/>
        <w:numPr>
          <w:ilvl w:val="0"/>
          <w:numId w:val="2"/>
        </w:numPr>
        <w:spacing w:after="60"/>
      </w:pPr>
      <w:r>
        <w:rPr>
          <w:color w:val="222222"/>
          <w:sz w:val="20"/>
          <w:szCs w:val="20"/>
        </w:rPr>
        <w:t xml:space="preserve">Curiga perforasi uterus: nyeri tekan abdomen hebat/defans, riwayat instrumentasi, distensi abdomen, tanda peritonitis, atau syok tidak sebanding jumlah perdarahan pervaginam yang terlihat.</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5. DIAGNOSIS KERJA</w:t>
      </w:r>
    </w:p>
    <w:p>
      <w:pPr>
        <w:pStyle w:val="ListParagraph"/>
        <w:numPr>
          <w:ilvl w:val="0"/>
          <w:numId w:val="2"/>
        </w:numPr>
        <w:spacing w:after="60"/>
      </w:pPr>
      <w:r>
        <w:rPr>
          <w:color w:val="222222"/>
          <w:sz w:val="20"/>
          <w:szCs w:val="20"/>
        </w:rPr>
        <w:t xml:space="preserve">Abortus inkomplit dengan perdarahan aktif, disertai/tanpa syok hipovolemik.</w:t>
      </w:r>
    </w:p>
    <w:p>
      <w:pPr>
        <w:pStyle w:val="ListParagraph"/>
        <w:numPr>
          <w:ilvl w:val="0"/>
          <w:numId w:val="2"/>
        </w:numPr>
        <w:spacing w:after="60"/>
      </w:pPr>
      <w:r>
        <w:rPr>
          <w:color w:val="222222"/>
          <w:sz w:val="20"/>
          <w:szCs w:val="20"/>
        </w:rPr>
        <w:t xml:space="preserve">Abortus inkomplit/septik dengan sepsis (derajat ringan-sedang atau berat/syok septik sesuai skor qSOFA).</w:t>
      </w:r>
    </w:p>
    <w:p>
      <w:pPr>
        <w:pStyle w:val="ListParagraph"/>
        <w:numPr>
          <w:ilvl w:val="0"/>
          <w:numId w:val="2"/>
        </w:numPr>
        <w:spacing w:after="60"/>
      </w:pPr>
      <w:r>
        <w:rPr>
          <w:color w:val="222222"/>
          <w:sz w:val="20"/>
          <w:szCs w:val="20"/>
        </w:rPr>
        <w:t xml:space="preserve">Abortus komplikata dengan kecurigaan perforasi uterus dan/atau cedera organ sekitar.</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6. DIAGNOSIS BANDING</w:t>
      </w:r>
    </w:p>
    <w:p>
      <w:pPr>
        <w:pStyle w:val="ListParagraph"/>
        <w:numPr>
          <w:ilvl w:val="0"/>
          <w:numId w:val="2"/>
        </w:numPr>
        <w:spacing w:after="60"/>
      </w:pPr>
      <w:r>
        <w:rPr>
          <w:color w:val="222222"/>
          <w:sz w:val="20"/>
          <w:szCs w:val="20"/>
        </w:rPr>
        <w:t xml:space="preserve">Kehamilan ektopik terganggu.</w:t>
      </w:r>
    </w:p>
    <w:p>
      <w:pPr>
        <w:pStyle w:val="ListParagraph"/>
        <w:numPr>
          <w:ilvl w:val="0"/>
          <w:numId w:val="2"/>
        </w:numPr>
        <w:spacing w:after="60"/>
      </w:pPr>
      <w:r>
        <w:rPr>
          <w:color w:val="222222"/>
          <w:sz w:val="20"/>
          <w:szCs w:val="20"/>
        </w:rPr>
        <w:t xml:space="preserve">Mola hidatidosa dengan perdarahan/infeksi sekunder.</w:t>
      </w:r>
    </w:p>
    <w:p>
      <w:pPr>
        <w:pStyle w:val="ListParagraph"/>
        <w:numPr>
          <w:ilvl w:val="0"/>
          <w:numId w:val="2"/>
        </w:numPr>
        <w:spacing w:after="60"/>
      </w:pPr>
      <w:r>
        <w:rPr>
          <w:color w:val="222222"/>
          <w:sz w:val="20"/>
          <w:szCs w:val="20"/>
        </w:rPr>
        <w:t xml:space="preserve">Penyakit radang panggul (Pelvic Inflammatory Disease) tanpa kehamilan.</w:t>
      </w:r>
    </w:p>
    <w:p>
      <w:pPr>
        <w:pStyle w:val="ListParagraph"/>
        <w:numPr>
          <w:ilvl w:val="0"/>
          <w:numId w:val="2"/>
        </w:numPr>
        <w:spacing w:after="60"/>
      </w:pPr>
      <w:r>
        <w:rPr>
          <w:color w:val="222222"/>
          <w:sz w:val="20"/>
          <w:szCs w:val="20"/>
        </w:rPr>
        <w:t xml:space="preserve">Apendisitis akut atau peritonitis akibat penyebab non-obstetri.</w:t>
      </w:r>
    </w:p>
    <w:p>
      <w:pPr>
        <w:pStyle w:val="ListParagraph"/>
        <w:numPr>
          <w:ilvl w:val="0"/>
          <w:numId w:val="2"/>
        </w:numPr>
        <w:spacing w:after="60"/>
      </w:pPr>
      <w:r>
        <w:rPr>
          <w:color w:val="222222"/>
          <w:sz w:val="20"/>
          <w:szCs w:val="20"/>
        </w:rPr>
        <w:t xml:space="preserve">Perdarahan uterus disfungsional pada kehamilan yang belum terdiagnosis.</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7. PEMERIKSAAN PENUNJANG</w:t>
      </w:r>
    </w:p>
    <w:p>
      <w:pPr>
        <w:pStyle w:val="ListParagraph"/>
        <w:numPr>
          <w:ilvl w:val="0"/>
          <w:numId w:val="2"/>
        </w:numPr>
        <w:spacing w:after="60"/>
      </w:pPr>
      <w:r>
        <w:rPr>
          <w:color w:val="222222"/>
          <w:sz w:val="20"/>
          <w:szCs w:val="20"/>
        </w:rPr>
        <w:t xml:space="preserve">USG transvaginal/transabdominal: menilai sisa jaringan intrauterin, ketebalan endometrium, tanda perforasi, cairan bebas intraperitoneal.</w:t>
      </w:r>
    </w:p>
    <w:p>
      <w:pPr>
        <w:pStyle w:val="ListParagraph"/>
        <w:numPr>
          <w:ilvl w:val="0"/>
          <w:numId w:val="2"/>
        </w:numPr>
        <w:spacing w:after="60"/>
      </w:pPr>
      <w:r>
        <w:rPr>
          <w:color w:val="222222"/>
          <w:sz w:val="20"/>
          <w:szCs w:val="20"/>
        </w:rPr>
        <w:t xml:space="preserve">Darah perifer lengkap (hemoglobin, leukosit, trombosit), CRP/prokalsitonin bila tersedia.</w:t>
      </w:r>
    </w:p>
    <w:p>
      <w:pPr>
        <w:pStyle w:val="ListParagraph"/>
        <w:numPr>
          <w:ilvl w:val="0"/>
          <w:numId w:val="2"/>
        </w:numPr>
        <w:spacing w:after="60"/>
      </w:pPr>
      <w:r>
        <w:rPr>
          <w:color w:val="222222"/>
          <w:sz w:val="20"/>
          <w:szCs w:val="20"/>
        </w:rPr>
        <w:t xml:space="preserve">Laktat serum — penanda hipoperfusi jaringan pada sepsis.</w:t>
      </w:r>
    </w:p>
    <w:p>
      <w:pPr>
        <w:pStyle w:val="ListParagraph"/>
        <w:numPr>
          <w:ilvl w:val="0"/>
          <w:numId w:val="2"/>
        </w:numPr>
        <w:spacing w:after="60"/>
      </w:pPr>
      <w:r>
        <w:rPr>
          <w:color w:val="222222"/>
          <w:sz w:val="20"/>
          <w:szCs w:val="20"/>
        </w:rPr>
        <w:t xml:space="preserve">Golongan darah dan crossmatch (persiapan transfusi).</w:t>
      </w:r>
    </w:p>
    <w:p>
      <w:pPr>
        <w:pStyle w:val="ListParagraph"/>
        <w:numPr>
          <w:ilvl w:val="0"/>
          <w:numId w:val="2"/>
        </w:numPr>
        <w:spacing w:after="60"/>
      </w:pPr>
      <w:r>
        <w:rPr>
          <w:color w:val="222222"/>
          <w:sz w:val="20"/>
          <w:szCs w:val="20"/>
        </w:rPr>
        <w:t xml:space="preserve">Fungsi ginjal dan hati, elektrolit, gula darah sewaktu.</w:t>
      </w:r>
    </w:p>
    <w:p>
      <w:pPr>
        <w:pStyle w:val="ListParagraph"/>
        <w:numPr>
          <w:ilvl w:val="0"/>
          <w:numId w:val="2"/>
        </w:numPr>
        <w:spacing w:after="60"/>
      </w:pPr>
      <w:r>
        <w:rPr>
          <w:color w:val="222222"/>
          <w:sz w:val="20"/>
          <w:szCs w:val="20"/>
        </w:rPr>
        <w:t xml:space="preserve">Profil koagulasi (PT/aPTT/fibrinogen) bila curiga koagulasi intravaskular diseminata (KID).</w:t>
      </w:r>
    </w:p>
    <w:p>
      <w:pPr>
        <w:pStyle w:val="ListParagraph"/>
        <w:numPr>
          <w:ilvl w:val="0"/>
          <w:numId w:val="2"/>
        </w:numPr>
        <w:spacing w:after="60"/>
      </w:pPr>
      <w:r>
        <w:rPr>
          <w:color w:val="222222"/>
          <w:sz w:val="20"/>
          <w:szCs w:val="20"/>
        </w:rPr>
        <w:t xml:space="preserve">Kultur darah dan kultur sekret endoserviks/jaringan bila fasilitas tersedia, sebelum pemberian antibiotik jika memungkinkan tanpa menunda terapi.</w:t>
      </w:r>
    </w:p>
    <w:p>
      <w:pPr>
        <w:pStyle w:val="ListParagraph"/>
        <w:numPr>
          <w:ilvl w:val="0"/>
          <w:numId w:val="2"/>
        </w:numPr>
        <w:spacing w:after="60"/>
      </w:pPr>
      <w:r>
        <w:rPr>
          <w:color w:val="222222"/>
          <w:sz w:val="20"/>
          <w:szCs w:val="20"/>
        </w:rPr>
        <w:t xml:space="preserve">Foto polos abdomen tegak/rontgen toraks bila curiga perforasi dengan udara bebas.</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8. TATA LAKSANA (TERAPI)</w:t>
      </w:r>
    </w:p>
    <w:p>
      <w:pPr>
        <w:spacing w:after="80" w:before="160"/>
      </w:pPr>
      <w:r>
        <w:rPr>
          <w:b/>
          <w:bCs/>
          <w:color w:val="7A1F3D"/>
          <w:sz w:val="21"/>
          <w:szCs w:val="21"/>
        </w:rPr>
        <w:t xml:space="preserve">8.A Stabilisasi Awal (Semua Kasus)</w:t>
      </w:r>
    </w:p>
    <w:p>
      <w:pPr>
        <w:pStyle w:val="ListParagraph"/>
        <w:numPr>
          <w:ilvl w:val="0"/>
          <w:numId w:val="2"/>
        </w:numPr>
        <w:spacing w:after="60"/>
      </w:pPr>
      <w:r>
        <w:rPr>
          <w:color w:val="222222"/>
          <w:sz w:val="20"/>
          <w:szCs w:val="20"/>
        </w:rPr>
        <w:t xml:space="preserve">Prinsip ABCDE: amankan jalan napas, oksigenasi, dua akses intravena besar (≥18G), pasang kateter urin untuk pantau produksi urin.</w:t>
      </w:r>
    </w:p>
    <w:p>
      <w:pPr>
        <w:pStyle w:val="ListParagraph"/>
        <w:numPr>
          <w:ilvl w:val="0"/>
          <w:numId w:val="2"/>
        </w:numPr>
        <w:spacing w:after="60"/>
      </w:pPr>
      <w:r>
        <w:rPr>
          <w:color w:val="222222"/>
          <w:sz w:val="20"/>
          <w:szCs w:val="20"/>
        </w:rPr>
        <w:t xml:space="preserve">Resusitasi cairan kristaloid (RL/NaCl 0,9%) 1-2 liter awal dalam 30-60 menit pada tanda syok, dititrasi sesuai respons hemodinamik.</w:t>
      </w:r>
    </w:p>
    <w:p>
      <w:pPr>
        <w:pStyle w:val="ListParagraph"/>
        <w:numPr>
          <w:ilvl w:val="0"/>
          <w:numId w:val="2"/>
        </w:numPr>
        <w:spacing w:after="60"/>
      </w:pPr>
      <w:r>
        <w:rPr>
          <w:color w:val="222222"/>
          <w:sz w:val="20"/>
          <w:szCs w:val="20"/>
        </w:rPr>
        <w:t xml:space="preserve">Pemeriksaan tanda vital berkala tiap 15-30 menit pada kasus tidak stabil.</w:t>
      </w:r>
    </w:p>
    <w:p>
      <w:pPr>
        <w:spacing w:after="80" w:before="160"/>
      </w:pPr>
      <w:r>
        <w:rPr>
          <w:b/>
          <w:bCs/>
          <w:color w:val="7A1F3D"/>
          <w:sz w:val="21"/>
          <w:szCs w:val="21"/>
        </w:rPr>
        <w:t xml:space="preserve">8.B Alur Tata Laksana Bertingkat (Perdarahan — Infeksi — Evakuasi Sisa Jaringan)</w:t>
      </w:r>
    </w:p>
    <w:p>
      <w:pPr>
        <w:spacing w:after="90"/>
      </w:pPr>
      <w:r>
        <w:rPr>
          <w:color w:val="222222"/>
          <w:sz w:val="20"/>
          <w:szCs w:val="20"/>
        </w:rPr>
        <w:t xml:space="preserve">Karena melibatkan lebih dari dua titik keputusan, tata laksana disajikan sebagai diagram alur berikut, bukan paragraf naratif:</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F3E3E9" w:color="auto" w:val="clear"/>
            <w:tcMar>
              <w:top w:type="dxa" w:w="100"/>
              <w:left w:type="dxa" w:w="150"/>
              <w:bottom w:type="dxa" w:w="100"/>
              <w:right w:type="dxa" w:w="150"/>
            </w:tcMar>
          </w:tcPr>
          <w:p>
            <w:pPr>
              <w:jc w:val="center"/>
            </w:pPr>
            <w:r>
              <w:rPr>
                <w:b/>
                <w:bCs/>
                <w:color w:val="7A1F3D"/>
                <w:sz w:val="19"/>
                <w:szCs w:val="19"/>
              </w:rPr>
              <w:t xml:space="preserve">LANGKAH 1 — TRIASE PERDARAHAN</w:t>
            </w:r>
          </w:p>
          <w:p>
            <w:pPr>
              <w:spacing w:before="40"/>
              <w:jc w:val="center"/>
            </w:pPr>
            <w:r>
              <w:rPr>
                <w:color w:val="222222"/>
                <w:sz w:val="18"/>
                <w:szCs w:val="18"/>
              </w:rPr>
              <w:t xml:space="preserve">Nilai jumlah perdarahan, tanda syok (TD, nadi, kesadaran), dan estimasi kehilangan darah.</w:t>
            </w:r>
          </w:p>
        </w:tc>
      </w:tr>
    </w:tbl>
    <w:p>
      <w:pPr>
        <w:spacing w:after="40" w:before="40"/>
        <w:jc w:val="center"/>
      </w:pPr>
      <w:r>
        <w:rPr>
          <w:b/>
          <w:bCs/>
          <w:color w:val="7A1F3D"/>
          <w:sz w:val="24"/>
          <w:szCs w:val="24"/>
        </w:rPr>
        <w:t xml:space="preserv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single" w:color="7A1F3D" w:sz="4"/>
              <w:left w:val="single" w:color="7A1F3D" w:sz="4"/>
              <w:bottom w:val="single" w:color="7A1F3D" w:sz="4"/>
              <w:right w:val="single" w:color="7A1F3D" w:sz="4"/>
            </w:tcBorders>
            <w:shd w:fill="E8F0E3" w:color="auto" w:val="clear"/>
            <w:tcMar>
              <w:top w:type="dxa" w:w="100"/>
              <w:left w:type="dxa" w:w="120"/>
              <w:bottom w:type="dxa" w:w="100"/>
              <w:right w:type="dxa" w:w="120"/>
            </w:tcMar>
          </w:tcPr>
          <w:p>
            <w:pPr>
              <w:jc w:val="center"/>
            </w:pPr>
            <w:r>
              <w:rPr>
                <w:b/>
                <w:bCs/>
                <w:color w:val="2F5233"/>
                <w:sz w:val="18"/>
                <w:szCs w:val="18"/>
              </w:rPr>
              <w:t xml:space="preserve">Perdarahan Ringan-Sedang, Hemodinamik Stabil</w:t>
            </w:r>
          </w:p>
          <w:p>
            <w:pPr>
              <w:spacing w:before="40"/>
              <w:jc w:val="center"/>
            </w:pPr>
            <w:r>
              <w:rPr>
                <w:sz w:val="17"/>
                <w:szCs w:val="17"/>
              </w:rPr>
              <w:t xml:space="preserve">Uterotonika (oksitosin 10-20 IU dalam 500 mL cairan IV) + evakuasi sisa jaringan terjadwal.</w:t>
            </w:r>
          </w:p>
        </w:tc>
        <w:tc>
          <w:tcPr>
            <w:tcW w:type="dxa" w:w="4819"/>
            <w:tcBorders>
              <w:top w:val="single" w:color="7A1F3D" w:sz="4"/>
              <w:left w:val="single" w:color="7A1F3D" w:sz="4"/>
              <w:bottom w:val="single" w:color="7A1F3D" w:sz="4"/>
              <w:right w:val="single" w:color="7A1F3D" w:sz="4"/>
            </w:tcBorders>
            <w:shd w:fill="F7E1E1" w:color="auto" w:val="clear"/>
            <w:tcMar>
              <w:top w:type="dxa" w:w="100"/>
              <w:left w:type="dxa" w:w="120"/>
              <w:bottom w:type="dxa" w:w="100"/>
              <w:right w:type="dxa" w:w="120"/>
            </w:tcMar>
          </w:tcPr>
          <w:p>
            <w:pPr>
              <w:jc w:val="center"/>
            </w:pPr>
            <w:r>
              <w:rPr>
                <w:b/>
                <w:bCs/>
                <w:color w:val="7A1F3D"/>
                <w:sz w:val="18"/>
                <w:szCs w:val="18"/>
              </w:rPr>
              <w:t xml:space="preserve">Perdarahan Masif / Syok Hipovolemik</w:t>
            </w:r>
          </w:p>
          <w:p>
            <w:pPr>
              <w:spacing w:before="40"/>
              <w:jc w:val="center"/>
            </w:pPr>
            <w:r>
              <w:rPr>
                <w:sz w:val="17"/>
                <w:szCs w:val="17"/>
              </w:rPr>
              <w:t xml:space="preserve">Transfusi darah (target Hb ≥ 7-8 g/dL), evakuasi CITO, KRITERIA RUJUK: perdarahan tak terkendali &gt;1000 mL atau butuh histerektomi/embolisasi.</w:t>
            </w:r>
          </w:p>
        </w:tc>
      </w:tr>
    </w:tbl>
    <w:p>
      <w:pPr>
        <w:spacing w:after="40" w:before="40"/>
        <w:jc w:val="center"/>
      </w:pPr>
      <w:r>
        <w:rPr>
          <w:b/>
          <w:bCs/>
          <w:color w:val="7A1F3D"/>
          <w:sz w:val="24"/>
          <w:szCs w:val="24"/>
        </w:rPr>
        <w:t xml:space="preserv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F3E3E9" w:color="auto" w:val="clear"/>
            <w:tcMar>
              <w:top w:type="dxa" w:w="100"/>
              <w:left w:type="dxa" w:w="150"/>
              <w:bottom w:type="dxa" w:w="100"/>
              <w:right w:type="dxa" w:w="150"/>
            </w:tcMar>
          </w:tcPr>
          <w:p>
            <w:pPr>
              <w:jc w:val="center"/>
            </w:pPr>
            <w:r>
              <w:rPr>
                <w:b/>
                <w:bCs/>
                <w:color w:val="7A1F3D"/>
                <w:sz w:val="19"/>
                <w:szCs w:val="19"/>
              </w:rPr>
              <w:t xml:space="preserve">LANGKAH 2 — TRIASE INFEKSI</w:t>
            </w:r>
          </w:p>
          <w:p>
            <w:pPr>
              <w:spacing w:before="40"/>
              <w:jc w:val="center"/>
            </w:pPr>
            <w:r>
              <w:rPr>
                <w:color w:val="222222"/>
                <w:sz w:val="18"/>
                <w:szCs w:val="18"/>
              </w:rPr>
              <w:t xml:space="preserve">Tentukan fokus infeksi (endometritis/parametritis/abses/peritonitis) dan derajat sepsis (qSOFA, laktat).</w:t>
            </w:r>
          </w:p>
        </w:tc>
      </w:tr>
    </w:tbl>
    <w:p>
      <w:pPr>
        <w:spacing w:after="40" w:before="40"/>
        <w:jc w:val="center"/>
      </w:pPr>
      <w:r>
        <w:rPr>
          <w:b/>
          <w:bCs/>
          <w:color w:val="7A1F3D"/>
          <w:sz w:val="24"/>
          <w:szCs w:val="24"/>
        </w:rPr>
        <w:t xml:space="preserv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single" w:color="7A1F3D" w:sz="4"/>
              <w:left w:val="single" w:color="7A1F3D" w:sz="4"/>
              <w:bottom w:val="single" w:color="7A1F3D" w:sz="4"/>
              <w:right w:val="single" w:color="7A1F3D" w:sz="4"/>
            </w:tcBorders>
            <w:shd w:fill="E8F0E3" w:color="auto" w:val="clear"/>
            <w:tcMar>
              <w:top w:type="dxa" w:w="100"/>
              <w:left w:type="dxa" w:w="120"/>
              <w:bottom w:type="dxa" w:w="100"/>
              <w:right w:type="dxa" w:w="120"/>
            </w:tcMar>
          </w:tcPr>
          <w:p>
            <w:pPr>
              <w:jc w:val="center"/>
            </w:pPr>
            <w:r>
              <w:rPr>
                <w:b/>
                <w:bCs/>
                <w:color w:val="2F5233"/>
                <w:sz w:val="18"/>
                <w:szCs w:val="18"/>
              </w:rPr>
              <w:t xml:space="preserve">qSOFA 0-1, Tanpa Syok</w:t>
            </w:r>
          </w:p>
          <w:p>
            <w:pPr>
              <w:spacing w:before="40"/>
              <w:jc w:val="center"/>
            </w:pPr>
            <w:r>
              <w:rPr>
                <w:sz w:val="17"/>
                <w:szCs w:val="17"/>
              </w:rPr>
              <w:t xml:space="preserve">Antibiotik spektrum luas IV: ampisilin 2 g/6 jam + gentamisin 5 mg/kgBB/24 jam + metronidazol 500 mg/8 jam. Evaluasi klinis tiap 6-12 jam.</w:t>
            </w:r>
          </w:p>
        </w:tc>
        <w:tc>
          <w:tcPr>
            <w:tcW w:type="dxa" w:w="4819"/>
            <w:tcBorders>
              <w:top w:val="single" w:color="7A1F3D" w:sz="4"/>
              <w:left w:val="single" w:color="7A1F3D" w:sz="4"/>
              <w:bottom w:val="single" w:color="7A1F3D" w:sz="4"/>
              <w:right w:val="single" w:color="7A1F3D" w:sz="4"/>
            </w:tcBorders>
            <w:shd w:fill="F7E1E1" w:color="auto" w:val="clear"/>
            <w:tcMar>
              <w:top w:type="dxa" w:w="100"/>
              <w:left w:type="dxa" w:w="120"/>
              <w:bottom w:type="dxa" w:w="100"/>
              <w:right w:type="dxa" w:w="120"/>
            </w:tcMar>
          </w:tcPr>
          <w:p>
            <w:pPr>
              <w:jc w:val="center"/>
            </w:pPr>
            <w:r>
              <w:rPr>
                <w:b/>
                <w:bCs/>
                <w:color w:val="7A1F3D"/>
                <w:sz w:val="18"/>
                <w:szCs w:val="18"/>
              </w:rPr>
              <w:t xml:space="preserve">qSOFA ≥ 2 dan/atau Syok Septik</w:t>
            </w:r>
          </w:p>
          <w:p>
            <w:pPr>
              <w:spacing w:before="40"/>
              <w:jc w:val="center"/>
            </w:pPr>
            <w:r>
              <w:rPr>
                <w:sz w:val="17"/>
                <w:szCs w:val="17"/>
              </w:rPr>
              <w:t xml:space="preserve">Resusitasi sepsis (bundle 1 jam), antibiotik dalam 1 jam, kontrol sumber infeksi segera. KRITERIA RUJUK/EKSKALASI: butuh vasopresor, perawatan ICU, atau curiga abses/perforasi yang butuh bedah.</w:t>
            </w:r>
          </w:p>
        </w:tc>
      </w:tr>
    </w:tbl>
    <w:p>
      <w:pPr>
        <w:spacing w:after="40" w:before="40"/>
        <w:jc w:val="center"/>
      </w:pPr>
      <w:r>
        <w:rPr>
          <w:b/>
          <w:bCs/>
          <w:color w:val="7A1F3D"/>
          <w:sz w:val="24"/>
          <w:szCs w:val="24"/>
        </w:rPr>
        <w:t xml:space="preserv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7A1F3D" w:sz="4"/>
              <w:left w:val="single" w:color="7A1F3D" w:sz="4"/>
              <w:bottom w:val="single" w:color="7A1F3D" w:sz="4"/>
              <w:right w:val="single" w:color="7A1F3D" w:sz="4"/>
            </w:tcBorders>
            <w:shd w:fill="F3E3E9" w:color="auto" w:val="clear"/>
            <w:tcMar>
              <w:top w:type="dxa" w:w="100"/>
              <w:left w:type="dxa" w:w="150"/>
              <w:bottom w:type="dxa" w:w="100"/>
              <w:right w:type="dxa" w:w="150"/>
            </w:tcMar>
          </w:tcPr>
          <w:p>
            <w:pPr>
              <w:jc w:val="center"/>
            </w:pPr>
            <w:r>
              <w:rPr>
                <w:b/>
                <w:bCs/>
                <w:color w:val="7A1F3D"/>
                <w:sz w:val="19"/>
                <w:szCs w:val="19"/>
              </w:rPr>
              <w:t xml:space="preserve">LANGKAH 3 — INDIKASI EVAKUASI SISA JARINGAN (MVA)</w:t>
            </w:r>
          </w:p>
          <w:p>
            <w:pPr>
              <w:spacing w:before="40"/>
              <w:jc w:val="center"/>
            </w:pPr>
            <w:r>
              <w:rPr>
                <w:color w:val="222222"/>
                <w:sz w:val="18"/>
                <w:szCs w:val="18"/>
              </w:rPr>
              <w:t xml:space="preserve">Konfirmasi USG sisa jaringan intrauterin dan nilai stabilitas hemodinamik/infeksi sebelum tindakan.</w:t>
            </w:r>
          </w:p>
        </w:tc>
      </w:tr>
    </w:tbl>
    <w:p>
      <w:pPr>
        <w:spacing w:after="40" w:before="40"/>
        <w:jc w:val="center"/>
      </w:pPr>
      <w:r>
        <w:rPr>
          <w:b/>
          <w:bCs/>
          <w:color w:val="7A1F3D"/>
          <w:sz w:val="24"/>
          <w:szCs w:val="24"/>
        </w:rPr>
        <w:t xml:space="preserv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single" w:color="7A1F3D" w:sz="4"/>
              <w:left w:val="single" w:color="7A1F3D" w:sz="4"/>
              <w:bottom w:val="single" w:color="7A1F3D" w:sz="4"/>
              <w:right w:val="single" w:color="7A1F3D" w:sz="4"/>
            </w:tcBorders>
            <w:shd w:fill="E8F0E3" w:color="auto" w:val="clear"/>
            <w:tcMar>
              <w:top w:type="dxa" w:w="100"/>
              <w:left w:type="dxa" w:w="120"/>
              <w:bottom w:type="dxa" w:w="100"/>
              <w:right w:type="dxa" w:w="120"/>
            </w:tcMar>
          </w:tcPr>
          <w:p>
            <w:pPr>
              <w:jc w:val="center"/>
            </w:pPr>
            <w:r>
              <w:rPr>
                <w:b/>
                <w:bCs/>
                <w:color w:val="2F5233"/>
                <w:sz w:val="18"/>
                <w:szCs w:val="18"/>
              </w:rPr>
              <w:t xml:space="preserve">Stabil, Usia Gestasi ≤ 12-13 Minggu</w:t>
            </w:r>
          </w:p>
          <w:p>
            <w:pPr>
              <w:spacing w:before="40"/>
              <w:jc w:val="center"/>
            </w:pPr>
            <w:r>
              <w:rPr>
                <w:sz w:val="17"/>
                <w:szCs w:val="17"/>
              </w:rPr>
              <w:t xml:space="preserve">Manual Vacuum Aspiration (MVA) di kamar tindakan/poliklinik dengan analgesia lokal/sedasi ringan, sesuai standar WHO 2022.</w:t>
            </w:r>
          </w:p>
        </w:tc>
        <w:tc>
          <w:tcPr>
            <w:tcW w:type="dxa" w:w="4819"/>
            <w:tcBorders>
              <w:top w:val="single" w:color="7A1F3D" w:sz="4"/>
              <w:left w:val="single" w:color="7A1F3D" w:sz="4"/>
              <w:bottom w:val="single" w:color="7A1F3D" w:sz="4"/>
              <w:right w:val="single" w:color="7A1F3D" w:sz="4"/>
            </w:tcBorders>
            <w:shd w:fill="F7E1E1" w:color="auto" w:val="clear"/>
            <w:tcMar>
              <w:top w:type="dxa" w:w="100"/>
              <w:left w:type="dxa" w:w="120"/>
              <w:bottom w:type="dxa" w:w="100"/>
              <w:right w:type="dxa" w:w="120"/>
            </w:tcMar>
          </w:tcPr>
          <w:p>
            <w:pPr>
              <w:jc w:val="center"/>
            </w:pPr>
            <w:r>
              <w:rPr>
                <w:b/>
                <w:bCs/>
                <w:color w:val="7A1F3D"/>
                <w:sz w:val="18"/>
                <w:szCs w:val="18"/>
              </w:rPr>
              <w:t xml:space="preserve">Tidak Stabil / Curiga Perforasi / Jaringan Luas / Usia Gestasi Lebih Besar</w:t>
            </w:r>
          </w:p>
          <w:p>
            <w:pPr>
              <w:spacing w:before="40"/>
              <w:jc w:val="center"/>
            </w:pPr>
            <w:r>
              <w:rPr>
                <w:sz w:val="17"/>
                <w:szCs w:val="17"/>
              </w:rPr>
              <w:t xml:space="preserve">KRITERIA RUJUK/ESKALASI: kuretase tajam atau evakuasi di kamar operasi dengan anestesi, laparoskopi/laparotomi bila perforasi, rujuk ke RS dengan fasilitas bedah dan ICU bila tidak tersedia di RS asal.</w:t>
            </w:r>
          </w:p>
        </w:tc>
      </w:tr>
    </w:tbl>
    <w:p>
      <w:pPr>
        <w:spacing w:after="80" w:before="160"/>
      </w:pPr>
      <w:r>
        <w:rPr>
          <w:b/>
          <w:bCs/>
          <w:color w:val="7A1F3D"/>
          <w:sz w:val="21"/>
          <w:szCs w:val="21"/>
        </w:rPr>
        <w:t xml:space="preserve">8.C Aspek Etikolegal dan Kerahasiaan</w:t>
      </w:r>
    </w:p>
    <w:p>
      <w:pPr>
        <w:spacing w:after="90"/>
      </w:pPr>
      <w:r>
        <w:rPr>
          <w:color w:val="222222"/>
          <w:sz w:val="20"/>
          <w:szCs w:val="20"/>
        </w:rPr>
        <w:t xml:space="preserve">Sejak 2 Januari 2026, Kitab Undang-Undang Hukum Pidana Nasional (UU No. 1 Tahun 2023, sebagaimana disesuaikan oleh UU No. 1 Tahun 2026 tentang Penyesuaian Pidana) mulai berlaku efektif dan menggantikan KUHP warisan kolonial. Sebelum menerapkan rekomendasi klinis internasional (WHO, Abortion Care Guideline edisi ke-2, 2024), tenaga medis WAJIB memperhatikan batasan hukum Indonesia yang berlaku saat ini:</w:t>
      </w:r>
    </w:p>
    <w:p>
      <w:pPr>
        <w:pStyle w:val="ListParagraph"/>
        <w:numPr>
          <w:ilvl w:val="0"/>
          <w:numId w:val="2"/>
        </w:numPr>
        <w:spacing w:after="60"/>
      </w:pPr>
      <w:r>
        <w:rPr>
          <w:color w:val="222222"/>
          <w:sz w:val="20"/>
          <w:szCs w:val="20"/>
        </w:rPr>
        <w:t xml:space="preserve">Pasal 251 UU No. 1/2023 tentang KUHP mengatur pidana bagi pemberian obat/tindakan yang menimbulkan gugurnya kandungan (maksimal 4 tahun penjara; pidana tambahan pencabutan hak bagi tenaga profesi). Pasal 463 mengatur pidana bagi perempuan yang melakukan aborsi (maksimal 4 tahun), Pasal 464 mengatur pidana bagi pihak yang melakukan aborsi tanpa persetujuan perempuan (maksimal 12 tahun, atau 15 tahun bila korban meninggal), dan Pasal 465 memuat ketentuan lanjutan.</w:t>
      </w:r>
    </w:p>
    <w:p>
      <w:pPr>
        <w:pStyle w:val="ListParagraph"/>
        <w:numPr>
          <w:ilvl w:val="0"/>
          <w:numId w:val="2"/>
        </w:numPr>
        <w:spacing w:after="60"/>
      </w:pPr>
      <w:r>
        <w:rPr>
          <w:color w:val="222222"/>
          <w:sz w:val="20"/>
          <w:szCs w:val="20"/>
        </w:rPr>
        <w:t xml:space="preserve">Pengecualian tidak dipidana berlaku bagi perempuan korban tindak pidana perkosaan atau kekerasan seksual lain yang menyebabkan kehamilan, dengan usia kehamilan tidak melebihi 14 (empat belas) minggu, ATAU bagi perempuan dengan indikasi kedaruratan medis — sejalan dengan Pasal 428 dan 429 Undang-Undang Nomor 17 Tahun 2023 tentang Kesehatan beserta peraturan pelaksanaannya (PP No. 28 Tahun 2024).</w:t>
      </w:r>
    </w:p>
    <w:p>
      <w:pPr>
        <w:pStyle w:val="ListParagraph"/>
        <w:numPr>
          <w:ilvl w:val="0"/>
          <w:numId w:val="2"/>
        </w:numPr>
        <w:spacing w:after="60"/>
      </w:pPr>
      <w:r>
        <w:rPr>
          <w:color w:val="222222"/>
          <w:sz w:val="20"/>
          <w:szCs w:val="20"/>
        </w:rPr>
        <w:t xml:space="preserve">Pada dugaan kehamilan akibat kekerasan seksual, tata laksana turut mengacu Undang-Undang Nomor 12 Tahun 2022 tentang Tindak Pidana Kekerasan Seksual (UU TPKS), termasuk hak korban atas layanan kesehatan, pendampingan psikososial, dan pelaporan sesuai persetujuan korban.</w:t>
      </w:r>
    </w:p>
    <w:p>
      <w:pPr>
        <w:pStyle w:val="ListParagraph"/>
        <w:numPr>
          <w:ilvl w:val="0"/>
          <w:numId w:val="2"/>
        </w:numPr>
        <w:spacing w:after="60"/>
      </w:pPr>
      <w:r>
        <w:rPr>
          <w:color w:val="222222"/>
          <w:sz w:val="20"/>
          <w:szCs w:val="20"/>
        </w:rPr>
        <w:t xml:space="preserve">Bila kekerasan terjadi dalam ranah rumah tangga, berlaku Undang-Undang Nomor 23 Tahun 2004 tentang Penghapusan Kekerasan Dalam Rumah Tangga (UU PKDRT) sebagai dasar koordinasi dengan unit Pelayanan Terpadu (PPT/PPA) dan aparat berwenang bila korban menghendaki.</w:t>
      </w:r>
    </w:p>
    <w:p>
      <w:pPr>
        <w:pStyle w:val="ListParagraph"/>
        <w:numPr>
          <w:ilvl w:val="0"/>
          <w:numId w:val="2"/>
        </w:numPr>
        <w:spacing w:after="60"/>
      </w:pPr>
      <w:r>
        <w:rPr>
          <w:color w:val="222222"/>
          <w:sz w:val="20"/>
          <w:szCs w:val="20"/>
        </w:rPr>
        <w:t xml:space="preserve">Identitas dan riwayat medis pasien dijaga kerahasiaannya (rekam medis tertutup), informed consent tertulis diperoleh sebelum tindakan evakuasi, dan pelaporan ke pihak berwajib hanya dilakukan atas persetujuan pasien kecuali diwajibkan undang-undang.</w:t>
      </w:r>
    </w:p>
    <w:p>
      <w:pPr>
        <w:pStyle w:val="ListParagraph"/>
        <w:numPr>
          <w:ilvl w:val="0"/>
          <w:numId w:val="2"/>
        </w:numPr>
        <w:spacing w:after="60"/>
      </w:pPr>
      <w:r>
        <w:rPr>
          <w:color w:val="222222"/>
          <w:sz w:val="20"/>
          <w:szCs w:val="20"/>
        </w:rPr>
        <w:t xml:space="preserve">Dokumentasi rekam medis mencantumkan kronologi klinis secara objektif dan nonjudgmental, tanpa opini yang dapat memberatkan atau meringankan status hukum pasien.</w:t>
      </w:r>
    </w:p>
    <w:p>
      <w:pPr>
        <w:pStyle w:val="ListParagraph"/>
        <w:numPr>
          <w:ilvl w:val="0"/>
          <w:numId w:val="2"/>
        </w:numPr>
        <w:spacing w:after="60"/>
      </w:pPr>
      <w:r>
        <w:rPr>
          <w:color w:val="222222"/>
          <w:sz w:val="20"/>
          <w:szCs w:val="20"/>
        </w:rPr>
        <w:t xml:space="preserve">Catatan kehati-hatian: ketentuan KUHP Nasional baru berjalan efektif kurang dari satu tahun (per Juli 2026) dan berpotensi mengalami penyesuaian lanjutan; Komite Medik/bagian hukum RS disarankan memverifikasi status pasal terkini sebelum menjadikannya dasar tindakan medikolegal definitif.</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9. EDUKASI</w:t>
      </w:r>
    </w:p>
    <w:p>
      <w:pPr>
        <w:pStyle w:val="ListParagraph"/>
        <w:numPr>
          <w:ilvl w:val="0"/>
          <w:numId w:val="2"/>
        </w:numPr>
        <w:spacing w:after="60"/>
      </w:pPr>
      <w:r>
        <w:rPr>
          <w:color w:val="222222"/>
          <w:sz w:val="20"/>
          <w:szCs w:val="20"/>
        </w:rPr>
        <w:t xml:space="preserve">Jelaskan kondisi klinis, rencana tindakan (evakuasi/antibiotik/rujukan), dan tanda bahaya yang harus segera dilaporkan (demam tinggi, perdarahan bertambah banyak, nyeri hebat).</w:t>
      </w:r>
    </w:p>
    <w:p>
      <w:pPr>
        <w:pStyle w:val="ListParagraph"/>
        <w:numPr>
          <w:ilvl w:val="0"/>
          <w:numId w:val="2"/>
        </w:numPr>
        <w:spacing w:after="60"/>
      </w:pPr>
      <w:r>
        <w:rPr>
          <w:color w:val="222222"/>
          <w:sz w:val="20"/>
          <w:szCs w:val="20"/>
        </w:rPr>
        <w:t xml:space="preserve">Konseling keluarga berencana pasca-abortus ditawarkan sebelum pasien pulang, termasuk pilihan metode kontrasepsi jangka pendek dan panjang.</w:t>
      </w:r>
    </w:p>
    <w:p>
      <w:pPr>
        <w:pStyle w:val="ListParagraph"/>
        <w:numPr>
          <w:ilvl w:val="0"/>
          <w:numId w:val="2"/>
        </w:numPr>
        <w:spacing w:after="60"/>
      </w:pPr>
      <w:r>
        <w:rPr>
          <w:color w:val="222222"/>
          <w:sz w:val="20"/>
          <w:szCs w:val="20"/>
        </w:rPr>
        <w:t xml:space="preserve">Edukasi pentingnya kontrol ulang untuk evaluasi USG dan tanda infeksi sisa.</w:t>
      </w:r>
    </w:p>
    <w:p>
      <w:pPr>
        <w:pStyle w:val="ListParagraph"/>
        <w:numPr>
          <w:ilvl w:val="0"/>
          <w:numId w:val="2"/>
        </w:numPr>
        <w:spacing w:after="60"/>
      </w:pPr>
      <w:r>
        <w:rPr>
          <w:color w:val="222222"/>
          <w:sz w:val="20"/>
          <w:szCs w:val="20"/>
        </w:rPr>
        <w:t xml:space="preserve">Bila terkait kekerasan seksual/KTD, informasikan hak atas pendampingan psikososial dan layanan rujukan sesuai UU TPKS, tanpa memaksa pasien mengambil keputusan tertentu.</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10. PROGNOSIS</w:t>
      </w:r>
    </w:p>
    <w:p>
      <w:pPr>
        <w:spacing w:after="90"/>
      </w:pPr>
      <w:r>
        <w:rPr>
          <w:color w:val="222222"/>
          <w:sz w:val="20"/>
          <w:szCs w:val="20"/>
        </w:rPr>
        <w:t xml:space="preserve">Prognosis umumnya baik apabila diagnosis ditegakkan dan tata laksana (kontrol perdarahan, antibiotik, evakuasi sisa jaringan) dilakukan segera dalam beberapa jam pertama. Keterlambatan tata laksana, khususnya pada sepsis berat/syok septik atau perforasi uterus yang tidak terdeteksi, meningkatkan risiko morbiditas berat (histerektomi, gagal ginjal akut, KID) dan mortalitas maternal.</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11. TINGKAT EVIDENS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0"/>
        <w:gridCol w:w="8038"/>
      </w:tblGrid>
      <w:tr>
        <w:tc>
          <w:tcPr>
            <w:tcW w:type="dxa" w:w="1600"/>
            <w:shd w:fill="7A1F3D" w:color="auto" w:val="clear"/>
            <w:tcMar>
              <w:top w:type="dxa" w:w="80"/>
              <w:left w:type="dxa" w:w="100"/>
              <w:bottom w:type="dxa" w:w="80"/>
              <w:right w:type="dxa" w:w="100"/>
            </w:tcMar>
            <w:vAlign w:val="center"/>
          </w:tcPr>
          <w:p>
            <w:r>
              <w:rPr>
                <w:b/>
                <w:bCs/>
                <w:color w:val="FFFFFF"/>
                <w:sz w:val="18"/>
                <w:szCs w:val="18"/>
              </w:rPr>
              <w:t xml:space="preserve">Tingkat</w:t>
            </w:r>
          </w:p>
        </w:tc>
        <w:tc>
          <w:tcPr>
            <w:tcW w:type="dxa" w:w="8038"/>
            <w:shd w:fill="7A1F3D" w:color="auto" w:val="clear"/>
            <w:tcMar>
              <w:top w:type="dxa" w:w="80"/>
              <w:left w:type="dxa" w:w="100"/>
              <w:bottom w:type="dxa" w:w="80"/>
              <w:right w:type="dxa" w:w="100"/>
            </w:tcMar>
            <w:vAlign w:val="center"/>
          </w:tcPr>
          <w:p>
            <w:r>
              <w:rPr>
                <w:b/>
                <w:bCs/>
                <w:color w:val="FFFFFF"/>
                <w:sz w:val="18"/>
                <w:szCs w:val="18"/>
              </w:rPr>
              <w:t xml:space="preserve">Deskripsi</w:t>
            </w:r>
          </w:p>
        </w:tc>
      </w:tr>
      <w:tr>
        <w:tc>
          <w:tcPr>
            <w:tcW w:type="dxa" w:w="1600"/>
            <w:tcMar>
              <w:top w:type="dxa" w:w="80"/>
              <w:left w:type="dxa" w:w="100"/>
              <w:bottom w:type="dxa" w:w="80"/>
              <w:right w:type="dxa" w:w="100"/>
            </w:tcMar>
            <w:vAlign w:val="center"/>
          </w:tcPr>
          <w:p>
            <w:pPr>
              <w:jc w:val="center"/>
            </w:pPr>
            <w:r>
              <w:rPr>
                <w:b/>
                <w:bCs/>
                <w:color w:val="222222"/>
                <w:sz w:val="18"/>
                <w:szCs w:val="18"/>
              </w:rPr>
              <w:t xml:space="preserve">I</w:t>
            </w:r>
          </w:p>
        </w:tc>
        <w:tc>
          <w:tcPr>
            <w:tcW w:type="dxa" w:w="8038"/>
            <w:tcMar>
              <w:top w:type="dxa" w:w="80"/>
              <w:left w:type="dxa" w:w="100"/>
              <w:bottom w:type="dxa" w:w="80"/>
              <w:right w:type="dxa" w:w="100"/>
            </w:tcMar>
            <w:vAlign w:val="center"/>
          </w:tcPr>
          <w:p>
            <w:r>
              <w:rPr>
                <w:b w:val="false"/>
                <w:bCs w:val="false"/>
                <w:color w:val="222222"/>
                <w:sz w:val="18"/>
                <w:szCs w:val="18"/>
              </w:rPr>
              <w:t xml:space="preserve">Meta-analisis/uji klinis acak terkontrol berkualitas tinggi — dasar GRADE pada WHO Abortion Care Guideline edisi ke-2 (2024) dan konsensus internasional Sepsis-3 (Singer et al., JAMA 2016).</w:t>
            </w:r>
          </w:p>
        </w:tc>
      </w:tr>
      <w:tr>
        <w:tc>
          <w:tcPr>
            <w:tcW w:type="dxa" w:w="1600"/>
            <w:shd w:fill="FBF5F7" w:color="auto" w:val="clear"/>
            <w:tcMar>
              <w:top w:type="dxa" w:w="80"/>
              <w:left w:type="dxa" w:w="100"/>
              <w:bottom w:type="dxa" w:w="80"/>
              <w:right w:type="dxa" w:w="100"/>
            </w:tcMar>
            <w:vAlign w:val="center"/>
          </w:tcPr>
          <w:p>
            <w:pPr>
              <w:jc w:val="center"/>
            </w:pPr>
            <w:r>
              <w:rPr>
                <w:b/>
                <w:bCs/>
                <w:color w:val="222222"/>
                <w:sz w:val="18"/>
                <w:szCs w:val="18"/>
              </w:rPr>
              <w:t xml:space="preserve">II</w:t>
            </w:r>
          </w:p>
        </w:tc>
        <w:tc>
          <w:tcPr>
            <w:tcW w:type="dxa" w:w="8038"/>
            <w:shd w:fill="FBF5F7" w:color="auto" w:val="clear"/>
            <w:tcMar>
              <w:top w:type="dxa" w:w="80"/>
              <w:left w:type="dxa" w:w="100"/>
              <w:bottom w:type="dxa" w:w="80"/>
              <w:right w:type="dxa" w:w="100"/>
            </w:tcMar>
            <w:vAlign w:val="center"/>
          </w:tcPr>
          <w:p>
            <w:r>
              <w:rPr>
                <w:b w:val="false"/>
                <w:bCs w:val="false"/>
                <w:color w:val="222222"/>
                <w:sz w:val="18"/>
                <w:szCs w:val="18"/>
              </w:rPr>
              <w:t xml:space="preserve">Uji klinis terkontrol tanpa randomisasi atau studi kohort besar — mis. dasar ACOG Practice Bulletin No. 200 (2018) tentang Early Pregnancy Loss.</w:t>
            </w:r>
          </w:p>
        </w:tc>
      </w:tr>
      <w:tr>
        <w:tc>
          <w:tcPr>
            <w:tcW w:type="dxa" w:w="1600"/>
            <w:tcMar>
              <w:top w:type="dxa" w:w="80"/>
              <w:left w:type="dxa" w:w="100"/>
              <w:bottom w:type="dxa" w:w="80"/>
              <w:right w:type="dxa" w:w="100"/>
            </w:tcMar>
            <w:vAlign w:val="center"/>
          </w:tcPr>
          <w:p>
            <w:pPr>
              <w:jc w:val="center"/>
            </w:pPr>
            <w:r>
              <w:rPr>
                <w:b/>
                <w:bCs/>
                <w:color w:val="222222"/>
                <w:sz w:val="18"/>
                <w:szCs w:val="18"/>
              </w:rPr>
              <w:t xml:space="preserve">III</w:t>
            </w:r>
          </w:p>
        </w:tc>
        <w:tc>
          <w:tcPr>
            <w:tcW w:type="dxa" w:w="8038"/>
            <w:tcMar>
              <w:top w:type="dxa" w:w="80"/>
              <w:left w:type="dxa" w:w="100"/>
              <w:bottom w:type="dxa" w:w="80"/>
              <w:right w:type="dxa" w:w="100"/>
            </w:tcMar>
            <w:vAlign w:val="center"/>
          </w:tcPr>
          <w:p>
            <w:r>
              <w:rPr>
                <w:b w:val="false"/>
                <w:bCs w:val="false"/>
                <w:color w:val="222222"/>
                <w:sz w:val="18"/>
                <w:szCs w:val="18"/>
              </w:rPr>
              <w:t xml:space="preserve">Studi observasional deskriptif/kasus-kontrol — mis. studi WHO Maternal Near-Miss (Say et al., 2009).</w:t>
            </w:r>
          </w:p>
        </w:tc>
      </w:tr>
      <w:tr>
        <w:tc>
          <w:tcPr>
            <w:tcW w:type="dxa" w:w="1600"/>
            <w:shd w:fill="FBF5F7" w:color="auto" w:val="clear"/>
            <w:tcMar>
              <w:top w:type="dxa" w:w="80"/>
              <w:left w:type="dxa" w:w="100"/>
              <w:bottom w:type="dxa" w:w="80"/>
              <w:right w:type="dxa" w:w="100"/>
            </w:tcMar>
            <w:vAlign w:val="center"/>
          </w:tcPr>
          <w:p>
            <w:pPr>
              <w:jc w:val="center"/>
            </w:pPr>
            <w:r>
              <w:rPr>
                <w:b/>
                <w:bCs/>
                <w:color w:val="222222"/>
                <w:sz w:val="18"/>
                <w:szCs w:val="18"/>
              </w:rPr>
              <w:t xml:space="preserve">IV</w:t>
            </w:r>
          </w:p>
        </w:tc>
        <w:tc>
          <w:tcPr>
            <w:tcW w:type="dxa" w:w="8038"/>
            <w:shd w:fill="FBF5F7" w:color="auto" w:val="clear"/>
            <w:tcMar>
              <w:top w:type="dxa" w:w="80"/>
              <w:left w:type="dxa" w:w="100"/>
              <w:bottom w:type="dxa" w:w="80"/>
              <w:right w:type="dxa" w:w="100"/>
            </w:tcMar>
            <w:vAlign w:val="center"/>
          </w:tcPr>
          <w:p>
            <w:r>
              <w:rPr>
                <w:b w:val="false"/>
                <w:bCs w:val="false"/>
                <w:color w:val="222222"/>
                <w:sz w:val="18"/>
                <w:szCs w:val="18"/>
              </w:rPr>
              <w:t xml:space="preserve">Konsensus ahli/opini pakar disesuaikan kondisi sumber daya RS di Indonesia (mis. penyesuaian terhadap sistem rujukan berjenjang JKN/PONED-PONEK).</w:t>
            </w:r>
          </w:p>
        </w:tc>
      </w:tr>
    </w:tbl>
    <w:p>
      <w:pPr>
        <w:pBdr>
          <w:bottom w:val="single" w:color="7A1F3D" w:sz="2"/>
        </w:pBdr>
        <w:shd w:fill="7A1F3D" w:color="auto" w:val="clear"/>
        <w:spacing w:after="120" w:before="240"/>
      </w:pPr>
      <w:r>
        <w:rPr>
          <w:rFonts w:ascii="Calibri" w:cs="Calibri" w:eastAsia="Calibri" w:hAnsi="Calibri"/>
          <w:b/>
          <w:bCs/>
          <w:color w:val="FFFFFF"/>
          <w:sz w:val="24"/>
          <w:szCs w:val="24"/>
        </w:rPr>
        <w:t xml:space="preserve">12. TINGKAT REKOMENDASI</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600"/>
        <w:gridCol w:w="8038"/>
      </w:tblGrid>
      <w:tr>
        <w:tc>
          <w:tcPr>
            <w:tcW w:type="dxa" w:w="1600"/>
            <w:shd w:fill="7A1F3D" w:color="auto" w:val="clear"/>
            <w:tcMar>
              <w:top w:type="dxa" w:w="80"/>
              <w:left w:type="dxa" w:w="100"/>
              <w:bottom w:type="dxa" w:w="80"/>
              <w:right w:type="dxa" w:w="100"/>
            </w:tcMar>
            <w:vAlign w:val="center"/>
          </w:tcPr>
          <w:p>
            <w:r>
              <w:rPr>
                <w:b/>
                <w:bCs/>
                <w:color w:val="FFFFFF"/>
                <w:sz w:val="18"/>
                <w:szCs w:val="18"/>
              </w:rPr>
              <w:t xml:space="preserve">Kelas</w:t>
            </w:r>
          </w:p>
        </w:tc>
        <w:tc>
          <w:tcPr>
            <w:tcW w:type="dxa" w:w="8038"/>
            <w:shd w:fill="7A1F3D" w:color="auto" w:val="clear"/>
            <w:tcMar>
              <w:top w:type="dxa" w:w="80"/>
              <w:left w:type="dxa" w:w="100"/>
              <w:bottom w:type="dxa" w:w="80"/>
              <w:right w:type="dxa" w:w="100"/>
            </w:tcMar>
            <w:vAlign w:val="center"/>
          </w:tcPr>
          <w:p>
            <w:r>
              <w:rPr>
                <w:b/>
                <w:bCs/>
                <w:color w:val="FFFFFF"/>
                <w:sz w:val="18"/>
                <w:szCs w:val="18"/>
              </w:rPr>
              <w:t xml:space="preserve">Deskripsi</w:t>
            </w:r>
          </w:p>
        </w:tc>
      </w:tr>
      <w:tr>
        <w:tc>
          <w:tcPr>
            <w:tcW w:type="dxa" w:w="1600"/>
            <w:tcMar>
              <w:top w:type="dxa" w:w="80"/>
              <w:left w:type="dxa" w:w="100"/>
              <w:bottom w:type="dxa" w:w="80"/>
              <w:right w:type="dxa" w:w="100"/>
            </w:tcMar>
            <w:vAlign w:val="center"/>
          </w:tcPr>
          <w:p>
            <w:pPr>
              <w:jc w:val="center"/>
            </w:pPr>
            <w:r>
              <w:rPr>
                <w:b/>
                <w:bCs/>
                <w:color w:val="222222"/>
                <w:sz w:val="18"/>
                <w:szCs w:val="18"/>
              </w:rPr>
              <w:t xml:space="preserve">A</w:t>
            </w:r>
          </w:p>
        </w:tc>
        <w:tc>
          <w:tcPr>
            <w:tcW w:type="dxa" w:w="8038"/>
            <w:tcMar>
              <w:top w:type="dxa" w:w="80"/>
              <w:left w:type="dxa" w:w="100"/>
              <w:bottom w:type="dxa" w:w="80"/>
              <w:right w:type="dxa" w:w="100"/>
            </w:tcMar>
            <w:vAlign w:val="center"/>
          </w:tcPr>
          <w:p>
            <w:r>
              <w:rPr>
                <w:b w:val="false"/>
                <w:bCs w:val="false"/>
                <w:color w:val="222222"/>
                <w:sz w:val="18"/>
                <w:szCs w:val="18"/>
              </w:rPr>
              <w:t xml:space="preserve">Sangat direkomendasikan — bukti kuat dan konsisten (contoh: antibiotik segera pada sepsis, resusitasi cairan pada syok).</w:t>
            </w:r>
          </w:p>
        </w:tc>
      </w:tr>
      <w:tr>
        <w:tc>
          <w:tcPr>
            <w:tcW w:type="dxa" w:w="1600"/>
            <w:shd w:fill="FBF5F7" w:color="auto" w:val="clear"/>
            <w:tcMar>
              <w:top w:type="dxa" w:w="80"/>
              <w:left w:type="dxa" w:w="100"/>
              <w:bottom w:type="dxa" w:w="80"/>
              <w:right w:type="dxa" w:w="100"/>
            </w:tcMar>
            <w:vAlign w:val="center"/>
          </w:tcPr>
          <w:p>
            <w:pPr>
              <w:jc w:val="center"/>
            </w:pPr>
            <w:r>
              <w:rPr>
                <w:b/>
                <w:bCs/>
                <w:color w:val="222222"/>
                <w:sz w:val="18"/>
                <w:szCs w:val="18"/>
              </w:rPr>
              <w:t xml:space="preserve">B</w:t>
            </w:r>
          </w:p>
        </w:tc>
        <w:tc>
          <w:tcPr>
            <w:tcW w:type="dxa" w:w="8038"/>
            <w:shd w:fill="FBF5F7" w:color="auto" w:val="clear"/>
            <w:tcMar>
              <w:top w:type="dxa" w:w="80"/>
              <w:left w:type="dxa" w:w="100"/>
              <w:bottom w:type="dxa" w:w="80"/>
              <w:right w:type="dxa" w:w="100"/>
            </w:tcMar>
            <w:vAlign w:val="center"/>
          </w:tcPr>
          <w:p>
            <w:r>
              <w:rPr>
                <w:b w:val="false"/>
                <w:bCs w:val="false"/>
                <w:color w:val="222222"/>
                <w:sz w:val="18"/>
                <w:szCs w:val="18"/>
              </w:rPr>
              <w:t xml:space="preserve">Direkomendasikan — bukti cukup dengan sedikit variasi hasil (contoh: MVA sebagai metode evakuasi pilihan pada trimester 1).</w:t>
            </w:r>
          </w:p>
        </w:tc>
      </w:tr>
      <w:tr>
        <w:tc>
          <w:tcPr>
            <w:tcW w:type="dxa" w:w="1600"/>
            <w:tcMar>
              <w:top w:type="dxa" w:w="80"/>
              <w:left w:type="dxa" w:w="100"/>
              <w:bottom w:type="dxa" w:w="80"/>
              <w:right w:type="dxa" w:w="100"/>
            </w:tcMar>
            <w:vAlign w:val="center"/>
          </w:tcPr>
          <w:p>
            <w:pPr>
              <w:jc w:val="center"/>
            </w:pPr>
            <w:r>
              <w:rPr>
                <w:b/>
                <w:bCs/>
                <w:color w:val="222222"/>
                <w:sz w:val="18"/>
                <w:szCs w:val="18"/>
              </w:rPr>
              <w:t xml:space="preserve">C</w:t>
            </w:r>
          </w:p>
        </w:tc>
        <w:tc>
          <w:tcPr>
            <w:tcW w:type="dxa" w:w="8038"/>
            <w:tcMar>
              <w:top w:type="dxa" w:w="80"/>
              <w:left w:type="dxa" w:w="100"/>
              <w:bottom w:type="dxa" w:w="80"/>
              <w:right w:type="dxa" w:w="100"/>
            </w:tcMar>
            <w:vAlign w:val="center"/>
          </w:tcPr>
          <w:p>
            <w:r>
              <w:rPr>
                <w:b w:val="false"/>
                <w:bCs w:val="false"/>
                <w:color w:val="222222"/>
                <w:sz w:val="18"/>
                <w:szCs w:val="18"/>
              </w:rPr>
              <w:t xml:space="preserve">Dapat dipertimbangkan sesuai konteks klinis dan ketersediaan sumber daya RS.</w:t>
            </w:r>
          </w:p>
        </w:tc>
      </w:tr>
    </w:tbl>
    <w:p>
      <w:pPr>
        <w:pBdr>
          <w:bottom w:val="single" w:color="7A1F3D" w:sz="2"/>
        </w:pBdr>
        <w:shd w:fill="7A1F3D" w:color="auto" w:val="clear"/>
        <w:spacing w:after="120" w:before="240"/>
      </w:pPr>
      <w:r>
        <w:rPr>
          <w:rFonts w:ascii="Calibri" w:cs="Calibri" w:eastAsia="Calibri" w:hAnsi="Calibri"/>
          <w:b/>
          <w:bCs/>
          <w:color w:val="FFFFFF"/>
          <w:sz w:val="24"/>
          <w:szCs w:val="24"/>
        </w:rPr>
        <w:t xml:space="preserve">13. PENELAAH KRITIS</w:t>
      </w:r>
    </w:p>
    <w:p>
      <w:pPr>
        <w:pStyle w:val="ListParagraph"/>
        <w:numPr>
          <w:ilvl w:val="0"/>
          <w:numId w:val="2"/>
        </w:numPr>
        <w:spacing w:after="60"/>
      </w:pPr>
      <w:r>
        <w:rPr>
          <w:color w:val="222222"/>
          <w:sz w:val="20"/>
          <w:szCs w:val="20"/>
        </w:rPr>
        <w:t xml:space="preserve">Komite Medik dan Sub-Komite Mutu Profesi [Nama Rumah Sakit].</w:t>
      </w:r>
    </w:p>
    <w:p>
      <w:pPr>
        <w:pStyle w:val="ListParagraph"/>
        <w:numPr>
          <w:ilvl w:val="0"/>
          <w:numId w:val="2"/>
        </w:numPr>
        <w:spacing w:after="60"/>
      </w:pPr>
      <w:r>
        <w:rPr>
          <w:color w:val="222222"/>
          <w:sz w:val="20"/>
          <w:szCs w:val="20"/>
        </w:rPr>
        <w:t xml:space="preserve">KSM Obstetri dan Ginekologi, Divisi/Subspesialis Obstetri Ginekologi Sosial.</w:t>
      </w:r>
    </w:p>
    <w:p>
      <w:pPr>
        <w:pStyle w:val="ListParagraph"/>
        <w:numPr>
          <w:ilvl w:val="0"/>
          <w:numId w:val="2"/>
        </w:numPr>
        <w:spacing w:after="60"/>
      </w:pPr>
      <w:r>
        <w:rPr>
          <w:color w:val="222222"/>
          <w:sz w:val="20"/>
          <w:szCs w:val="20"/>
        </w:rPr>
        <w:t xml:space="preserve">Tim Pencegahan dan Pengendalian Infeksi (PPI) untuk aspek tata laksana sepsis.</w:t>
      </w:r>
    </w:p>
    <w:p>
      <w:pPr>
        <w:pStyle w:val="ListParagraph"/>
        <w:numPr>
          <w:ilvl w:val="0"/>
          <w:numId w:val="2"/>
        </w:numPr>
        <w:spacing w:after="60"/>
      </w:pPr>
      <w:r>
        <w:rPr>
          <w:color w:val="222222"/>
          <w:sz w:val="20"/>
          <w:szCs w:val="20"/>
        </w:rPr>
        <w:t xml:space="preserve">Unit Pelayanan Terpadu/PPA untuk kasus dengan dugaan kekerasan seksual.</w:t>
      </w:r>
    </w:p>
    <w:p>
      <w:pPr>
        <w:pStyle w:val="ListParagraph"/>
        <w:numPr>
          <w:ilvl w:val="0"/>
          <w:numId w:val="2"/>
        </w:numPr>
        <w:spacing w:after="60"/>
      </w:pPr>
      <w:r>
        <w:rPr>
          <w:color w:val="222222"/>
          <w:sz w:val="20"/>
          <w:szCs w:val="20"/>
        </w:rPr>
        <w:t xml:space="preserve">Bagian Hukum dan Komite Etik Rumah Sakit — verifikasi berkala status pasal KUHP Nasional dan UU Kesehatan mengingat regulasi ini baru efektif berjalan sejak 2 Januari 2026.</w:t>
      </w:r>
    </w:p>
    <w:p>
      <w:pPr>
        <w:pBdr>
          <w:bottom w:val="single" w:color="7A1F3D" w:sz="2"/>
        </w:pBdr>
        <w:shd w:fill="7A1F3D" w:color="auto" w:val="clear"/>
        <w:spacing w:after="120" w:before="240"/>
      </w:pPr>
      <w:r>
        <w:rPr>
          <w:rFonts w:ascii="Calibri" w:cs="Calibri" w:eastAsia="Calibri" w:hAnsi="Calibri"/>
          <w:b/>
          <w:bCs/>
          <w:color w:val="FFFFFF"/>
          <w:sz w:val="24"/>
          <w:szCs w:val="24"/>
        </w:rPr>
        <w:t xml:space="preserve">14. INDIKATOR MEDIS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2000"/>
        <w:gridCol w:w="2819"/>
      </w:tblGrid>
      <w:tr>
        <w:tc>
          <w:tcPr>
            <w:tcW w:type="dxa" w:w="4819"/>
            <w:shd w:fill="7A1F3D" w:color="auto" w:val="clear"/>
            <w:tcMar>
              <w:top w:type="dxa" w:w="80"/>
              <w:left w:type="dxa" w:w="100"/>
              <w:bottom w:type="dxa" w:w="80"/>
              <w:right w:type="dxa" w:w="100"/>
            </w:tcMar>
            <w:vAlign w:val="center"/>
          </w:tcPr>
          <w:p>
            <w:r>
              <w:rPr>
                <w:b/>
                <w:bCs/>
                <w:color w:val="FFFFFF"/>
                <w:sz w:val="18"/>
                <w:szCs w:val="18"/>
              </w:rPr>
              <w:t xml:space="preserve">Indikator</w:t>
            </w:r>
          </w:p>
        </w:tc>
        <w:tc>
          <w:tcPr>
            <w:tcW w:type="dxa" w:w="2000"/>
            <w:shd w:fill="7A1F3D" w:color="auto" w:val="clear"/>
            <w:tcMar>
              <w:top w:type="dxa" w:w="80"/>
              <w:left w:type="dxa" w:w="100"/>
              <w:bottom w:type="dxa" w:w="80"/>
              <w:right w:type="dxa" w:w="100"/>
            </w:tcMar>
            <w:vAlign w:val="center"/>
          </w:tcPr>
          <w:p>
            <w:r>
              <w:rPr>
                <w:b/>
                <w:bCs/>
                <w:color w:val="FFFFFF"/>
                <w:sz w:val="18"/>
                <w:szCs w:val="18"/>
              </w:rPr>
              <w:t xml:space="preserve">Target</w:t>
            </w:r>
          </w:p>
        </w:tc>
        <w:tc>
          <w:tcPr>
            <w:tcW w:type="dxa" w:w="2819"/>
            <w:shd w:fill="7A1F3D" w:color="auto" w:val="clear"/>
            <w:tcMar>
              <w:top w:type="dxa" w:w="80"/>
              <w:left w:type="dxa" w:w="100"/>
              <w:bottom w:type="dxa" w:w="80"/>
              <w:right w:type="dxa" w:w="100"/>
            </w:tcMar>
            <w:vAlign w:val="center"/>
          </w:tcPr>
          <w:p>
            <w:r>
              <w:rPr>
                <w:b/>
                <w:bCs/>
                <w:color w:val="FFFFFF"/>
                <w:sz w:val="18"/>
                <w:szCs w:val="18"/>
              </w:rPr>
              <w:t xml:space="preserve">Frekuensi Audit</w:t>
            </w:r>
          </w:p>
        </w:tc>
      </w:tr>
      <w:tr>
        <w:tc>
          <w:tcPr>
            <w:tcW w:type="dxa" w:w="4819"/>
            <w:tcMar>
              <w:top w:type="dxa" w:w="80"/>
              <w:left w:type="dxa" w:w="100"/>
              <w:bottom w:type="dxa" w:w="80"/>
              <w:right w:type="dxa" w:w="100"/>
            </w:tcMar>
            <w:vAlign w:val="center"/>
          </w:tcPr>
          <w:p>
            <w:r>
              <w:rPr>
                <w:b w:val="false"/>
                <w:bCs w:val="false"/>
                <w:color w:val="222222"/>
                <w:sz w:val="18"/>
                <w:szCs w:val="18"/>
              </w:rPr>
              <w:t xml:space="preserve">Waktu respons stabilisasi awal (triase hingga akses IV &amp; cairan)</w:t>
            </w:r>
          </w:p>
        </w:tc>
        <w:tc>
          <w:tcPr>
            <w:tcW w:type="dxa" w:w="2000"/>
            <w:tcMar>
              <w:top w:type="dxa" w:w="80"/>
              <w:left w:type="dxa" w:w="100"/>
              <w:bottom w:type="dxa" w:w="80"/>
              <w:right w:type="dxa" w:w="100"/>
            </w:tcMar>
            <w:vAlign w:val="center"/>
          </w:tcPr>
          <w:p>
            <w:pPr>
              <w:jc w:val="center"/>
            </w:pPr>
            <w:r>
              <w:rPr>
                <w:b w:val="false"/>
                <w:bCs w:val="false"/>
                <w:color w:val="222222"/>
                <w:sz w:val="18"/>
                <w:szCs w:val="18"/>
              </w:rPr>
              <w:t xml:space="preserve">≤ 30 menit</w:t>
            </w:r>
          </w:p>
        </w:tc>
        <w:tc>
          <w:tcPr>
            <w:tcW w:type="dxa" w:w="2819"/>
            <w:tcMar>
              <w:top w:type="dxa" w:w="80"/>
              <w:left w:type="dxa" w:w="100"/>
              <w:bottom w:type="dxa" w:w="80"/>
              <w:right w:type="dxa" w:w="100"/>
            </w:tcMar>
            <w:vAlign w:val="center"/>
          </w:tcPr>
          <w:p>
            <w:pPr>
              <w:jc w:val="center"/>
            </w:pPr>
            <w:r>
              <w:rPr>
                <w:b w:val="false"/>
                <w:bCs w:val="false"/>
                <w:color w:val="222222"/>
                <w:sz w:val="18"/>
                <w:szCs w:val="18"/>
              </w:rPr>
              <w:t xml:space="preserve">Bulanan</w:t>
            </w:r>
          </w:p>
        </w:tc>
      </w:tr>
      <w:tr>
        <w:tc>
          <w:tcPr>
            <w:tcW w:type="dxa" w:w="4819"/>
            <w:shd w:fill="FBF5F7" w:color="auto" w:val="clear"/>
            <w:tcMar>
              <w:top w:type="dxa" w:w="80"/>
              <w:left w:type="dxa" w:w="100"/>
              <w:bottom w:type="dxa" w:w="80"/>
              <w:right w:type="dxa" w:w="100"/>
            </w:tcMar>
            <w:vAlign w:val="center"/>
          </w:tcPr>
          <w:p>
            <w:r>
              <w:rPr>
                <w:b w:val="false"/>
                <w:bCs w:val="false"/>
                <w:color w:val="222222"/>
                <w:sz w:val="18"/>
                <w:szCs w:val="18"/>
              </w:rPr>
              <w:t xml:space="preserve">Waktu pemberian antibiotik pada sepsis pasca-abortus</w:t>
            </w:r>
          </w:p>
        </w:tc>
        <w:tc>
          <w:tcPr>
            <w:tcW w:type="dxa" w:w="2000"/>
            <w:shd w:fill="FBF5F7" w:color="auto" w:val="clear"/>
            <w:tcMar>
              <w:top w:type="dxa" w:w="80"/>
              <w:left w:type="dxa" w:w="100"/>
              <w:bottom w:type="dxa" w:w="80"/>
              <w:right w:type="dxa" w:w="100"/>
            </w:tcMar>
            <w:vAlign w:val="center"/>
          </w:tcPr>
          <w:p>
            <w:pPr>
              <w:jc w:val="center"/>
            </w:pPr>
            <w:r>
              <w:rPr>
                <w:b w:val="false"/>
                <w:bCs w:val="false"/>
                <w:color w:val="222222"/>
                <w:sz w:val="18"/>
                <w:szCs w:val="18"/>
              </w:rPr>
              <w:t xml:space="preserve">≤ 1 jam</w:t>
            </w:r>
          </w:p>
        </w:tc>
        <w:tc>
          <w:tcPr>
            <w:tcW w:type="dxa" w:w="2819"/>
            <w:shd w:fill="FBF5F7" w:color="auto" w:val="clear"/>
            <w:tcMar>
              <w:top w:type="dxa" w:w="80"/>
              <w:left w:type="dxa" w:w="100"/>
              <w:bottom w:type="dxa" w:w="80"/>
              <w:right w:type="dxa" w:w="100"/>
            </w:tcMar>
            <w:vAlign w:val="center"/>
          </w:tcPr>
          <w:p>
            <w:pPr>
              <w:jc w:val="center"/>
            </w:pPr>
            <w:r>
              <w:rPr>
                <w:b w:val="false"/>
                <w:bCs w:val="false"/>
                <w:color w:val="222222"/>
                <w:sz w:val="18"/>
                <w:szCs w:val="18"/>
              </w:rPr>
              <w:t xml:space="preserve">Bulanan</w:t>
            </w:r>
          </w:p>
        </w:tc>
      </w:tr>
      <w:tr>
        <w:tc>
          <w:tcPr>
            <w:tcW w:type="dxa" w:w="4819"/>
            <w:tcMar>
              <w:top w:type="dxa" w:w="80"/>
              <w:left w:type="dxa" w:w="100"/>
              <w:bottom w:type="dxa" w:w="80"/>
              <w:right w:type="dxa" w:w="100"/>
            </w:tcMar>
            <w:vAlign w:val="center"/>
          </w:tcPr>
          <w:p>
            <w:r>
              <w:rPr>
                <w:b w:val="false"/>
                <w:bCs w:val="false"/>
                <w:color w:val="222222"/>
                <w:sz w:val="18"/>
                <w:szCs w:val="18"/>
              </w:rPr>
              <w:t xml:space="preserve">Angka evakuasi sisa jaringan tanpa komplikasi (perforasi/perdarahan berulang)</w:t>
            </w:r>
          </w:p>
        </w:tc>
        <w:tc>
          <w:tcPr>
            <w:tcW w:type="dxa" w:w="2000"/>
            <w:tcMar>
              <w:top w:type="dxa" w:w="80"/>
              <w:left w:type="dxa" w:w="100"/>
              <w:bottom w:type="dxa" w:w="80"/>
              <w:right w:type="dxa" w:w="100"/>
            </w:tcMar>
            <w:vAlign w:val="center"/>
          </w:tcPr>
          <w:p>
            <w:pPr>
              <w:jc w:val="center"/>
            </w:pPr>
            <w:r>
              <w:rPr>
                <w:b w:val="false"/>
                <w:bCs w:val="false"/>
                <w:color w:val="222222"/>
                <w:sz w:val="18"/>
                <w:szCs w:val="18"/>
              </w:rPr>
              <w:t xml:space="preserve">≥ 95%</w:t>
            </w:r>
          </w:p>
        </w:tc>
        <w:tc>
          <w:tcPr>
            <w:tcW w:type="dxa" w:w="2819"/>
            <w:tcMar>
              <w:top w:type="dxa" w:w="80"/>
              <w:left w:type="dxa" w:w="100"/>
              <w:bottom w:type="dxa" w:w="80"/>
              <w:right w:type="dxa" w:w="100"/>
            </w:tcMar>
            <w:vAlign w:val="center"/>
          </w:tcPr>
          <w:p>
            <w:pPr>
              <w:jc w:val="center"/>
            </w:pPr>
            <w:r>
              <w:rPr>
                <w:b w:val="false"/>
                <w:bCs w:val="false"/>
                <w:color w:val="222222"/>
                <w:sz w:val="18"/>
                <w:szCs w:val="18"/>
              </w:rPr>
              <w:t xml:space="preserve">Triwulan</w:t>
            </w:r>
          </w:p>
        </w:tc>
      </w:tr>
      <w:tr>
        <w:tc>
          <w:tcPr>
            <w:tcW w:type="dxa" w:w="4819"/>
            <w:shd w:fill="FBF5F7" w:color="auto" w:val="clear"/>
            <w:tcMar>
              <w:top w:type="dxa" w:w="80"/>
              <w:left w:type="dxa" w:w="100"/>
              <w:bottom w:type="dxa" w:w="80"/>
              <w:right w:type="dxa" w:w="100"/>
            </w:tcMar>
            <w:vAlign w:val="center"/>
          </w:tcPr>
          <w:p>
            <w:r>
              <w:rPr>
                <w:b w:val="false"/>
                <w:bCs w:val="false"/>
                <w:color w:val="222222"/>
                <w:sz w:val="18"/>
                <w:szCs w:val="18"/>
              </w:rPr>
              <w:t xml:space="preserve">Kematian maternal terkait komplikasi pasca-abortus</w:t>
            </w:r>
          </w:p>
        </w:tc>
        <w:tc>
          <w:tcPr>
            <w:tcW w:type="dxa" w:w="2000"/>
            <w:shd w:fill="FBF5F7" w:color="auto" w:val="clear"/>
            <w:tcMar>
              <w:top w:type="dxa" w:w="80"/>
              <w:left w:type="dxa" w:w="100"/>
              <w:bottom w:type="dxa" w:w="80"/>
              <w:right w:type="dxa" w:w="100"/>
            </w:tcMar>
            <w:vAlign w:val="center"/>
          </w:tcPr>
          <w:p>
            <w:pPr>
              <w:jc w:val="center"/>
            </w:pPr>
            <w:r>
              <w:rPr>
                <w:b w:val="false"/>
                <w:bCs w:val="false"/>
                <w:color w:val="222222"/>
                <w:sz w:val="18"/>
                <w:szCs w:val="18"/>
              </w:rPr>
              <w:t xml:space="preserve">0 kasus</w:t>
            </w:r>
          </w:p>
        </w:tc>
        <w:tc>
          <w:tcPr>
            <w:tcW w:type="dxa" w:w="2819"/>
            <w:shd w:fill="FBF5F7" w:color="auto" w:val="clear"/>
            <w:tcMar>
              <w:top w:type="dxa" w:w="80"/>
              <w:left w:type="dxa" w:w="100"/>
              <w:bottom w:type="dxa" w:w="80"/>
              <w:right w:type="dxa" w:w="100"/>
            </w:tcMar>
            <w:vAlign w:val="center"/>
          </w:tcPr>
          <w:p>
            <w:pPr>
              <w:jc w:val="center"/>
            </w:pPr>
            <w:r>
              <w:rPr>
                <w:b w:val="false"/>
                <w:bCs w:val="false"/>
                <w:color w:val="222222"/>
                <w:sz w:val="18"/>
                <w:szCs w:val="18"/>
              </w:rPr>
              <w:t xml:space="preserve">Setiap kejadian (audit maternal perinatal)</w:t>
            </w:r>
          </w:p>
        </w:tc>
      </w:tr>
      <w:tr>
        <w:tc>
          <w:tcPr>
            <w:tcW w:type="dxa" w:w="4819"/>
            <w:tcMar>
              <w:top w:type="dxa" w:w="80"/>
              <w:left w:type="dxa" w:w="100"/>
              <w:bottom w:type="dxa" w:w="80"/>
              <w:right w:type="dxa" w:w="100"/>
            </w:tcMar>
            <w:vAlign w:val="center"/>
          </w:tcPr>
          <w:p>
            <w:r>
              <w:rPr>
                <w:b w:val="false"/>
                <w:bCs w:val="false"/>
                <w:color w:val="222222"/>
                <w:sz w:val="18"/>
                <w:szCs w:val="18"/>
              </w:rPr>
              <w:t xml:space="preserve">Kepatuhan dokumentasi informed consent &amp; kerahasiaan pada kasus etikolegal</w:t>
            </w:r>
          </w:p>
        </w:tc>
        <w:tc>
          <w:tcPr>
            <w:tcW w:type="dxa" w:w="2000"/>
            <w:tcMar>
              <w:top w:type="dxa" w:w="80"/>
              <w:left w:type="dxa" w:w="100"/>
              <w:bottom w:type="dxa" w:w="80"/>
              <w:right w:type="dxa" w:w="100"/>
            </w:tcMar>
            <w:vAlign w:val="center"/>
          </w:tcPr>
          <w:p>
            <w:pPr>
              <w:jc w:val="center"/>
            </w:pPr>
            <w:r>
              <w:rPr>
                <w:b w:val="false"/>
                <w:bCs w:val="false"/>
                <w:color w:val="222222"/>
                <w:sz w:val="18"/>
                <w:szCs w:val="18"/>
              </w:rPr>
              <w:t xml:space="preserve">100%</w:t>
            </w:r>
          </w:p>
        </w:tc>
        <w:tc>
          <w:tcPr>
            <w:tcW w:type="dxa" w:w="2819"/>
            <w:tcMar>
              <w:top w:type="dxa" w:w="80"/>
              <w:left w:type="dxa" w:w="100"/>
              <w:bottom w:type="dxa" w:w="80"/>
              <w:right w:type="dxa" w:w="100"/>
            </w:tcMar>
            <w:vAlign w:val="center"/>
          </w:tcPr>
          <w:p>
            <w:pPr>
              <w:jc w:val="center"/>
            </w:pPr>
            <w:r>
              <w:rPr>
                <w:b w:val="false"/>
                <w:bCs w:val="false"/>
                <w:color w:val="222222"/>
                <w:sz w:val="18"/>
                <w:szCs w:val="18"/>
              </w:rPr>
              <w:t xml:space="preserve">Bulanan</w:t>
            </w:r>
          </w:p>
        </w:tc>
      </w:tr>
    </w:tbl>
    <w:p>
      <w:pPr>
        <w:pBdr>
          <w:bottom w:val="single" w:color="7A1F3D" w:sz="2"/>
        </w:pBdr>
        <w:shd w:fill="7A1F3D" w:color="auto" w:val="clear"/>
        <w:spacing w:after="120" w:before="240"/>
      </w:pPr>
      <w:r>
        <w:rPr>
          <w:rFonts w:ascii="Calibri" w:cs="Calibri" w:eastAsia="Calibri" w:hAnsi="Calibri"/>
          <w:b/>
          <w:bCs/>
          <w:color w:val="FFFFFF"/>
          <w:sz w:val="24"/>
          <w:szCs w:val="24"/>
        </w:rPr>
        <w:t xml:space="preserve">15. KEPUSTAKAAN</w:t>
      </w:r>
    </w:p>
    <w:p>
      <w:pPr>
        <w:pStyle w:val="ListParagraph"/>
        <w:numPr>
          <w:ilvl w:val="0"/>
          <w:numId w:val="3"/>
        </w:numPr>
        <w:spacing w:after="60"/>
      </w:pPr>
      <w:r>
        <w:rPr>
          <w:color w:val="222222"/>
          <w:sz w:val="20"/>
          <w:szCs w:val="20"/>
        </w:rPr>
        <w:t xml:space="preserve">World Health Organization. Abortion care guideline, second edition. Geneva: WHO; 2024. NCBI Bookshelf ID: NBK617985. Tersedia di: https://www.ncbi.nlm.nih.gov/books/NBK617985/ (memperbarui edisi pertama 2022, Bookshelf ID NBK578942).</w:t>
      </w:r>
    </w:p>
    <w:p>
      <w:pPr>
        <w:pStyle w:val="ListParagraph"/>
        <w:numPr>
          <w:ilvl w:val="0"/>
          <w:numId w:val="3"/>
        </w:numPr>
        <w:spacing w:after="60"/>
      </w:pPr>
      <w:r>
        <w:rPr>
          <w:color w:val="222222"/>
          <w:sz w:val="20"/>
          <w:szCs w:val="20"/>
        </w:rPr>
        <w:t xml:space="preserve">Singer M, Deutschman CS, Seymour CW, et al. The Third International Consensus Definitions for Sepsis and Septic Shock (Sepsis-3). JAMA. 2016;315(8):801-810.</w:t>
      </w:r>
    </w:p>
    <w:p>
      <w:pPr>
        <w:pStyle w:val="ListParagraph"/>
        <w:numPr>
          <w:ilvl w:val="0"/>
          <w:numId w:val="3"/>
        </w:numPr>
        <w:spacing w:after="60"/>
      </w:pPr>
      <w:r>
        <w:rPr>
          <w:color w:val="222222"/>
          <w:sz w:val="20"/>
          <w:szCs w:val="20"/>
        </w:rPr>
        <w:t xml:space="preserve">Say L, Souza JP, Pattinson RC; WHO Working Group on Maternal Mortality and Morbidity Classifications. Maternal near miss — towards a standard tool for monitoring quality of maternal health care. Best Pract Res Clin Obstet Gynaecol. 2009;23(3):287-296.</w:t>
      </w:r>
    </w:p>
    <w:p>
      <w:pPr>
        <w:pStyle w:val="ListParagraph"/>
        <w:numPr>
          <w:ilvl w:val="0"/>
          <w:numId w:val="3"/>
        </w:numPr>
        <w:spacing w:after="60"/>
      </w:pPr>
      <w:r>
        <w:rPr>
          <w:color w:val="222222"/>
          <w:sz w:val="20"/>
          <w:szCs w:val="20"/>
        </w:rPr>
        <w:t xml:space="preserve">Levy MM, Evans LE, Rhodes A. The Surviving Sepsis Campaign Bundle: 2018 Update. Crit Care Med. 2018;46(6):997-1000.</w:t>
      </w:r>
    </w:p>
    <w:p>
      <w:pPr>
        <w:pStyle w:val="ListParagraph"/>
        <w:numPr>
          <w:ilvl w:val="0"/>
          <w:numId w:val="3"/>
        </w:numPr>
        <w:spacing w:after="60"/>
      </w:pPr>
      <w:r>
        <w:rPr>
          <w:color w:val="222222"/>
          <w:sz w:val="20"/>
          <w:szCs w:val="20"/>
        </w:rPr>
        <w:t xml:space="preserve">American College of Obstetricians and Gynecologists. ACOG Practice Bulletin No. 200: Early Pregnancy Loss. Obstet Gynecol. 2018;132(5):e197-e207. Tersedia di: https://www.acog.org/clinical/clinical-guidance/practice-bulletin/articles/2018/11/early-pregnancy-loss</w:t>
      </w:r>
    </w:p>
    <w:p>
      <w:pPr>
        <w:pStyle w:val="ListParagraph"/>
        <w:numPr>
          <w:ilvl w:val="0"/>
          <w:numId w:val="3"/>
        </w:numPr>
        <w:spacing w:after="60"/>
      </w:pPr>
      <w:r>
        <w:rPr>
          <w:color w:val="222222"/>
          <w:sz w:val="20"/>
          <w:szCs w:val="20"/>
        </w:rPr>
        <w:t xml:space="preserve">Morris JL, Winikoff B, Dabash R, et al. FIGO's updated recommendations for misoprostol used alone in gynecology and obstetrics. Int J Gynaecol Obstet. 2017;138(3):363-366.</w:t>
      </w:r>
    </w:p>
    <w:p>
      <w:pPr>
        <w:pStyle w:val="ListParagraph"/>
        <w:numPr>
          <w:ilvl w:val="0"/>
          <w:numId w:val="3"/>
        </w:numPr>
        <w:spacing w:after="60"/>
      </w:pPr>
      <w:r>
        <w:rPr>
          <w:color w:val="222222"/>
          <w:sz w:val="20"/>
          <w:szCs w:val="20"/>
        </w:rPr>
        <w:t xml:space="preserve">Republik Indonesia. Undang-Undang Nomor 1 Tahun 2023 tentang Kitab Undang-Undang Hukum Pidana, Pasal 251, 463, 464, dan 465 (berlaku efektif 2 Januari 2026), sebagaimana disesuaikan oleh Undang-Undang Nomor 1 Tahun 2026 tentang Penyesuaian Pidana.</w:t>
      </w:r>
    </w:p>
    <w:p>
      <w:pPr>
        <w:pStyle w:val="ListParagraph"/>
        <w:numPr>
          <w:ilvl w:val="0"/>
          <w:numId w:val="3"/>
        </w:numPr>
        <w:spacing w:after="60"/>
      </w:pPr>
      <w:r>
        <w:rPr>
          <w:color w:val="222222"/>
          <w:sz w:val="20"/>
          <w:szCs w:val="20"/>
        </w:rPr>
        <w:t xml:space="preserve">Republik Indonesia. Undang-Undang Nomor 17 Tahun 2023 tentang Kesehatan, Pasal 428 dan 429.</w:t>
      </w:r>
    </w:p>
    <w:p>
      <w:pPr>
        <w:pStyle w:val="ListParagraph"/>
        <w:numPr>
          <w:ilvl w:val="0"/>
          <w:numId w:val="3"/>
        </w:numPr>
        <w:spacing w:after="60"/>
      </w:pPr>
      <w:r>
        <w:rPr>
          <w:color w:val="222222"/>
          <w:sz w:val="20"/>
          <w:szCs w:val="20"/>
        </w:rPr>
        <w:t xml:space="preserve">Republik Indonesia. Peraturan Pemerintah Nomor 28 Tahun 2024 tentang Peraturan Pelaksanaan Undang-Undang Nomor 17 Tahun 2023 tentang Kesehatan.</w:t>
      </w:r>
    </w:p>
    <w:p>
      <w:pPr>
        <w:pStyle w:val="ListParagraph"/>
        <w:numPr>
          <w:ilvl w:val="0"/>
          <w:numId w:val="3"/>
        </w:numPr>
        <w:spacing w:after="60"/>
      </w:pPr>
      <w:r>
        <w:rPr>
          <w:color w:val="222222"/>
          <w:sz w:val="20"/>
          <w:szCs w:val="20"/>
        </w:rPr>
        <w:t xml:space="preserve">Republik Indonesia. Undang-Undang Nomor 12 Tahun 2022 tentang Tindak Pidana Kekerasan Seksual (UU TPKS).</w:t>
      </w:r>
    </w:p>
    <w:p>
      <w:pPr>
        <w:pStyle w:val="ListParagraph"/>
        <w:numPr>
          <w:ilvl w:val="0"/>
          <w:numId w:val="3"/>
        </w:numPr>
        <w:spacing w:after="60"/>
      </w:pPr>
      <w:r>
        <w:rPr>
          <w:color w:val="222222"/>
          <w:sz w:val="20"/>
          <w:szCs w:val="20"/>
        </w:rPr>
        <w:t xml:space="preserve">Republik Indonesia. Undang-Undang Nomor 23 Tahun 2004 tentang Penghapusan Kekerasan Dalam Rumah Tangga (UU PKDRT).</w:t>
      </w:r>
    </w:p>
    <w:p>
      <w:pPr>
        <w:pStyle w:val="ListParagraph"/>
        <w:numPr>
          <w:ilvl w:val="0"/>
          <w:numId w:val="3"/>
        </w:numPr>
        <w:spacing w:after="60"/>
      </w:pPr>
      <w:r>
        <w:rPr>
          <w:color w:val="222222"/>
          <w:sz w:val="20"/>
          <w:szCs w:val="20"/>
        </w:rPr>
        <w:t xml:space="preserve">Konsil Kedokteran Indonesia. Peraturan Konsil Kedokteran Indonesia Nomor 87 Tahun 2020 tentang Standar Pendidikan Profesi Dokter Subspesialis Obstetri dan Ginekologi (dasar kompetensi Obginsos sebagai Community Obstetrics-Gynaecology).</w:t>
      </w:r>
    </w:p>
    <w:p>
      <w:pPr>
        <w:pStyle w:val="ListParagraph"/>
        <w:numPr>
          <w:ilvl w:val="0"/>
          <w:numId w:val="3"/>
        </w:numPr>
        <w:spacing w:after="60"/>
      </w:pPr>
      <w:r>
        <w:rPr>
          <w:color w:val="222222"/>
          <w:sz w:val="20"/>
          <w:szCs w:val="20"/>
        </w:rPr>
        <w:t xml:space="preserve">Konsil Kesehatan Indonesia. Keputusan Ketua Konsil Kesehatan Indonesia Nomor HK.01.02/KKI/1318/2026 tentang Standar Kompetensi Dokter Spesialis dan Subspesialis Bidang Obstetri dan Ginekologi. [Lihat Catatan Verifikasi Referensi di akhir bagian ini.]</w:t>
      </w:r>
    </w:p>
    <w:p>
      <w:pPr>
        <w:pBdr>
          <w:top w:val="single" w:color="D8B34A" w:sz="4"/>
          <w:bottom w:val="single" w:color="D8B34A" w:sz="4"/>
          <w:left w:val="single" w:color="D8B34A" w:sz="4"/>
          <w:right w:val="single" w:color="D8B34A" w:sz="4"/>
        </w:pBdr>
        <w:shd w:fill="FBF0D9" w:color="auto" w:val="clear"/>
        <w:spacing w:after="60" w:before="200"/>
      </w:pPr>
      <w:r>
        <w:rPr>
          <w:b/>
          <w:bCs/>
          <w:color w:val="6B4E00"/>
          <w:sz w:val="19"/>
          <w:szCs w:val="19"/>
        </w:rPr>
        <w:t xml:space="preserve">Catatan Verifikasi Referensi (Transparansi Audit)</w:t>
      </w:r>
    </w:p>
    <w:p>
      <w:pPr>
        <w:pBdr>
          <w:bottom w:val="single" w:color="D8B34A" w:sz="4"/>
          <w:left w:val="single" w:color="D8B34A" w:sz="4"/>
          <w:right w:val="single" w:color="D8B34A" w:sz="4"/>
        </w:pBdr>
        <w:shd w:fill="FBF0D9" w:color="auto" w:val="clear"/>
        <w:spacing w:after="200"/>
      </w:pPr>
      <w:r>
        <w:rPr>
          <w:i/>
          <w:iCs/>
          <w:color w:val="6B4E00"/>
          <w:sz w:val="18"/>
          <w:szCs w:val="18"/>
        </w:rPr>
        <w:t xml:space="preserve">Nomor Keputusan Ketua Konsil Kesehatan Indonesia HK.01.02/KKI/1318/2026 (Standar Kompetensi Obstetri dan Ginekologi) TIDAK dapat diverifikasi secara independen oleh penulis melalui penelusuran daring per Agustus 2026 — meski format nomor dan pola penomoran KKI tahun 2026 (mis. HK.01.02/KKI/1291/2026 dan HK.01.02/KKI/1304/2026) terkonfirmasi nyata. Demikian pula, PNPK spesifik Kemenkes/POGI untuk 'Komplikasi Pasca-Abortus Kompleks' tidak ditemukan dalam penelusuran; rujukan klinis utama karena itu bertumpu pada WHO Abortion Care Guideline edisi ke-2 (2024). Mohon konfirmasi atau unggah salinan resmi kedua dokumen ini apabila tersedia.</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E6E6E"/>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E6E6E"/>
        <w:sz w:val="14"/>
        <w:szCs w:val="14"/>
      </w:rPr>
      <w:t xml:space="preserve">PPK — Komplikasi Pasca-Abortus Kompleks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2026-07-31T20:22:20.627Z</dcterms:created>
  <dcterms:modified xsi:type="dcterms:W3CDTF">2026-07-31T20:22:20.641Z</dcterms:modified>
</cp:coreProperties>
</file>

<file path=docProps/custom.xml><?xml version="1.0" encoding="utf-8"?>
<Properties xmlns="http://schemas.openxmlformats.org/officeDocument/2006/custom-properties" xmlns:vt="http://schemas.openxmlformats.org/officeDocument/2006/docPropsVTypes"/>
</file>