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B8862F" w:sz="6"/>
          <w:bottom w:val="single" w:color="7A1F3D" w:sz="2"/>
          <w:left w:val="single" w:color="7A1F3D" w:sz="2"/>
          <w:right w:val="single" w:color="7A1F3D" w:sz="2"/>
        </w:pBdr>
        <w:shd w:fill="7A1F3D" w:val="clear"/>
        <w:spacing w:after="0"/>
      </w:pPr>
      <w:r>
        <w:rPr>
          <w:b/>
          <w:bCs/>
          <w:color w:val="F0D9E0"/>
          <w:sz w:val="18"/>
          <w:szCs w:val="18"/>
        </w:rPr>
        <w:t xml:space="preserve">PANDUAN PRAKTIK KLINIS (PPK)</w:t>
      </w:r>
    </w:p>
    <w:p>
      <w:pPr>
        <w:pBdr>
          <w:left w:val="single" w:color="7A1F3D" w:sz="2"/>
          <w:right w:val="single" w:color="7A1F3D" w:sz="2"/>
        </w:pBdr>
        <w:shd w:fill="7A1F3D" w:val="clear"/>
        <w:spacing w:after="0"/>
      </w:pPr>
      <w:r>
        <w:rPr>
          <w:b/>
          <w:bCs/>
          <w:color w:val="FFFFFF"/>
          <w:sz w:val="34"/>
          <w:szCs w:val="34"/>
        </w:rPr>
        <w:t xml:space="preserve">Permasalahan Nutrisi pada Prakonsepsi, Kehamilan, dan Nifas</w:t>
      </w:r>
    </w:p>
    <w:p>
      <w:pPr>
        <w:pBdr>
          <w:bottom w:val="single" w:color="B8862F" w:sz="6"/>
          <w:left w:val="single" w:color="7A1F3D" w:sz="2"/>
          <w:right w:val="single" w:color="7A1F3D" w:sz="2"/>
        </w:pBdr>
        <w:shd w:fill="7A1F3D" w:val="clear"/>
        <w:spacing w:after="200"/>
      </w:pPr>
      <w:r>
        <w:rPr>
          <w:i/>
          <w:iCs/>
          <w:color w:val="F0D9E0"/>
          <w:sz w:val="18"/>
          <w:szCs w:val="18"/>
        </w:rPr>
        <w:t xml:space="preserve">KSM Obstetri dan Ginekologi Subspesialis Obstetri Ginekologi Sosial  |  Dokumen 11 dari 19 (Seri PPK RS)  |  Sumber: Seri 14 Buku Ajar — Buku 5</w:t>
      </w:r>
    </w:p>
    <w:tbl>
      <w:tblPr>
        <w:tblW w:type="dxa" w:w="9350"/>
        <w:tblBorders>
          <w:top w:val="none"/>
          <w:left w:val="none"/>
          <w:bottom w:val="none"/>
          <w:right w:val="none"/>
          <w:insideH w:val="none"/>
          <w:insideV w:val="none"/>
        </w:tblBorders>
      </w:tblPr>
      <w:tblGrid>
        <w:gridCol w:w="3116"/>
        <w:gridCol w:w="3117"/>
        <w:gridCol w:w="3117"/>
      </w:tblGrid>
      <w:tr>
        <w:tc>
          <w:tcPr>
            <w:tcW w:type="dxa" w:w="3116"/>
            <w:shd w:fill="F3E3E9" w:val="clear"/>
            <w:tcMar>
              <w:top w:type="dxa" w:w="80"/>
              <w:left w:type="dxa" w:w="100"/>
              <w:bottom w:type="dxa" w:w="80"/>
              <w:right w:type="dxa" w:w="100"/>
            </w:tcMar>
            <w:vAlign w:val="center"/>
          </w:tcPr>
          <w:p>
            <w:pPr>
              <w:jc w:val="center"/>
            </w:pPr>
            <w:r>
              <w:rPr>
                <w:b/>
                <w:bCs/>
                <w:color w:val="7A1F3D"/>
                <w:sz w:val="17"/>
                <w:szCs w:val="17"/>
              </w:rPr>
              <w:t xml:space="preserve">Jenis Dokumen: PPK</w:t>
            </w:r>
          </w:p>
        </w:tc>
        <w:tc>
          <w:tcPr>
            <w:tcW w:type="dxa" w:w="3117"/>
            <w:shd w:fill="F3E3E9" w:val="clear"/>
            <w:tcMar>
              <w:top w:type="dxa" w:w="80"/>
              <w:left w:type="dxa" w:w="100"/>
              <w:bottom w:type="dxa" w:w="80"/>
              <w:right w:type="dxa" w:w="100"/>
            </w:tcMar>
            <w:vAlign w:val="center"/>
          </w:tcPr>
          <w:p>
            <w:pPr>
              <w:jc w:val="center"/>
            </w:pPr>
            <w:r>
              <w:rPr>
                <w:b/>
                <w:bCs/>
                <w:color w:val="7A1F3D"/>
                <w:sz w:val="17"/>
                <w:szCs w:val="17"/>
              </w:rPr>
              <w:t xml:space="preserve">ICD-10: O25.0</w:t>
            </w:r>
          </w:p>
        </w:tc>
        <w:tc>
          <w:tcPr>
            <w:tcW w:type="dxa" w:w="3117"/>
            <w:shd w:fill="F3E3E9" w:val="clear"/>
            <w:tcMar>
              <w:top w:type="dxa" w:w="80"/>
              <w:left w:type="dxa" w:w="100"/>
              <w:bottom w:type="dxa" w:w="80"/>
              <w:right w:type="dxa" w:w="100"/>
            </w:tcMar>
            <w:vAlign w:val="center"/>
          </w:tcPr>
          <w:p>
            <w:pPr>
              <w:jc w:val="center"/>
            </w:pPr>
            <w:r>
              <w:rPr>
                <w:b/>
                <w:bCs/>
                <w:color w:val="7A1F3D"/>
                <w:sz w:val="17"/>
                <w:szCs w:val="17"/>
              </w:rPr>
              <w:t xml:space="preserve">ICD-11: JA64</w:t>
            </w:r>
          </w:p>
        </w:tc>
      </w:tr>
    </w:tbl>
    <w:p>
      <w:pPr>
        <w:spacing w:after="120"/>
      </w:pPr>
    </w:p>
    <w:tbl>
      <w:tblPr>
        <w:tblW w:type="dxa" w:w="9350"/>
        <w:tblBorders>
          <w:top w:val="single" w:color="D9D9D9" w:sz="2"/>
          <w:left w:val="single" w:color="D9D9D9" w:sz="2"/>
          <w:bottom w:val="single" w:color="D9D9D9" w:sz="2"/>
          <w:right w:val="single" w:color="D9D9D9" w:sz="2"/>
          <w:insideH w:val="single" w:color="auto" w:sz="4"/>
          <w:insideV w:val="single" w:color="auto" w:sz="4"/>
        </w:tblBorders>
      </w:tblPr>
      <w:tblGrid>
        <w:gridCol w:w="9350"/>
      </w:tblGrid>
      <w:tr>
        <w:tc>
          <w:tcPr>
            <w:tcW w:type="dxa" w:w="9350"/>
            <w:tcMar>
              <w:top w:type="dxa" w:w="120"/>
              <w:left w:type="dxa" w:w="180"/>
              <w:bottom w:type="dxa" w:w="120"/>
              <w:right w:type="dxa" w:w="180"/>
            </w:tcMar>
          </w:tcPr>
          <w:p>
            <w:pPr>
              <w:spacing w:after="40"/>
            </w:pPr>
            <w:r>
              <w:rPr>
                <w:color w:val="3A3A3A"/>
                <w:sz w:val="19"/>
                <w:szCs w:val="19"/>
              </w:rPr>
              <w:t xml:space="preserve">[Nama Rumah Sakit]</w:t>
            </w:r>
            <w:r>
              <w:rPr>
                <w:color w:val="3A3A3A"/>
                <w:sz w:val="19"/>
                <w:szCs w:val="19"/>
              </w:rPr>
              <w:t xml:space="preserve">   |   [Nama KSM/Departemen]   |   [Nomor Dokumen]   |   [Tanggal Berlaku/Tinjau Ulang]</w:t>
            </w:r>
          </w:p>
          <w:p>
            <w:pPr>
              <w:spacing w:after="40"/>
            </w:pPr>
            <w:r>
              <w:rPr>
                <w:b/>
                <w:bCs/>
                <w:color w:val="3A3A3A"/>
                <w:sz w:val="19"/>
                <w:szCs w:val="19"/>
              </w:rPr>
              <w:t xml:space="preserve">Penulis/Penyusun: </w:t>
            </w:r>
            <w:r>
              <w:rPr>
                <w:color w:val="3A3A3A"/>
                <w:sz w:val="19"/>
                <w:szCs w:val="19"/>
              </w:rPr>
              <w:t xml:space="preserve">Dr.dr. Budi Siswanto, Sp.OG., Subsp.Obginsos., SH., S.Kom.</w:t>
            </w:r>
          </w:p>
          <w:p>
            <w:pPr>
              <w:spacing w:after="40"/>
            </w:pPr>
            <w:r>
              <w:rPr>
                <w:b/>
                <w:bCs/>
                <w:color w:val="3A3A3A"/>
                <w:sz w:val="19"/>
                <w:szCs w:val="19"/>
              </w:rPr>
              <w:t xml:space="preserve">Penerbit: </w:t>
            </w:r>
            <w:r>
              <w:rPr>
                <w:color w:val="3A3A3A"/>
                <w:sz w:val="19"/>
                <w:szCs w:val="19"/>
              </w:rPr>
              <w:t xml:space="preserve">Perpustakaan ABBA</w:t>
            </w:r>
          </w:p>
          <w:p>
            <w:r>
              <w:rPr>
                <w:b/>
                <w:bCs/>
                <w:color w:val="3A3A3A"/>
                <w:sz w:val="19"/>
                <w:szCs w:val="19"/>
              </w:rPr>
              <w:t xml:space="preserve">Alamat Penerbit: </w:t>
            </w:r>
            <w:r>
              <w:rPr>
                <w:color w:val="3A3A3A"/>
                <w:sz w:val="19"/>
                <w:szCs w:val="19"/>
              </w:rPr>
              <w:t xml:space="preserve">Jl Danau Kerinci No 9 Malang</w:t>
            </w:r>
          </w:p>
        </w:tc>
      </w:tr>
    </w:tbl>
    <w:p>
      <w:pPr>
        <w:spacing w:after="200"/>
      </w:pPr>
    </w:p>
    <w:p>
      <w:pPr>
        <w:pBdr>
          <w:top w:val="single" w:color="7A1F3D" w:sz="2"/>
          <w:bottom w:val="single" w:color="7A1F3D" w:sz="2"/>
          <w:left w:val="single" w:color="7A1F3D" w:sz="2"/>
          <w:right w:val="single" w:color="7A1F3D" w:sz="2"/>
        </w:pBdr>
        <w:shd w:fill="7A1F3D" w:val="clear"/>
        <w:spacing w:after="0" w:before="240"/>
      </w:pPr>
      <w:r>
        <w:rPr>
          <w:rFonts w:ascii="Calibri" w:cs="Calibri" w:eastAsia="Calibri" w:hAnsi="Calibri"/>
          <w:b/>
          <w:bCs/>
          <w:color w:val="FFFFFF"/>
          <w:sz w:val="22"/>
          <w:szCs w:val="22"/>
        </w:rPr>
        <w:t xml:space="preserve">1. PENGERTIAN (DEFINISI)</w:t>
      </w:r>
    </w:p>
    <w:p>
      <w:pPr>
        <w:spacing w:after="60"/>
      </w:pPr>
    </w:p>
    <w:p>
      <w:pPr>
        <w:spacing w:after="100" w:line="264"/>
      </w:pPr>
      <w:r>
        <w:rPr>
          <w:color w:val="3A3A3A"/>
          <w:sz w:val="20"/>
          <w:szCs w:val="20"/>
        </w:rPr>
        <w:t xml:space="preserve">Permasalahan nutrisi pada prakonsepsi, kehamilan, dan nifas (Malnutrition in pregnancy; ICD-10 O25.0; ICD-11 JA64) adalah kondisi ketidakseimbangan asupan energi dan zat gizi — baik defisit (kurang energi kronik/KEK, anemia defisiensi besi, defisiensi mikronutrien) maupun berlebih (obesitas gestasional) — yang terjadi pada masa sebelum konsepsi, selama kehamilan, atau masa nifas, dan berdampak pada luaran maternal maupun janin/neonatal.</w:t>
      </w:r>
    </w:p>
    <w:p>
      <w:pPr>
        <w:spacing w:after="100" w:line="264"/>
      </w:pPr>
      <w:r>
        <w:rPr>
          <w:color w:val="3A3A3A"/>
          <w:sz w:val="20"/>
          <w:szCs w:val="20"/>
        </w:rPr>
        <w:t xml:space="preserve">Tatalaksana bersifat holistik biopsikososial: mencakup aspek klinis, identifikasi faktor risiko sosial dan keterkaitan siklus hidup (konsep Developmental Origins of Health and Disease/DOHaD — paparan nutrisi ibu memengaruhi risiko penyakit metabolik keturunan di kemudian hari), budaya, serta advokasi kebijakan dan penguatan jejaring rujukan gizi sesuai kompetensi Dokter Subspesialis Obstetri Ginekologi Sosial.</w:t>
      </w:r>
    </w:p>
    <w:p>
      <w:pPr>
        <w:shd w:fill="F3E3E9" w:val="clear"/>
        <w:spacing w:after="60" w:before="120"/>
      </w:pPr>
      <w:r>
        <w:rPr>
          <w:b/>
          <w:bCs/>
          <w:color w:val="7A1F3D"/>
          <w:sz w:val="20"/>
          <w:szCs w:val="20"/>
        </w:rPr>
        <w:t xml:space="preserve">Cakupan Tiga Fase Siklus Hidup</w:t>
      </w:r>
    </w:p>
    <w:p>
      <w:pPr>
        <w:pStyle w:val="ListParagraph"/>
        <w:numPr>
          <w:ilvl w:val="0"/>
          <w:numId w:val="2"/>
        </w:numPr>
        <w:spacing w:after="60" w:line="258"/>
      </w:pPr>
      <w:r>
        <w:rPr>
          <w:color w:val="3A3A3A"/>
          <w:sz w:val="20"/>
          <w:szCs w:val="20"/>
        </w:rPr>
        <w:t xml:space="preserve">Prakonsepsi: optimalisasi status gizi perempuan usia reproduksi sebelum kehamilan direncanakan (preconception nutritional risk), termasuk skrining menggunakan pendekatan FIGO Nutrition Checklist.</w:t>
      </w:r>
    </w:p>
    <w:p>
      <w:pPr>
        <w:pStyle w:val="ListParagraph"/>
        <w:numPr>
          <w:ilvl w:val="0"/>
          <w:numId w:val="2"/>
        </w:numPr>
        <w:spacing w:after="60" w:line="258"/>
      </w:pPr>
      <w:r>
        <w:rPr>
          <w:color w:val="3A3A3A"/>
          <w:sz w:val="20"/>
          <w:szCs w:val="20"/>
        </w:rPr>
        <w:t xml:space="preserve">Kehamilan: pemantauan status gizi berkelanjutan setiap kunjungan antenatal terpadu (10T) sesuai Pedoman Pelayanan Antenatal Terpadu Kemenkes RI, termasuk pemantauan kenaikan berat badan gestasional sesuai kategori IMT prakonsepsi.</w:t>
      </w:r>
    </w:p>
    <w:p>
      <w:pPr>
        <w:pStyle w:val="ListParagraph"/>
        <w:numPr>
          <w:ilvl w:val="0"/>
          <w:numId w:val="2"/>
        </w:numPr>
        <w:spacing w:after="60" w:line="258"/>
      </w:pPr>
      <w:r>
        <w:rPr>
          <w:color w:val="3A3A3A"/>
          <w:sz w:val="20"/>
          <w:szCs w:val="20"/>
        </w:rPr>
        <w:t xml:space="preserve">Nifas: kelanjutan suplementasi, skrining status gizi, dan dukungan laktasi pada kontak pascasalin terstruktur sesuai WHO Postnatal Care Guideline 2022 (24 jam, hari ke-3, hari ke-7–14, minggu ke-6).</w:t>
      </w:r>
    </w:p>
    <w:tbl>
      <w:tblPr>
        <w:tblW w:type="dxa" w:w="9350"/>
        <w:tblBorders>
          <w:top w:val="single" w:color="B8862F" w:sz="4"/>
          <w:left w:val="single" w:color="B8862F" w:sz="4"/>
          <w:bottom w:val="single" w:color="B8862F" w:sz="4"/>
          <w:right w:val="single" w:color="B8862F" w:sz="4"/>
          <w:insideH w:val="single" w:color="auto" w:sz="4"/>
          <w:insideV w:val="single" w:color="auto" w:sz="4"/>
        </w:tblBorders>
      </w:tblPr>
      <w:tblGrid>
        <w:gridCol w:w="9350"/>
      </w:tblGrid>
      <w:tr>
        <w:tc>
          <w:tcPr>
            <w:tcW w:type="dxa" w:w="9350"/>
            <w:shd w:fill="FBF6EC" w:val="clear"/>
            <w:tcMar>
              <w:top w:type="dxa" w:w="100"/>
              <w:left w:type="dxa" w:w="150"/>
              <w:bottom w:type="dxa" w:w="100"/>
              <w:right w:type="dxa" w:w="150"/>
            </w:tcMar>
          </w:tcPr>
          <w:p>
            <w:pPr>
              <w:spacing w:after="40"/>
            </w:pPr>
            <w:r>
              <w:rPr>
                <w:b/>
                <w:bCs/>
                <w:color w:val="B8862F"/>
                <w:sz w:val="18"/>
                <w:szCs w:val="18"/>
              </w:rPr>
              <w:t xml:space="preserve">DASAR KOMPETENSI</w:t>
            </w:r>
          </w:p>
          <w:p>
            <w:r>
              <w:rPr>
                <w:color w:val="3A3A3A"/>
                <w:sz w:val="19"/>
                <w:szCs w:val="19"/>
              </w:rPr>
              <w:t xml:space="preserve">Kompetensi ini tercantum eksplisit sebagai kompetensi ke-14 Dokter Spesialis Obstetri dan Ginekologi Subspesialis Obstetri Ginekologi Sosial: “Tatalaksana holistik permasalahan nutrisi pada prakonsepsi, kehamilan dan nifas” (Kepkonsil Nomor HK.01.02/KKI/1318/2026 tentang Standar Kompetensi Dokter Spesialis dan Subspesialis Bidang Obstetri dan Ginekologi). Rincian kurikulum kompetensi terkait juga mencantumkan target: 100% ibu hamil disaring status gizi (IMT, LILA, Hb); ≥90% mendapat intervensi gizi sesuai hasil; ≥5 kasus intervensi gizi ibu hamil ditangani; audit dokumentasi gizi ≥90%.</w:t>
            </w:r>
          </w:p>
        </w:tc>
      </w:tr>
    </w:tbl>
    <w:p>
      <w:pPr>
        <w:spacing w:after="160"/>
      </w:pPr>
    </w:p>
    <w:p>
      <w:pPr>
        <w:pBdr>
          <w:top w:val="single" w:color="7A1F3D" w:sz="2"/>
          <w:bottom w:val="single" w:color="7A1F3D" w:sz="2"/>
          <w:left w:val="single" w:color="7A1F3D" w:sz="2"/>
          <w:right w:val="single" w:color="7A1F3D" w:sz="2"/>
        </w:pBdr>
        <w:shd w:fill="7A1F3D" w:val="clear"/>
        <w:spacing w:after="0" w:before="240"/>
      </w:pPr>
      <w:r>
        <w:rPr>
          <w:rFonts w:ascii="Calibri" w:cs="Calibri" w:eastAsia="Calibri" w:hAnsi="Calibri"/>
          <w:b/>
          <w:bCs/>
          <w:color w:val="FFFFFF"/>
          <w:sz w:val="22"/>
          <w:szCs w:val="22"/>
        </w:rPr>
        <w:t xml:space="preserve">2. ANAMNESIS</w:t>
      </w:r>
    </w:p>
    <w:p>
      <w:pPr>
        <w:spacing w:after="60"/>
      </w:pPr>
    </w:p>
    <w:p>
      <w:pPr>
        <w:shd w:fill="F3E3E9" w:val="clear"/>
        <w:spacing w:after="60" w:before="120"/>
      </w:pPr>
      <w:r>
        <w:rPr>
          <w:b/>
          <w:bCs/>
          <w:color w:val="7A1F3D"/>
          <w:sz w:val="20"/>
          <w:szCs w:val="20"/>
        </w:rPr>
        <w:t xml:space="preserve">Riwayat Diet dan Pola Makan</w:t>
      </w:r>
    </w:p>
    <w:p>
      <w:pPr>
        <w:pStyle w:val="ListParagraph"/>
        <w:numPr>
          <w:ilvl w:val="0"/>
          <w:numId w:val="2"/>
        </w:numPr>
        <w:spacing w:after="60" w:line="258"/>
      </w:pPr>
      <w:r>
        <w:rPr>
          <w:color w:val="3A3A3A"/>
          <w:sz w:val="20"/>
          <w:szCs w:val="20"/>
        </w:rPr>
        <w:t xml:space="preserve">Frekuensi dan jenis makan, food recall 24 jam, riwayat pantang makanan/kepercayaan budaya terkait pangan.</w:t>
      </w:r>
    </w:p>
    <w:p>
      <w:pPr>
        <w:pStyle w:val="ListParagraph"/>
        <w:numPr>
          <w:ilvl w:val="0"/>
          <w:numId w:val="2"/>
        </w:numPr>
        <w:spacing w:after="60" w:line="258"/>
      </w:pPr>
      <w:r>
        <w:rPr>
          <w:color w:val="3A3A3A"/>
          <w:sz w:val="20"/>
          <w:szCs w:val="20"/>
        </w:rPr>
        <w:t xml:space="preserve">Riwayat mual-muntah berat (hiperemesis), gangguan nafsu makan, atau perilaku makan menyimpang.</w:t>
      </w:r>
    </w:p>
    <w:p>
      <w:pPr>
        <w:pStyle w:val="ListParagraph"/>
        <w:numPr>
          <w:ilvl w:val="0"/>
          <w:numId w:val="2"/>
        </w:numPr>
        <w:spacing w:after="60" w:line="258"/>
      </w:pPr>
      <w:r>
        <w:rPr>
          <w:color w:val="3A3A3A"/>
          <w:sz w:val="20"/>
          <w:szCs w:val="20"/>
        </w:rPr>
        <w:t xml:space="preserve">Pada fase prakonsepsi, penapisan terstruktur dapat mengacu pada empat domain FIGO Nutrition Checklist (2015): kebutuhan diet khusus, IMT, kualitas diet, dan asupan mikronutrien.</w:t>
      </w:r>
    </w:p>
    <w:p>
      <w:pPr>
        <w:shd w:fill="F3E3E9" w:val="clear"/>
        <w:spacing w:after="60" w:before="120"/>
      </w:pPr>
      <w:r>
        <w:rPr>
          <w:b/>
          <w:bCs/>
          <w:color w:val="7A1F3D"/>
          <w:sz w:val="20"/>
          <w:szCs w:val="20"/>
        </w:rPr>
        <w:t xml:space="preserve">Identifikasi Faktor Risiko (sesuai standar kompetensi)</w:t>
      </w:r>
    </w:p>
    <w:p>
      <w:pPr>
        <w:pStyle w:val="ListParagraph"/>
        <w:numPr>
          <w:ilvl w:val="0"/>
          <w:numId w:val="2"/>
        </w:numPr>
        <w:spacing w:after="60" w:line="258"/>
      </w:pPr>
      <w:r>
        <w:rPr>
          <w:color w:val="3A3A3A"/>
          <w:sz w:val="20"/>
          <w:szCs w:val="20"/>
        </w:rPr>
        <w:t xml:space="preserve">Usia remaja (10–19 tahun) atau usia risiko tinggi lainnya.</w:t>
      </w:r>
    </w:p>
    <w:p>
      <w:pPr>
        <w:pStyle w:val="ListParagraph"/>
        <w:numPr>
          <w:ilvl w:val="0"/>
          <w:numId w:val="2"/>
        </w:numPr>
        <w:spacing w:after="60" w:line="258"/>
      </w:pPr>
      <w:r>
        <w:rPr>
          <w:color w:val="3A3A3A"/>
          <w:sz w:val="20"/>
          <w:szCs w:val="20"/>
        </w:rPr>
        <w:t xml:space="preserve">Status sosial-ekonomi rendah, akses pangan terbatas, ketahanan pangan keluarga.</w:t>
      </w:r>
    </w:p>
    <w:p>
      <w:pPr>
        <w:pStyle w:val="ListParagraph"/>
        <w:numPr>
          <w:ilvl w:val="0"/>
          <w:numId w:val="2"/>
        </w:numPr>
        <w:spacing w:after="60" w:line="258"/>
      </w:pPr>
      <w:r>
        <w:rPr>
          <w:color w:val="3A3A3A"/>
          <w:sz w:val="20"/>
          <w:szCs w:val="20"/>
        </w:rPr>
        <w:t xml:space="preserve">Penyakit kronik penyerta: diabetes, penyakit ginjal, penyakit hati, HIV, tuberkulosis.</w:t>
      </w:r>
    </w:p>
    <w:p>
      <w:pPr>
        <w:pStyle w:val="ListParagraph"/>
        <w:numPr>
          <w:ilvl w:val="0"/>
          <w:numId w:val="2"/>
        </w:numPr>
        <w:spacing w:after="60" w:line="258"/>
      </w:pPr>
      <w:r>
        <w:rPr>
          <w:color w:val="3A3A3A"/>
          <w:sz w:val="20"/>
          <w:szCs w:val="20"/>
        </w:rPr>
        <w:t xml:space="preserve">Kehamilan multipel, jarak kehamilan pendek (&lt;2 tahun), paritas tinggi.</w:t>
      </w:r>
    </w:p>
    <w:p>
      <w:pPr>
        <w:pStyle w:val="ListParagraph"/>
        <w:numPr>
          <w:ilvl w:val="0"/>
          <w:numId w:val="2"/>
        </w:numPr>
        <w:spacing w:after="60" w:line="258"/>
      </w:pPr>
      <w:r>
        <w:rPr>
          <w:color w:val="3A3A3A"/>
          <w:sz w:val="20"/>
          <w:szCs w:val="20"/>
        </w:rPr>
        <w:t xml:space="preserve">Riwayat KDRT/kekerasan berbasis gender yang berdampak pada akses pangan dan kepatuhan suplementasi.</w:t>
      </w:r>
    </w:p>
    <w:p>
      <w:pPr>
        <w:shd w:fill="F3E3E9" w:val="clear"/>
        <w:spacing w:after="60" w:before="120"/>
      </w:pPr>
      <w:r>
        <w:rPr>
          <w:b/>
          <w:bCs/>
          <w:color w:val="7A1F3D"/>
          <w:sz w:val="20"/>
          <w:szCs w:val="20"/>
        </w:rPr>
        <w:t xml:space="preserve">Riwayat Obstetri dan Medis</w:t>
      </w:r>
    </w:p>
    <w:p>
      <w:pPr>
        <w:pStyle w:val="ListParagraph"/>
        <w:numPr>
          <w:ilvl w:val="0"/>
          <w:numId w:val="2"/>
        </w:numPr>
        <w:spacing w:after="60" w:line="258"/>
      </w:pPr>
      <w:r>
        <w:rPr>
          <w:color w:val="3A3A3A"/>
          <w:sz w:val="20"/>
          <w:szCs w:val="20"/>
        </w:rPr>
        <w:t xml:space="preserve">Riwayat BBLR, prematuritas, atau kematian janin pada kehamilan sebelumnya.</w:t>
      </w:r>
    </w:p>
    <w:p>
      <w:pPr>
        <w:pStyle w:val="ListParagraph"/>
        <w:numPr>
          <w:ilvl w:val="0"/>
          <w:numId w:val="2"/>
        </w:numPr>
        <w:spacing w:after="60" w:line="258"/>
      </w:pPr>
      <w:r>
        <w:rPr>
          <w:color w:val="3A3A3A"/>
          <w:sz w:val="20"/>
          <w:szCs w:val="20"/>
        </w:rPr>
        <w:t xml:space="preserve">Riwayat operasi bariatrik, gangguan malabsorpsi, atau penyakit tiroid.</w:t>
      </w:r>
    </w:p>
    <w:p>
      <w:pPr>
        <w:pStyle w:val="ListParagraph"/>
        <w:numPr>
          <w:ilvl w:val="0"/>
          <w:numId w:val="2"/>
        </w:numPr>
        <w:spacing w:after="60" w:line="258"/>
      </w:pPr>
      <w:r>
        <w:rPr>
          <w:color w:val="3A3A3A"/>
          <w:sz w:val="20"/>
          <w:szCs w:val="20"/>
        </w:rPr>
        <w:t xml:space="preserve">Gejala anemia: lemah, pucat, sesak saat aktivitas ringan, pusing.</w:t>
      </w:r>
    </w:p>
    <w:p>
      <w:pPr>
        <w:spacing w:after="160"/>
      </w:pPr>
    </w:p>
    <w:p>
      <w:pPr>
        <w:pBdr>
          <w:top w:val="single" w:color="7A1F3D" w:sz="2"/>
          <w:bottom w:val="single" w:color="7A1F3D" w:sz="2"/>
          <w:left w:val="single" w:color="7A1F3D" w:sz="2"/>
          <w:right w:val="single" w:color="7A1F3D" w:sz="2"/>
        </w:pBdr>
        <w:shd w:fill="7A1F3D" w:val="clear"/>
        <w:spacing w:after="0" w:before="240"/>
      </w:pPr>
      <w:r>
        <w:rPr>
          <w:rFonts w:ascii="Calibri" w:cs="Calibri" w:eastAsia="Calibri" w:hAnsi="Calibri"/>
          <w:b/>
          <w:bCs/>
          <w:color w:val="FFFFFF"/>
          <w:sz w:val="22"/>
          <w:szCs w:val="22"/>
        </w:rPr>
        <w:t xml:space="preserve">3. PEMERIKSAAN FISIK</w:t>
      </w:r>
    </w:p>
    <w:p>
      <w:pPr>
        <w:spacing w:after="60"/>
      </w:pPr>
    </w:p>
    <w:p>
      <w:pPr>
        <w:pStyle w:val="ListParagraph"/>
        <w:numPr>
          <w:ilvl w:val="0"/>
          <w:numId w:val="2"/>
        </w:numPr>
        <w:spacing w:after="60" w:line="258"/>
      </w:pPr>
      <w:r>
        <w:rPr>
          <w:color w:val="3A3A3A"/>
          <w:sz w:val="20"/>
          <w:szCs w:val="20"/>
        </w:rPr>
        <w:t xml:space="preserve">Antropometri: berat badan, tinggi badan, Indeks Massa Tubuh (IMT) prahamil/pada kunjungan awal, dan Lingkar Lengan Atas (LILA).</w:t>
      </w:r>
    </w:p>
    <w:p>
      <w:pPr>
        <w:pStyle w:val="ListParagraph"/>
        <w:numPr>
          <w:ilvl w:val="0"/>
          <w:numId w:val="2"/>
        </w:numPr>
        <w:spacing w:after="60" w:line="258"/>
      </w:pPr>
      <w:r>
        <w:rPr>
          <w:color w:val="3A3A3A"/>
          <w:sz w:val="20"/>
          <w:szCs w:val="20"/>
        </w:rPr>
        <w:t xml:space="preserve">Tanda vital, termasuk skrining tekanan darah (risiko preeklamsia pada obesitas gestasional).</w:t>
      </w:r>
    </w:p>
    <w:p>
      <w:pPr>
        <w:pStyle w:val="ListParagraph"/>
        <w:numPr>
          <w:ilvl w:val="0"/>
          <w:numId w:val="2"/>
        </w:numPr>
        <w:spacing w:after="60" w:line="258"/>
      </w:pPr>
      <w:r>
        <w:rPr>
          <w:color w:val="3A3A3A"/>
          <w:sz w:val="20"/>
          <w:szCs w:val="20"/>
        </w:rPr>
        <w:t xml:space="preserve">Tanda klinis anemia: konjungtiva pucat, takikardia, glositis.</w:t>
      </w:r>
    </w:p>
    <w:p>
      <w:pPr>
        <w:pStyle w:val="ListParagraph"/>
        <w:numPr>
          <w:ilvl w:val="0"/>
          <w:numId w:val="2"/>
        </w:numPr>
        <w:spacing w:after="60" w:line="258"/>
      </w:pPr>
      <w:r>
        <w:rPr>
          <w:color w:val="3A3A3A"/>
          <w:sz w:val="20"/>
          <w:szCs w:val="20"/>
        </w:rPr>
        <w:t xml:space="preserve">Tanda defisiensi mikronutrien spesifik: koilonikia (besi), stomatitis angularis (riboflavin/besi), buta senja (vitamin A), edema (defisiensi protein berat).</w:t>
      </w:r>
    </w:p>
    <w:p>
      <w:pPr>
        <w:pStyle w:val="ListParagraph"/>
        <w:numPr>
          <w:ilvl w:val="0"/>
          <w:numId w:val="2"/>
        </w:numPr>
        <w:spacing w:after="60" w:line="258"/>
      </w:pPr>
      <w:r>
        <w:rPr>
          <w:color w:val="3A3A3A"/>
          <w:sz w:val="20"/>
          <w:szCs w:val="20"/>
        </w:rPr>
        <w:t xml:space="preserve">Pemeriksaan obstetri: tinggi fundus uteri dan taksiran berat janin untuk skrining gangguan pertumbuhan janin akibat status gizi ibu.</w:t>
      </w:r>
    </w:p>
    <w:p>
      <w:pPr>
        <w:spacing w:after="160"/>
      </w:pPr>
    </w:p>
    <w:p>
      <w:pPr>
        <w:pBdr>
          <w:top w:val="single" w:color="7A1F3D" w:sz="2"/>
          <w:bottom w:val="single" w:color="7A1F3D" w:sz="2"/>
          <w:left w:val="single" w:color="7A1F3D" w:sz="2"/>
          <w:right w:val="single" w:color="7A1F3D" w:sz="2"/>
        </w:pBdr>
        <w:shd w:fill="7A1F3D" w:val="clear"/>
        <w:spacing w:after="0" w:before="240"/>
      </w:pPr>
      <w:r>
        <w:rPr>
          <w:rFonts w:ascii="Calibri" w:cs="Calibri" w:eastAsia="Calibri" w:hAnsi="Calibri"/>
          <w:b/>
          <w:bCs/>
          <w:color w:val="FFFFFF"/>
          <w:sz w:val="22"/>
          <w:szCs w:val="22"/>
        </w:rPr>
        <w:t xml:space="preserve">4. KRITERIA DIAGNOSIS</w:t>
      </w:r>
    </w:p>
    <w:p>
      <w:pPr>
        <w:spacing w:after="60"/>
      </w:pPr>
    </w:p>
    <w:p>
      <w:pPr>
        <w:spacing w:after="100" w:line="264"/>
      </w:pPr>
      <w:r>
        <w:rPr>
          <w:color w:val="3A3A3A"/>
          <w:sz w:val="20"/>
          <w:szCs w:val="20"/>
        </w:rPr>
        <w:t xml:space="preserve">Kriteria diagnosis ditegakkan berdasarkan ambang antropometri dan laboratorium berikut, sesuai Catatan Khusus Penyusunan dokumen ini:</w:t>
      </w:r>
    </w:p>
    <w:p>
      <w:pPr>
        <w:spacing w:after="8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000"/>
        <w:gridCol w:w="3350"/>
        <w:gridCol w:w="3000"/>
      </w:tblGrid>
      <w:tr>
        <w:trPr>
          <w:tblHeader/>
        </w:trPr>
        <w:tc>
          <w:tcPr>
            <w:tcW w:type="dxa" w:w="3000"/>
            <w:shd w:fill="7A1F3D" w:val="clear"/>
            <w:tcMar>
              <w:top w:type="dxa" w:w="80"/>
              <w:left w:type="dxa" w:w="100"/>
              <w:bottom w:type="dxa" w:w="80"/>
              <w:right w:type="dxa" w:w="100"/>
            </w:tcMar>
            <w:vAlign w:val="center"/>
          </w:tcPr>
          <w:p>
            <w:pPr>
              <w:jc w:val="center"/>
            </w:pPr>
            <w:r>
              <w:rPr>
                <w:b/>
                <w:bCs/>
                <w:color w:val="FFFFFF"/>
                <w:sz w:val="18"/>
                <w:szCs w:val="18"/>
              </w:rPr>
              <w:t xml:space="preserve">Parameter</w:t>
            </w:r>
          </w:p>
        </w:tc>
        <w:tc>
          <w:tcPr>
            <w:tcW w:type="dxa" w:w="3350"/>
            <w:shd w:fill="7A1F3D" w:val="clear"/>
            <w:tcMar>
              <w:top w:type="dxa" w:w="80"/>
              <w:left w:type="dxa" w:w="100"/>
              <w:bottom w:type="dxa" w:w="80"/>
              <w:right w:type="dxa" w:w="100"/>
            </w:tcMar>
            <w:vAlign w:val="center"/>
          </w:tcPr>
          <w:p>
            <w:pPr>
              <w:jc w:val="center"/>
            </w:pPr>
            <w:r>
              <w:rPr>
                <w:b/>
                <w:bCs/>
                <w:color w:val="FFFFFF"/>
                <w:sz w:val="18"/>
                <w:szCs w:val="18"/>
              </w:rPr>
              <w:t xml:space="preserve">Ambang / Kriteria</w:t>
            </w:r>
          </w:p>
        </w:tc>
        <w:tc>
          <w:tcPr>
            <w:tcW w:type="dxa" w:w="3000"/>
            <w:shd w:fill="7A1F3D" w:val="clear"/>
            <w:tcMar>
              <w:top w:type="dxa" w:w="80"/>
              <w:left w:type="dxa" w:w="100"/>
              <w:bottom w:type="dxa" w:w="80"/>
              <w:right w:type="dxa" w:w="100"/>
            </w:tcMar>
            <w:vAlign w:val="center"/>
          </w:tcPr>
          <w:p>
            <w:pPr>
              <w:jc w:val="center"/>
            </w:pPr>
            <w:r>
              <w:rPr>
                <w:b/>
                <w:bCs/>
                <w:color w:val="FFFFFF"/>
                <w:sz w:val="18"/>
                <w:szCs w:val="18"/>
              </w:rPr>
              <w:t xml:space="preserve">Interpretasi</w:t>
            </w:r>
          </w:p>
        </w:tc>
      </w:tr>
      <w:tr>
        <w:tc>
          <w:tcPr>
            <w:tcW w:type="dxa" w:w="30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IMT prakonsepsi/awal hamil</w:t>
            </w:r>
          </w:p>
        </w:tc>
        <w:tc>
          <w:tcPr>
            <w:tcW w:type="dxa" w:w="335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&lt; 18,5 kg/m²</w:t>
            </w:r>
          </w:p>
        </w:tc>
        <w:tc>
          <w:tcPr>
            <w:tcW w:type="dxa" w:w="30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Underweight — risiko KEK</w:t>
            </w:r>
          </w:p>
        </w:tc>
      </w:tr>
      <w:tr>
        <w:tc>
          <w:tcPr>
            <w:tcW w:type="dxa" w:w="30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IMT prakonsepsi/awal hamil</w:t>
            </w:r>
          </w:p>
        </w:tc>
        <w:tc>
          <w:tcPr>
            <w:tcW w:type="dxa" w:w="335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18,5 – 24,9 kg/m²</w:t>
            </w:r>
          </w:p>
        </w:tc>
        <w:tc>
          <w:tcPr>
            <w:tcW w:type="dxa" w:w="30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Gizi normal</w:t>
            </w:r>
          </w:p>
        </w:tc>
      </w:tr>
      <w:tr>
        <w:tc>
          <w:tcPr>
            <w:tcW w:type="dxa" w:w="30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IMT prakonsepsi/awal hamil</w:t>
            </w:r>
          </w:p>
        </w:tc>
        <w:tc>
          <w:tcPr>
            <w:tcW w:type="dxa" w:w="335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 30 kg/m²</w:t>
            </w:r>
          </w:p>
        </w:tc>
        <w:tc>
          <w:tcPr>
            <w:tcW w:type="dxa" w:w="30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Obesitas gestasional — risiko GDM, preeklamsia</w:t>
            </w:r>
          </w:p>
        </w:tc>
      </w:tr>
      <w:tr>
        <w:tc>
          <w:tcPr>
            <w:tcW w:type="dxa" w:w="30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Lingkar Lengan Atas (LILA)</w:t>
            </w:r>
          </w:p>
        </w:tc>
        <w:tc>
          <w:tcPr>
            <w:tcW w:type="dxa" w:w="335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&lt; 23,5 cm</w:t>
            </w:r>
          </w:p>
        </w:tc>
        <w:tc>
          <w:tcPr>
            <w:tcW w:type="dxa" w:w="30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Risiko Kurang Energi Kronik (KEK)</w:t>
            </w:r>
          </w:p>
        </w:tc>
      </w:tr>
      <w:tr>
        <w:tc>
          <w:tcPr>
            <w:tcW w:type="dxa" w:w="30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Hemoglobin (Hb) — trimester I &amp; III</w:t>
            </w:r>
          </w:p>
        </w:tc>
        <w:tc>
          <w:tcPr>
            <w:tcW w:type="dxa" w:w="335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&lt; 11,0 g/dL</w:t>
            </w:r>
          </w:p>
        </w:tc>
        <w:tc>
          <w:tcPr>
            <w:tcW w:type="dxa" w:w="30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Anemia dalam kehamilan</w:t>
            </w:r>
          </w:p>
        </w:tc>
      </w:tr>
      <w:tr>
        <w:tc>
          <w:tcPr>
            <w:tcW w:type="dxa" w:w="30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Hemoglobin (Hb) — trimester II</w:t>
            </w:r>
          </w:p>
        </w:tc>
        <w:tc>
          <w:tcPr>
            <w:tcW w:type="dxa" w:w="335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&lt; 10,5 g/dL</w:t>
            </w:r>
          </w:p>
        </w:tc>
        <w:tc>
          <w:tcPr>
            <w:tcW w:type="dxa" w:w="30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Anemia dalam kehamilan (hemodilusi fisiologis)</w:t>
            </w:r>
          </w:p>
        </w:tc>
      </w:tr>
      <w:tr>
        <w:tc>
          <w:tcPr>
            <w:tcW w:type="dxa" w:w="30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Albumin serum</w:t>
            </w:r>
          </w:p>
        </w:tc>
        <w:tc>
          <w:tcPr>
            <w:tcW w:type="dxa" w:w="335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&lt; 3,5 g/dL (bila diperiksa pada kasus berat)</w:t>
            </w:r>
          </w:p>
        </w:tc>
        <w:tc>
          <w:tcPr>
            <w:tcW w:type="dxa" w:w="30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Indikasi malnutrisi protein-energi berat</w:t>
            </w:r>
          </w:p>
        </w:tc>
      </w:tr>
    </w:tbl>
    <w:p>
      <w:pPr>
        <w:spacing w:after="120"/>
      </w:pPr>
    </w:p>
    <w:tbl>
      <w:tblPr>
        <w:tblW w:type="dxa" w:w="9350"/>
        <w:tblBorders>
          <w:top w:val="single" w:color="B8862F" w:sz="4"/>
          <w:left w:val="single" w:color="B8862F" w:sz="4"/>
          <w:bottom w:val="single" w:color="B8862F" w:sz="4"/>
          <w:right w:val="single" w:color="B8862F" w:sz="4"/>
          <w:insideH w:val="single" w:color="auto" w:sz="4"/>
          <w:insideV w:val="single" w:color="auto" w:sz="4"/>
        </w:tblBorders>
      </w:tblPr>
      <w:tblGrid>
        <w:gridCol w:w="9350"/>
      </w:tblGrid>
      <w:tr>
        <w:tc>
          <w:tcPr>
            <w:tcW w:type="dxa" w:w="9350"/>
            <w:shd w:fill="FBF6EC" w:val="clear"/>
            <w:tcMar>
              <w:top w:type="dxa" w:w="100"/>
              <w:left w:type="dxa" w:w="150"/>
              <w:bottom w:type="dxa" w:w="100"/>
              <w:right w:type="dxa" w:w="150"/>
            </w:tcMar>
          </w:tcPr>
          <w:p>
            <w:pPr>
              <w:spacing w:after="40"/>
            </w:pPr>
            <w:r>
              <w:rPr>
                <w:b/>
                <w:bCs/>
                <w:color w:val="B8862F"/>
                <w:sz w:val="18"/>
                <w:szCs w:val="18"/>
              </w:rPr>
              <w:t xml:space="preserve">CATATAN AMBANG DIAGNOSTIK</w:t>
            </w:r>
          </w:p>
          <w:p>
            <w:r>
              <w:rPr>
                <w:color w:val="3A3A3A"/>
                <w:sz w:val="19"/>
                <w:szCs w:val="19"/>
              </w:rPr>
              <w:t xml:space="preserve">Ambang LILA &lt;23,5 cm dan Hb &lt;11 g/dL merupakan kriteria skrining status gizi ibu hamil yang wajib diperiksa pada 100% kunjungan sesuai indikator mutu kompetensi terkait; ambang Hb trimester II memperhitungkan hemodilusi fisiologis kehamilan.</w:t>
            </w:r>
          </w:p>
        </w:tc>
      </w:tr>
    </w:tbl>
    <w:p>
      <w:pPr>
        <w:spacing w:after="140"/>
      </w:pPr>
    </w:p>
    <w:p>
      <w:pPr>
        <w:shd w:fill="F3E3E9" w:val="clear"/>
        <w:spacing w:after="60" w:before="120"/>
      </w:pPr>
      <w:r>
        <w:rPr>
          <w:b/>
          <w:bCs/>
          <w:color w:val="7A1F3D"/>
          <w:sz w:val="20"/>
          <w:szCs w:val="20"/>
        </w:rPr>
        <w:t xml:space="preserve">Target Kenaikan Berat Badan Gestasional (Standar Internasional — IOM/National Academy of Medicine 2009)</w:t>
      </w:r>
    </w:p>
    <w:p>
      <w:pPr>
        <w:spacing w:after="100" w:line="264"/>
      </w:pPr>
      <w:r>
        <w:rPr>
          <w:color w:val="3A3A3A"/>
          <w:sz w:val="20"/>
          <w:szCs w:val="20"/>
        </w:rPr>
        <w:t xml:space="preserve">Dipakai sebagai pelengkap kriteria diagnosis untuk memantau adekuasi kenaikan berat badan sepanjang kehamilan, sesuai kategori IMT prakonsepsi:</w:t>
      </w:r>
    </w:p>
    <w:p>
      <w:pPr>
        <w:spacing w:after="8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700"/>
        <w:gridCol w:w="4650"/>
      </w:tblGrid>
      <w:tr>
        <w:trPr>
          <w:tblHeader/>
        </w:trPr>
        <w:tc>
          <w:tcPr>
            <w:tcW w:type="dxa" w:w="4700"/>
            <w:shd w:fill="7A1F3D" w:val="clear"/>
            <w:tcMar>
              <w:top w:type="dxa" w:w="80"/>
              <w:left w:type="dxa" w:w="100"/>
              <w:bottom w:type="dxa" w:w="80"/>
              <w:right w:type="dxa" w:w="100"/>
            </w:tcMar>
            <w:vAlign w:val="center"/>
          </w:tcPr>
          <w:p>
            <w:pPr>
              <w:jc w:val="center"/>
            </w:pPr>
            <w:r>
              <w:rPr>
                <w:b/>
                <w:bCs/>
                <w:color w:val="FFFFFF"/>
                <w:sz w:val="18"/>
                <w:szCs w:val="18"/>
              </w:rPr>
              <w:t xml:space="preserve">Kategori IMT Prakonsepsi</w:t>
            </w:r>
          </w:p>
        </w:tc>
        <w:tc>
          <w:tcPr>
            <w:tcW w:type="dxa" w:w="4650"/>
            <w:shd w:fill="7A1F3D" w:val="clear"/>
            <w:tcMar>
              <w:top w:type="dxa" w:w="80"/>
              <w:left w:type="dxa" w:w="100"/>
              <w:bottom w:type="dxa" w:w="80"/>
              <w:right w:type="dxa" w:w="100"/>
            </w:tcMar>
            <w:vAlign w:val="center"/>
          </w:tcPr>
          <w:p>
            <w:pPr>
              <w:jc w:val="center"/>
            </w:pPr>
            <w:r>
              <w:rPr>
                <w:b/>
                <w:bCs/>
                <w:color w:val="FFFFFF"/>
                <w:sz w:val="18"/>
                <w:szCs w:val="18"/>
              </w:rPr>
              <w:t xml:space="preserve">Total Kenaikan BB Direkomendasikan</w:t>
            </w:r>
          </w:p>
        </w:tc>
      </w:tr>
      <w:tr>
        <w:tc>
          <w:tcPr>
            <w:tcW w:type="dxa" w:w="47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Underweight (&lt;18,5 kg/m²)</w:t>
            </w:r>
          </w:p>
        </w:tc>
        <w:tc>
          <w:tcPr>
            <w:tcW w:type="dxa" w:w="465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12,5 – 18,0 kg</w:t>
            </w:r>
          </w:p>
        </w:tc>
      </w:tr>
      <w:tr>
        <w:tc>
          <w:tcPr>
            <w:tcW w:type="dxa" w:w="47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Normal (18,5 – 24,9 kg/m²)</w:t>
            </w:r>
          </w:p>
        </w:tc>
        <w:tc>
          <w:tcPr>
            <w:tcW w:type="dxa" w:w="465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11,5 – 16,0 kg</w:t>
            </w:r>
          </w:p>
        </w:tc>
      </w:tr>
      <w:tr>
        <w:tc>
          <w:tcPr>
            <w:tcW w:type="dxa" w:w="47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Overweight (25,0 – 29,9 kg/m²)</w:t>
            </w:r>
          </w:p>
        </w:tc>
        <w:tc>
          <w:tcPr>
            <w:tcW w:type="dxa" w:w="465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7,0 – 11,5 kg</w:t>
            </w:r>
          </w:p>
        </w:tc>
      </w:tr>
      <w:tr>
        <w:tc>
          <w:tcPr>
            <w:tcW w:type="dxa" w:w="47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Obesitas (≥30,0 kg/m²)</w:t>
            </w:r>
          </w:p>
        </w:tc>
        <w:tc>
          <w:tcPr>
            <w:tcW w:type="dxa" w:w="465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5,0 – 9,0 kg</w:t>
            </w:r>
          </w:p>
        </w:tc>
      </w:tr>
    </w:tbl>
    <w:p>
      <w:pPr>
        <w:spacing w:after="160"/>
      </w:pPr>
    </w:p>
    <w:p>
      <w:pPr>
        <w:pBdr>
          <w:top w:val="single" w:color="7A1F3D" w:sz="2"/>
          <w:bottom w:val="single" w:color="7A1F3D" w:sz="2"/>
          <w:left w:val="single" w:color="7A1F3D" w:sz="2"/>
          <w:right w:val="single" w:color="7A1F3D" w:sz="2"/>
        </w:pBdr>
        <w:shd w:fill="7A1F3D" w:val="clear"/>
        <w:spacing w:after="0" w:before="240"/>
      </w:pPr>
      <w:r>
        <w:rPr>
          <w:rFonts w:ascii="Calibri" w:cs="Calibri" w:eastAsia="Calibri" w:hAnsi="Calibri"/>
          <w:b/>
          <w:bCs/>
          <w:color w:val="FFFFFF"/>
          <w:sz w:val="22"/>
          <w:szCs w:val="22"/>
        </w:rPr>
        <w:t xml:space="preserve">5. DIAGNOSIS KERJA</w:t>
      </w:r>
    </w:p>
    <w:p>
      <w:pPr>
        <w:spacing w:after="60"/>
      </w:pPr>
    </w:p>
    <w:p>
      <w:pPr>
        <w:spacing w:after="100" w:line="264"/>
      </w:pPr>
      <w:r>
        <w:rPr>
          <w:color w:val="3A3A3A"/>
          <w:sz w:val="20"/>
          <w:szCs w:val="20"/>
        </w:rPr>
        <w:t xml:space="preserve">Diagnosis kerja utama: Malnutrisi pada Kehamilan (O25.0 / JA64), dengan subklasifikasi kerja sesuai temuan:</w:t>
      </w:r>
    </w:p>
    <w:p>
      <w:pPr>
        <w:pStyle w:val="ListParagraph"/>
        <w:numPr>
          <w:ilvl w:val="0"/>
          <w:numId w:val="3"/>
        </w:numPr>
        <w:spacing w:after="60" w:line="258"/>
      </w:pPr>
      <w:r>
        <w:rPr>
          <w:color w:val="3A3A3A"/>
          <w:sz w:val="20"/>
          <w:szCs w:val="20"/>
        </w:rPr>
        <w:t xml:space="preserve">Kurang Energi Kronik (KEK) pada kehamilan — LILA &lt;23,5 cm.</w:t>
      </w:r>
    </w:p>
    <w:p>
      <w:pPr>
        <w:pStyle w:val="ListParagraph"/>
        <w:numPr>
          <w:ilvl w:val="0"/>
          <w:numId w:val="3"/>
        </w:numPr>
        <w:spacing w:after="60" w:line="258"/>
      </w:pPr>
      <w:r>
        <w:rPr>
          <w:color w:val="3A3A3A"/>
          <w:sz w:val="20"/>
          <w:szCs w:val="20"/>
        </w:rPr>
        <w:t xml:space="preserve">Anemia defisiensi besi dalam kehamilan — Hb di bawah ambang trimester terkait.</w:t>
      </w:r>
    </w:p>
    <w:p>
      <w:pPr>
        <w:pStyle w:val="ListParagraph"/>
        <w:numPr>
          <w:ilvl w:val="0"/>
          <w:numId w:val="3"/>
        </w:numPr>
        <w:spacing w:after="60" w:line="258"/>
      </w:pPr>
      <w:r>
        <w:rPr>
          <w:color w:val="3A3A3A"/>
          <w:sz w:val="20"/>
          <w:szCs w:val="20"/>
        </w:rPr>
        <w:t xml:space="preserve">Defisiensi mikronutrien spesifik (asam folat, kalsium, vitamin D, iodium) berdasarkan riwayat/tanda klinis.</w:t>
      </w:r>
    </w:p>
    <w:p>
      <w:pPr>
        <w:pStyle w:val="ListParagraph"/>
        <w:numPr>
          <w:ilvl w:val="0"/>
          <w:numId w:val="3"/>
        </w:numPr>
        <w:spacing w:after="60" w:line="258"/>
      </w:pPr>
      <w:r>
        <w:rPr>
          <w:color w:val="3A3A3A"/>
          <w:sz w:val="20"/>
          <w:szCs w:val="20"/>
        </w:rPr>
        <w:t xml:space="preserve">Obesitas gestasional — IMT ≥30 kg/m², dengan skrining risiko diabetes gestasional dan preeklamsia.</w:t>
      </w:r>
    </w:p>
    <w:p>
      <w:pPr>
        <w:pStyle w:val="ListParagraph"/>
        <w:numPr>
          <w:ilvl w:val="0"/>
          <w:numId w:val="3"/>
        </w:numPr>
        <w:spacing w:after="60" w:line="258"/>
      </w:pPr>
      <w:r>
        <w:rPr>
          <w:color w:val="3A3A3A"/>
          <w:sz w:val="20"/>
          <w:szCs w:val="20"/>
        </w:rPr>
        <w:t xml:space="preserve">Malnutrisi prakonsepsi pada perempuan usia reproduksi yang merencanakan kehamilan (preconception nutritional risk).</w:t>
      </w:r>
    </w:p>
    <w:p>
      <w:pPr>
        <w:spacing w:after="160"/>
      </w:pPr>
    </w:p>
    <w:p>
      <w:pPr>
        <w:pBdr>
          <w:top w:val="single" w:color="7A1F3D" w:sz="2"/>
          <w:bottom w:val="single" w:color="7A1F3D" w:sz="2"/>
          <w:left w:val="single" w:color="7A1F3D" w:sz="2"/>
          <w:right w:val="single" w:color="7A1F3D" w:sz="2"/>
        </w:pBdr>
        <w:shd w:fill="7A1F3D" w:val="clear"/>
        <w:spacing w:after="0" w:before="240"/>
      </w:pPr>
      <w:r>
        <w:rPr>
          <w:rFonts w:ascii="Calibri" w:cs="Calibri" w:eastAsia="Calibri" w:hAnsi="Calibri"/>
          <w:b/>
          <w:bCs/>
          <w:color w:val="FFFFFF"/>
          <w:sz w:val="22"/>
          <w:szCs w:val="22"/>
        </w:rPr>
        <w:t xml:space="preserve">6. DIAGNOSIS BANDING</w:t>
      </w:r>
    </w:p>
    <w:p>
      <w:pPr>
        <w:spacing w:after="60"/>
      </w:pPr>
    </w:p>
    <w:p>
      <w:pPr>
        <w:pStyle w:val="ListParagraph"/>
        <w:numPr>
          <w:ilvl w:val="0"/>
          <w:numId w:val="2"/>
        </w:numPr>
        <w:spacing w:after="60" w:line="258"/>
      </w:pPr>
      <w:r>
        <w:rPr>
          <w:color w:val="3A3A3A"/>
          <w:sz w:val="20"/>
          <w:szCs w:val="20"/>
        </w:rPr>
        <w:t xml:space="preserve">Hiperemesis gravidarum (penurunan berat badan akut, ketonuria) — dibedakan dari malnutrisi kronik berbasis onset dan derajat dehidrasi.</w:t>
      </w:r>
    </w:p>
    <w:p>
      <w:pPr>
        <w:pStyle w:val="ListParagraph"/>
        <w:numPr>
          <w:ilvl w:val="0"/>
          <w:numId w:val="2"/>
        </w:numPr>
        <w:spacing w:after="60" w:line="258"/>
      </w:pPr>
      <w:r>
        <w:rPr>
          <w:color w:val="3A3A3A"/>
          <w:sz w:val="20"/>
          <w:szCs w:val="20"/>
        </w:rPr>
        <w:t xml:space="preserve">Anemia akibat hemoglobinopati (talasemia, penyakit sel sabit) atau penyakit kronik (bukan defisiensi besi murni) — memerlukan elektroforesis Hb bila indeks eritrosit tidak sesuai profil defisiensi besi.</w:t>
      </w:r>
    </w:p>
    <w:p>
      <w:pPr>
        <w:pStyle w:val="ListParagraph"/>
        <w:numPr>
          <w:ilvl w:val="0"/>
          <w:numId w:val="2"/>
        </w:numPr>
        <w:spacing w:after="60" w:line="258"/>
      </w:pPr>
      <w:r>
        <w:rPr>
          <w:color w:val="3A3A3A"/>
          <w:sz w:val="20"/>
          <w:szCs w:val="20"/>
        </w:rPr>
        <w:t xml:space="preserve">Gangguan tiroid (hipertiroid/hipotiroid) yang menyerupai gambaran penurunan/kenaikan berat badan abnormal.</w:t>
      </w:r>
    </w:p>
    <w:p>
      <w:pPr>
        <w:pStyle w:val="ListParagraph"/>
        <w:numPr>
          <w:ilvl w:val="0"/>
          <w:numId w:val="2"/>
        </w:numPr>
        <w:spacing w:after="60" w:line="258"/>
      </w:pPr>
      <w:r>
        <w:rPr>
          <w:color w:val="3A3A3A"/>
          <w:sz w:val="20"/>
          <w:szCs w:val="20"/>
        </w:rPr>
        <w:t xml:space="preserve">Penyakit kronik penyerta (tuberkulosis, HIV, penyakit ginjal kronik, keganasan) sebagai penyebab wasting sekunder yang memerlukan tata laksana penyakit dasar bersamaan.</w:t>
      </w:r>
    </w:p>
    <w:p>
      <w:pPr>
        <w:pStyle w:val="ListParagraph"/>
        <w:numPr>
          <w:ilvl w:val="0"/>
          <w:numId w:val="2"/>
        </w:numPr>
        <w:spacing w:after="60" w:line="258"/>
      </w:pPr>
      <w:r>
        <w:rPr>
          <w:color w:val="3A3A3A"/>
          <w:sz w:val="20"/>
          <w:szCs w:val="20"/>
        </w:rPr>
        <w:t xml:space="preserve">Edema fisiologis kehamilan vs edema akibat hipoalbuminemia berat pada malnutrisi protein-energi.</w:t>
      </w:r>
    </w:p>
    <w:p>
      <w:pPr>
        <w:spacing w:after="160"/>
      </w:pPr>
    </w:p>
    <w:p>
      <w:pPr>
        <w:pBdr>
          <w:top w:val="single" w:color="7A1F3D" w:sz="2"/>
          <w:bottom w:val="single" w:color="7A1F3D" w:sz="2"/>
          <w:left w:val="single" w:color="7A1F3D" w:sz="2"/>
          <w:right w:val="single" w:color="7A1F3D" w:sz="2"/>
        </w:pBdr>
        <w:shd w:fill="7A1F3D" w:val="clear"/>
        <w:spacing w:after="0" w:before="240"/>
      </w:pPr>
      <w:r>
        <w:rPr>
          <w:rFonts w:ascii="Calibri" w:cs="Calibri" w:eastAsia="Calibri" w:hAnsi="Calibri"/>
          <w:b/>
          <w:bCs/>
          <w:color w:val="FFFFFF"/>
          <w:sz w:val="22"/>
          <w:szCs w:val="22"/>
        </w:rPr>
        <w:t xml:space="preserve">7. PEMERIKSAAN PENUNJANG</w:t>
      </w:r>
    </w:p>
    <w:p>
      <w:pPr>
        <w:spacing w:after="6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200"/>
        <w:gridCol w:w="5150"/>
      </w:tblGrid>
      <w:tr>
        <w:trPr>
          <w:tblHeader/>
        </w:trPr>
        <w:tc>
          <w:tcPr>
            <w:tcW w:type="dxa" w:w="4200"/>
            <w:shd w:fill="7A1F3D" w:val="clear"/>
            <w:tcMar>
              <w:top w:type="dxa" w:w="80"/>
              <w:left w:type="dxa" w:w="100"/>
              <w:bottom w:type="dxa" w:w="80"/>
              <w:right w:type="dxa" w:w="100"/>
            </w:tcMar>
            <w:vAlign w:val="center"/>
          </w:tcPr>
          <w:p>
            <w:pPr>
              <w:jc w:val="center"/>
            </w:pPr>
            <w:r>
              <w:rPr>
                <w:b/>
                <w:bCs/>
                <w:color w:val="FFFFFF"/>
                <w:sz w:val="18"/>
                <w:szCs w:val="18"/>
              </w:rPr>
              <w:t xml:space="preserve">Pemeriksaan</w:t>
            </w:r>
          </w:p>
        </w:tc>
        <w:tc>
          <w:tcPr>
            <w:tcW w:type="dxa" w:w="5150"/>
            <w:shd w:fill="7A1F3D" w:val="clear"/>
            <w:tcMar>
              <w:top w:type="dxa" w:w="80"/>
              <w:left w:type="dxa" w:w="100"/>
              <w:bottom w:type="dxa" w:w="80"/>
              <w:right w:type="dxa" w:w="100"/>
            </w:tcMar>
            <w:vAlign w:val="center"/>
          </w:tcPr>
          <w:p>
            <w:pPr>
              <w:jc w:val="center"/>
            </w:pPr>
            <w:r>
              <w:rPr>
                <w:b/>
                <w:bCs/>
                <w:color w:val="FFFFFF"/>
                <w:sz w:val="18"/>
                <w:szCs w:val="18"/>
              </w:rPr>
              <w:t xml:space="preserve">Indikasi</w:t>
            </w:r>
          </w:p>
        </w:tc>
      </w:tr>
      <w:tr>
        <w:tc>
          <w:tcPr>
            <w:tcW w:type="dxa" w:w="42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Darah perifer lengkap + indeks eritrosit</w:t>
            </w:r>
          </w:p>
        </w:tc>
        <w:tc>
          <w:tcPr>
            <w:tcW w:type="dxa" w:w="515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Skrining awal anemia pada seluruh ibu hamil</w:t>
            </w:r>
          </w:p>
        </w:tc>
      </w:tr>
      <w:tr>
        <w:tc>
          <w:tcPr>
            <w:tcW w:type="dxa" w:w="42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Feritin serum</w:t>
            </w:r>
          </w:p>
        </w:tc>
        <w:tc>
          <w:tcPr>
            <w:tcW w:type="dxa" w:w="515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Konfirmasi defisiensi besi bila anemia tidak respons terapi awal</w:t>
            </w:r>
          </w:p>
        </w:tc>
      </w:tr>
      <w:tr>
        <w:tc>
          <w:tcPr>
            <w:tcW w:type="dxa" w:w="42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Gula darah puasa/OGTT</w:t>
            </w:r>
          </w:p>
        </w:tc>
        <w:tc>
          <w:tcPr>
            <w:tcW w:type="dxa" w:w="515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Skrining diabetes gestasional pada obesitas gestasional (IMT ≥30)</w:t>
            </w:r>
          </w:p>
        </w:tc>
      </w:tr>
      <w:tr>
        <w:tc>
          <w:tcPr>
            <w:tcW w:type="dxa" w:w="42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Albumin serum</w:t>
            </w:r>
          </w:p>
        </w:tc>
        <w:tc>
          <w:tcPr>
            <w:tcW w:type="dxa" w:w="515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Kasus dengan kecurigaan malnutrisi protein-energi berat</w:t>
            </w:r>
          </w:p>
        </w:tc>
      </w:tr>
      <w:tr>
        <w:tc>
          <w:tcPr>
            <w:tcW w:type="dxa" w:w="42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Elektroforesis hemoglobin</w:t>
            </w:r>
          </w:p>
        </w:tc>
        <w:tc>
          <w:tcPr>
            <w:tcW w:type="dxa" w:w="515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Anemia tidak respons terapi besi, kecurigaan hemoglobinopati</w:t>
            </w:r>
          </w:p>
        </w:tc>
      </w:tr>
      <w:tr>
        <w:tc>
          <w:tcPr>
            <w:tcW w:type="dxa" w:w="42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USG obstetri (biometri janin)</w:t>
            </w:r>
          </w:p>
        </w:tc>
        <w:tc>
          <w:tcPr>
            <w:tcW w:type="dxa" w:w="515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Skrining gangguan pertumbuhan janin pada ibu dengan status gizi bermasalah</w:t>
            </w:r>
          </w:p>
        </w:tc>
      </w:tr>
      <w:tr>
        <w:tc>
          <w:tcPr>
            <w:tcW w:type="dxa" w:w="42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Kadar vitamin D, kalsium (bila fasilitas tersedia)</w:t>
            </w:r>
          </w:p>
        </w:tc>
        <w:tc>
          <w:tcPr>
            <w:tcW w:type="dxa" w:w="515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Kasus berisiko tinggi/gejala defisiensi spesifik</w:t>
            </w:r>
          </w:p>
        </w:tc>
      </w:tr>
    </w:tbl>
    <w:p>
      <w:pPr>
        <w:spacing w:after="160"/>
      </w:pPr>
    </w:p>
    <w:p>
      <w:pPr>
        <w:pBdr>
          <w:top w:val="single" w:color="7A1F3D" w:sz="2"/>
          <w:bottom w:val="single" w:color="7A1F3D" w:sz="2"/>
          <w:left w:val="single" w:color="7A1F3D" w:sz="2"/>
          <w:right w:val="single" w:color="7A1F3D" w:sz="2"/>
        </w:pBdr>
        <w:shd w:fill="7A1F3D" w:val="clear"/>
        <w:spacing w:after="0" w:before="240"/>
      </w:pPr>
      <w:r>
        <w:rPr>
          <w:rFonts w:ascii="Calibri" w:cs="Calibri" w:eastAsia="Calibri" w:hAnsi="Calibri"/>
          <w:b/>
          <w:bCs/>
          <w:color w:val="FFFFFF"/>
          <w:sz w:val="22"/>
          <w:szCs w:val="22"/>
        </w:rPr>
        <w:t xml:space="preserve">8. TATA LAKSANA (TERAPI)</w:t>
      </w:r>
    </w:p>
    <w:p>
      <w:pPr>
        <w:spacing w:after="80"/>
      </w:pPr>
    </w:p>
    <w:p>
      <w:pPr>
        <w:spacing w:after="100" w:line="264"/>
      </w:pPr>
      <w:r>
        <w:rPr>
          <w:color w:val="3A3A3A"/>
          <w:sz w:val="20"/>
          <w:szCs w:val="20"/>
        </w:rPr>
        <w:t xml:space="preserve">Alur tata laksana melibatkan lebih dari dua langkah keputusan dan disajikan sebagai diagram alur berikut, sesuai rekomendasi WHO Antenatal Care 2016 (bab Intervensi Nutrisi) serta indikator kompetensi Subspesialis Obginsos.</w:t>
      </w:r>
    </w:p>
    <w:p>
      <w:pPr>
        <w:spacing w:after="1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8650"/>
      </w:tblGrid>
      <w:tr>
        <w:tc>
          <w:tcPr>
            <w:tcW w:type="dxa" w:w="700"/>
            <w:shd w:fill="7A1F3D" w:val="clear"/>
            <w:tcMar>
              <w:top w:type="dxa" w:w="100"/>
              <w:left w:type="dxa" w:w="60"/>
              <w:bottom w:type="dxa" w:w="100"/>
              <w:right w:type="dxa" w:w="60"/>
            </w:tcMar>
            <w:vAlign w:val="center"/>
          </w:tcPr>
          <w:p>
            <w:pPr>
              <w:jc w:val="center"/>
            </w:pPr>
            <w:r>
              <w:rPr>
                <w:b/>
                <w:bCs/>
                <w:color w:val="FFFFFF"/>
                <w:sz w:val="24"/>
                <w:szCs w:val="24"/>
              </w:rPr>
              <w:t xml:space="preserve">1</w:t>
            </w:r>
          </w:p>
        </w:tc>
        <w:tc>
          <w:tcPr>
            <w:tcW w:type="dxa" w:w="8650"/>
            <w:shd w:fill="FBF3F6" w:val="clear"/>
            <w:tcMar>
              <w:top w:type="dxa" w:w="100"/>
              <w:left w:type="dxa" w:w="150"/>
              <w:bottom w:type="dxa" w:w="100"/>
              <w:right w:type="dxa" w:w="150"/>
            </w:tcMar>
          </w:tcPr>
          <w:p>
            <w:pPr>
              <w:spacing w:after="40"/>
            </w:pPr>
            <w:r>
              <w:rPr>
                <w:b/>
                <w:bCs/>
                <w:color w:val="7A1F3D"/>
                <w:sz w:val="20"/>
                <w:szCs w:val="20"/>
              </w:rPr>
              <w:t xml:space="preserve">Skrining Status Gizi (Seluruh Ibu Hamil/Prakonsepsi)</w:t>
            </w:r>
          </w:p>
          <w:p>
            <w:r>
              <w:rPr>
                <w:color w:val="3A3A3A"/>
                <w:sz w:val="19"/>
                <w:szCs w:val="19"/>
              </w:rPr>
              <w:t xml:space="preserve">IMT, LILA, dan Hb diperiksa pada kunjungan awal. Target indikator mutu: 100% ibu hamil diskrining status gizi.</w:t>
            </w:r>
          </w:p>
        </w:tc>
      </w:tr>
    </w:tbl>
    <w:p>
      <w:pPr>
        <w:spacing w:after="20" w:before="20"/>
        <w:jc w:val="center"/>
      </w:pPr>
      <w:r>
        <w:rPr>
          <w:b/>
          <w:bCs/>
          <w:color w:val="7A1F3D"/>
          <w:sz w:val="28"/>
          <w:szCs w:val="28"/>
        </w:rPr>
        <w:t xml:space="preserv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8650"/>
      </w:tblGrid>
      <w:tr>
        <w:tc>
          <w:tcPr>
            <w:tcW w:type="dxa" w:w="700"/>
            <w:shd w:fill="7A1F3D" w:val="clear"/>
            <w:tcMar>
              <w:top w:type="dxa" w:w="100"/>
              <w:left w:type="dxa" w:w="60"/>
              <w:bottom w:type="dxa" w:w="100"/>
              <w:right w:type="dxa" w:w="60"/>
            </w:tcMar>
            <w:vAlign w:val="center"/>
          </w:tcPr>
          <w:p>
            <w:pPr>
              <w:jc w:val="center"/>
            </w:pPr>
            <w:r>
              <w:rPr>
                <w:b/>
                <w:bCs/>
                <w:color w:val="FFFFFF"/>
                <w:sz w:val="24"/>
                <w:szCs w:val="24"/>
              </w:rPr>
              <w:t xml:space="preserve">2</w:t>
            </w:r>
          </w:p>
        </w:tc>
        <w:tc>
          <w:tcPr>
            <w:tcW w:type="dxa" w:w="8650"/>
            <w:shd w:fill="FBF3F6" w:val="clear"/>
            <w:tcMar>
              <w:top w:type="dxa" w:w="100"/>
              <w:left w:type="dxa" w:w="150"/>
              <w:bottom w:type="dxa" w:w="100"/>
              <w:right w:type="dxa" w:w="150"/>
            </w:tcMar>
          </w:tcPr>
          <w:p>
            <w:pPr>
              <w:spacing w:after="40"/>
            </w:pPr>
            <w:r>
              <w:rPr>
                <w:b/>
                <w:bCs/>
                <w:color w:val="7A1F3D"/>
                <w:sz w:val="20"/>
                <w:szCs w:val="20"/>
              </w:rPr>
              <w:t xml:space="preserve">Stratifikasi Risiko</w:t>
            </w:r>
          </w:p>
          <w:p>
            <w:r>
              <w:rPr>
                <w:color w:val="3A3A3A"/>
                <w:sz w:val="19"/>
                <w:szCs w:val="19"/>
              </w:rPr>
              <w:t xml:space="preserve">Kategorikan menjadi: gizi normal → edukasi rutin; berisiko (KEK/anemia ringan-sedang/obesitas tanpa komplikasi) → intervensi terstandar; berat (albumin rendah, anemia berat Hb&lt;7 g/dL, obesitas dengan komplikasi) → rujukan kolaboratif.</w:t>
            </w:r>
          </w:p>
        </w:tc>
      </w:tr>
    </w:tbl>
    <w:p>
      <w:pPr>
        <w:spacing w:after="20" w:before="20"/>
        <w:jc w:val="center"/>
      </w:pPr>
      <w:r>
        <w:rPr>
          <w:b/>
          <w:bCs/>
          <w:color w:val="7A1F3D"/>
          <w:sz w:val="28"/>
          <w:szCs w:val="28"/>
        </w:rPr>
        <w:t xml:space="preserv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8650"/>
      </w:tblGrid>
      <w:tr>
        <w:tc>
          <w:tcPr>
            <w:tcW w:type="dxa" w:w="700"/>
            <w:shd w:fill="7A1F3D" w:val="clear"/>
            <w:tcMar>
              <w:top w:type="dxa" w:w="100"/>
              <w:left w:type="dxa" w:w="60"/>
              <w:bottom w:type="dxa" w:w="100"/>
              <w:right w:type="dxa" w:w="60"/>
            </w:tcMar>
            <w:vAlign w:val="center"/>
          </w:tcPr>
          <w:p>
            <w:pPr>
              <w:jc w:val="center"/>
            </w:pPr>
            <w:r>
              <w:rPr>
                <w:b/>
                <w:bCs/>
                <w:color w:val="FFFFFF"/>
                <w:sz w:val="24"/>
                <w:szCs w:val="24"/>
              </w:rPr>
              <w:t xml:space="preserve">3</w:t>
            </w:r>
          </w:p>
        </w:tc>
        <w:tc>
          <w:tcPr>
            <w:tcW w:type="dxa" w:w="8650"/>
            <w:shd w:fill="FBF3F6" w:val="clear"/>
            <w:tcMar>
              <w:top w:type="dxa" w:w="100"/>
              <w:left w:type="dxa" w:w="150"/>
              <w:bottom w:type="dxa" w:w="100"/>
              <w:right w:type="dxa" w:w="150"/>
            </w:tcMar>
          </w:tcPr>
          <w:p>
            <w:pPr>
              <w:spacing w:after="40"/>
            </w:pPr>
            <w:r>
              <w:rPr>
                <w:b/>
                <w:bCs/>
                <w:color w:val="7A1F3D"/>
                <w:sz w:val="20"/>
                <w:szCs w:val="20"/>
              </w:rPr>
              <w:t xml:space="preserve">Intervensi Gizi Terstandar</w:t>
            </w:r>
          </w:p>
          <w:p>
            <w:r>
              <w:rPr>
                <w:color w:val="3A3A3A"/>
                <w:sz w:val="19"/>
                <w:szCs w:val="19"/>
              </w:rPr>
              <w:t xml:space="preserve">Suplementasi besi-asam folat 30–60 mg elemental besi + 400 µg asam folat per hari sepanjang kehamilan (dosis 60 mg pada wilayah prevalensi anemia tinggi, minimal 90 tablet selama kehamilan sesuai standar 10T Kemenkes RI); kalsium elemental 1,5–2,0 g/hari mulai usia kehamilan 20 minggu untuk pencegahan preeklamsia; suplementasi vitamin D dan iodium sesuai kebutuhan wilayah endemis defisiensi.</w:t>
            </w:r>
          </w:p>
        </w:tc>
      </w:tr>
    </w:tbl>
    <w:p>
      <w:pPr>
        <w:spacing w:after="20" w:before="20"/>
        <w:jc w:val="center"/>
      </w:pPr>
      <w:r>
        <w:rPr>
          <w:b/>
          <w:bCs/>
          <w:color w:val="7A1F3D"/>
          <w:sz w:val="28"/>
          <w:szCs w:val="28"/>
        </w:rPr>
        <w:t xml:space="preserv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8650"/>
      </w:tblGrid>
      <w:tr>
        <w:tc>
          <w:tcPr>
            <w:tcW w:type="dxa" w:w="700"/>
            <w:shd w:fill="7A1F3D" w:val="clear"/>
            <w:tcMar>
              <w:top w:type="dxa" w:w="100"/>
              <w:left w:type="dxa" w:w="60"/>
              <w:bottom w:type="dxa" w:w="100"/>
              <w:right w:type="dxa" w:w="60"/>
            </w:tcMar>
            <w:vAlign w:val="center"/>
          </w:tcPr>
          <w:p>
            <w:pPr>
              <w:jc w:val="center"/>
            </w:pPr>
            <w:r>
              <w:rPr>
                <w:b/>
                <w:bCs/>
                <w:color w:val="FFFFFF"/>
                <w:sz w:val="24"/>
                <w:szCs w:val="24"/>
              </w:rPr>
              <w:t xml:space="preserve">4</w:t>
            </w:r>
          </w:p>
        </w:tc>
        <w:tc>
          <w:tcPr>
            <w:tcW w:type="dxa" w:w="8650"/>
            <w:shd w:fill="FBF3F6" w:val="clear"/>
            <w:tcMar>
              <w:top w:type="dxa" w:w="100"/>
              <w:left w:type="dxa" w:w="150"/>
              <w:bottom w:type="dxa" w:w="100"/>
              <w:right w:type="dxa" w:w="150"/>
            </w:tcMar>
          </w:tcPr>
          <w:p>
            <w:pPr>
              <w:spacing w:after="40"/>
            </w:pPr>
            <w:r>
              <w:rPr>
                <w:b/>
                <w:bCs/>
                <w:color w:val="7A1F3D"/>
                <w:sz w:val="20"/>
                <w:szCs w:val="20"/>
              </w:rPr>
              <w:t xml:space="preserve">Terapi Anemia Bila Terkonfirmasi</w:t>
            </w:r>
          </w:p>
          <w:p>
            <w:r>
              <w:rPr>
                <w:color w:val="3A3A3A"/>
                <w:sz w:val="19"/>
                <w:szCs w:val="19"/>
              </w:rPr>
              <w:t xml:space="preserve">Anemia terkonfirmasi (Hb di bawah ambang): besi elemental dosis terapi 120 mg/hari + asam folat 400 µg/hari hingga Hb normal, dilanjutkan dosis pencegahan standar. Evaluasi ulang Hb pada kunjungan berikutnya.</w:t>
            </w:r>
          </w:p>
        </w:tc>
      </w:tr>
    </w:tbl>
    <w:p>
      <w:pPr>
        <w:spacing w:after="20" w:before="20"/>
        <w:jc w:val="center"/>
      </w:pPr>
      <w:r>
        <w:rPr>
          <w:b/>
          <w:bCs/>
          <w:color w:val="7A1F3D"/>
          <w:sz w:val="28"/>
          <w:szCs w:val="28"/>
        </w:rPr>
        <w:t xml:space="preserv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8650"/>
      </w:tblGrid>
      <w:tr>
        <w:tc>
          <w:tcPr>
            <w:tcW w:type="dxa" w:w="700"/>
            <w:shd w:fill="7A1F3D" w:val="clear"/>
            <w:tcMar>
              <w:top w:type="dxa" w:w="100"/>
              <w:left w:type="dxa" w:w="60"/>
              <w:bottom w:type="dxa" w:w="100"/>
              <w:right w:type="dxa" w:w="60"/>
            </w:tcMar>
            <w:vAlign w:val="center"/>
          </w:tcPr>
          <w:p>
            <w:pPr>
              <w:jc w:val="center"/>
            </w:pPr>
            <w:r>
              <w:rPr>
                <w:b/>
                <w:bCs/>
                <w:color w:val="FFFFFF"/>
                <w:sz w:val="24"/>
                <w:szCs w:val="24"/>
              </w:rPr>
              <w:t xml:space="preserve">5</w:t>
            </w:r>
          </w:p>
        </w:tc>
        <w:tc>
          <w:tcPr>
            <w:tcW w:type="dxa" w:w="8650"/>
            <w:shd w:fill="FBF3F6" w:val="clear"/>
            <w:tcMar>
              <w:top w:type="dxa" w:w="100"/>
              <w:left w:type="dxa" w:w="150"/>
              <w:bottom w:type="dxa" w:w="100"/>
              <w:right w:type="dxa" w:w="150"/>
            </w:tcMar>
          </w:tcPr>
          <w:p>
            <w:pPr>
              <w:spacing w:after="40"/>
            </w:pPr>
            <w:r>
              <w:rPr>
                <w:b/>
                <w:bCs/>
                <w:color w:val="7A1F3D"/>
                <w:sz w:val="20"/>
                <w:szCs w:val="20"/>
              </w:rPr>
              <w:t xml:space="preserve">Kolaborasi Multidisiplin (Kasus Berat/Kompleks)</w:t>
            </w:r>
          </w:p>
          <w:p>
            <w:r>
              <w:rPr>
                <w:color w:val="3A3A3A"/>
                <w:sz w:val="19"/>
                <w:szCs w:val="19"/>
              </w:rPr>
              <w:t xml:space="preserve">Rujukan wajib ke ahli gizi klinik pada seluruh kasus berat (malnutrisi protein-energi, KEK berat, obesitas dengan komplikasi metabolik); kolaborasi dengan Spesialis Penyakit Dalam bila terdapat penyakit kronik penyerta yang mendasari.</w:t>
            </w:r>
          </w:p>
        </w:tc>
      </w:tr>
    </w:tbl>
    <w:p>
      <w:pPr>
        <w:spacing w:after="20" w:before="20"/>
        <w:jc w:val="center"/>
      </w:pPr>
      <w:r>
        <w:rPr>
          <w:b/>
          <w:bCs/>
          <w:color w:val="7A1F3D"/>
          <w:sz w:val="28"/>
          <w:szCs w:val="28"/>
        </w:rPr>
        <w:t xml:space="preserv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8650"/>
      </w:tblGrid>
      <w:tr>
        <w:tc>
          <w:tcPr>
            <w:tcW w:type="dxa" w:w="700"/>
            <w:shd w:fill="7A1F3D" w:val="clear"/>
            <w:tcMar>
              <w:top w:type="dxa" w:w="100"/>
              <w:left w:type="dxa" w:w="60"/>
              <w:bottom w:type="dxa" w:w="100"/>
              <w:right w:type="dxa" w:w="60"/>
            </w:tcMar>
            <w:vAlign w:val="center"/>
          </w:tcPr>
          <w:p>
            <w:pPr>
              <w:jc w:val="center"/>
            </w:pPr>
            <w:r>
              <w:rPr>
                <w:b/>
                <w:bCs/>
                <w:color w:val="FFFFFF"/>
                <w:sz w:val="24"/>
                <w:szCs w:val="24"/>
              </w:rPr>
              <w:t xml:space="preserve">6</w:t>
            </w:r>
          </w:p>
        </w:tc>
        <w:tc>
          <w:tcPr>
            <w:tcW w:type="dxa" w:w="8650"/>
            <w:shd w:fill="FBF3F6" w:val="clear"/>
            <w:tcMar>
              <w:top w:type="dxa" w:w="100"/>
              <w:left w:type="dxa" w:w="150"/>
              <w:bottom w:type="dxa" w:w="100"/>
              <w:right w:type="dxa" w:w="150"/>
            </w:tcMar>
          </w:tcPr>
          <w:p>
            <w:pPr>
              <w:spacing w:after="40"/>
            </w:pPr>
            <w:r>
              <w:rPr>
                <w:b/>
                <w:bCs/>
                <w:color w:val="7A1F3D"/>
                <w:sz w:val="20"/>
                <w:szCs w:val="20"/>
              </w:rPr>
              <w:t xml:space="preserve">Konseling, Edukasi, dan Advokasi Sistem</w:t>
            </w:r>
          </w:p>
          <w:p>
            <w:r>
              <w:rPr>
                <w:color w:val="3A3A3A"/>
                <w:sz w:val="19"/>
                <w:szCs w:val="19"/>
              </w:rPr>
              <w:t xml:space="preserve">Konseling gizi individual, edukasi pola makan seimbang, serta — sesuai kompetensi tingkat lanjut — advokasi program gizi ibu hamil dan penguatan jejaring rujukan gizi di tingkat institusi/wilayah.</w:t>
            </w:r>
          </w:p>
        </w:tc>
      </w:tr>
    </w:tbl>
    <w:p>
      <w:pPr>
        <w:spacing w:after="20" w:before="20"/>
        <w:jc w:val="center"/>
      </w:pPr>
      <w:r>
        <w:rPr>
          <w:b/>
          <w:bCs/>
          <w:color w:val="7A1F3D"/>
          <w:sz w:val="28"/>
          <w:szCs w:val="28"/>
        </w:rPr>
        <w:t xml:space="preserv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8650"/>
      </w:tblGrid>
      <w:tr>
        <w:tc>
          <w:tcPr>
            <w:tcW w:type="dxa" w:w="700"/>
            <w:shd w:fill="7A1F3D" w:val="clear"/>
            <w:tcMar>
              <w:top w:type="dxa" w:w="100"/>
              <w:left w:type="dxa" w:w="60"/>
              <w:bottom w:type="dxa" w:w="100"/>
              <w:right w:type="dxa" w:w="60"/>
            </w:tcMar>
            <w:vAlign w:val="center"/>
          </w:tcPr>
          <w:p>
            <w:pPr>
              <w:jc w:val="center"/>
            </w:pPr>
            <w:r>
              <w:rPr>
                <w:b/>
                <w:bCs/>
                <w:color w:val="FFFFFF"/>
                <w:sz w:val="24"/>
                <w:szCs w:val="24"/>
              </w:rPr>
              <w:t xml:space="preserve">7</w:t>
            </w:r>
          </w:p>
        </w:tc>
        <w:tc>
          <w:tcPr>
            <w:tcW w:type="dxa" w:w="8650"/>
            <w:shd w:fill="FBF3F6" w:val="clear"/>
            <w:tcMar>
              <w:top w:type="dxa" w:w="100"/>
              <w:left w:type="dxa" w:w="150"/>
              <w:bottom w:type="dxa" w:w="100"/>
              <w:right w:type="dxa" w:w="150"/>
            </w:tcMar>
          </w:tcPr>
          <w:p>
            <w:pPr>
              <w:spacing w:after="40"/>
            </w:pPr>
            <w:r>
              <w:rPr>
                <w:b/>
                <w:bCs/>
                <w:color w:val="7A1F3D"/>
                <w:sz w:val="20"/>
                <w:szCs w:val="20"/>
              </w:rPr>
              <w:t xml:space="preserve">Kelanjutan Tata Laksana Gizi pada Masa Nifas</w:t>
            </w:r>
          </w:p>
          <w:p>
            <w:r>
              <w:rPr>
                <w:color w:val="3A3A3A"/>
                <w:sz w:val="19"/>
                <w:szCs w:val="19"/>
              </w:rPr>
              <w:t xml:space="preserve">Skrining status gizi diulang dan suplementasi besi-kalsium dilanjutkan pada kontak pascasalin terstruktur (24 jam, hari ke-3, hari ke-7–14, minggu ke-6) sesuai WHO Postnatal Care Guideline 2022. Dukungan laktasi diberikan mengacu Ten Steps to Successful Breastfeeding (WHO/UNICEF, revisi 2018): inisiasi menyusu dini dan kontak kulit-ke-kulit segera pascasalin, edukasi manajemen laktasi, serta pemantauan keterkaitan status gizi ibu—produksi ASI—pertumbuhan bayi.</w:t>
            </w:r>
          </w:p>
        </w:tc>
      </w:tr>
    </w:tbl>
    <w:p>
      <w:pPr>
        <w:spacing w:after="20" w:before="20"/>
        <w:jc w:val="center"/>
      </w:pPr>
      <w:r>
        <w:rPr>
          <w:b/>
          <w:bCs/>
          <w:color w:val="7A1F3D"/>
          <w:sz w:val="28"/>
          <w:szCs w:val="28"/>
        </w:rPr>
        <w:t xml:space="preserv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700"/>
        <w:gridCol w:w="8650"/>
      </w:tblGrid>
      <w:tr>
        <w:tc>
          <w:tcPr>
            <w:tcW w:type="dxa" w:w="700"/>
            <w:shd w:fill="7A1F3D" w:val="clear"/>
            <w:tcMar>
              <w:top w:type="dxa" w:w="100"/>
              <w:left w:type="dxa" w:w="60"/>
              <w:bottom w:type="dxa" w:w="100"/>
              <w:right w:type="dxa" w:w="60"/>
            </w:tcMar>
            <w:vAlign w:val="center"/>
          </w:tcPr>
          <w:p>
            <w:pPr>
              <w:jc w:val="center"/>
            </w:pPr>
            <w:r>
              <w:rPr>
                <w:b/>
                <w:bCs/>
                <w:color w:val="FFFFFF"/>
                <w:sz w:val="24"/>
                <w:szCs w:val="24"/>
              </w:rPr>
              <w:t xml:space="preserve">8</w:t>
            </w:r>
          </w:p>
        </w:tc>
        <w:tc>
          <w:tcPr>
            <w:tcW w:type="dxa" w:w="8650"/>
            <w:shd w:fill="FBF3F6" w:val="clear"/>
            <w:tcMar>
              <w:top w:type="dxa" w:w="100"/>
              <w:left w:type="dxa" w:w="150"/>
              <w:bottom w:type="dxa" w:w="100"/>
              <w:right w:type="dxa" w:w="150"/>
            </w:tcMar>
          </w:tcPr>
          <w:p>
            <w:pPr>
              <w:spacing w:after="40"/>
            </w:pPr>
            <w:r>
              <w:rPr>
                <w:b/>
                <w:bCs/>
                <w:color w:val="7A1F3D"/>
                <w:sz w:val="20"/>
                <w:szCs w:val="20"/>
              </w:rPr>
              <w:t xml:space="preserve">Dokumentasi dan Pemantauan Lanjut</w:t>
            </w:r>
          </w:p>
          <w:p>
            <w:r>
              <w:rPr>
                <w:color w:val="3A3A3A"/>
                <w:sz w:val="19"/>
                <w:szCs w:val="19"/>
              </w:rPr>
              <w:t xml:space="preserve">Dokumentasi lengkap asesmen, intervensi, dan tindak lanjut pada seluruh fase (prakonsepsi, kehamilan, nifas); evaluasi ulang status gizi pada kunjungan berikutnya (target perbaikan status gizi ≥70% pada follow-up).</w:t>
            </w:r>
          </w:p>
        </w:tc>
      </w:tr>
    </w:tbl>
    <w:p>
      <w:pPr>
        <w:spacing w:after="120"/>
      </w:pPr>
    </w:p>
    <w:p>
      <w:pPr>
        <w:shd w:fill="F3E3E9" w:val="clear"/>
        <w:spacing w:after="60" w:before="120"/>
      </w:pPr>
      <w:r>
        <w:rPr>
          <w:b/>
          <w:bCs/>
          <w:color w:val="7A1F3D"/>
          <w:sz w:val="20"/>
          <w:szCs w:val="20"/>
        </w:rPr>
        <w:t xml:space="preserve">Aspek Farmakologis dan Peringatan</w:t>
      </w:r>
    </w:p>
    <w:p>
      <w:pPr>
        <w:pStyle w:val="ListParagraph"/>
        <w:numPr>
          <w:ilvl w:val="0"/>
          <w:numId w:val="2"/>
        </w:numPr>
        <w:spacing w:after="60" w:line="258"/>
      </w:pPr>
      <w:r>
        <w:rPr>
          <w:color w:val="3A3A3A"/>
          <w:sz w:val="20"/>
          <w:szCs w:val="20"/>
        </w:rPr>
        <w:t xml:space="preserve">Suplementasi kalsium dan besi sebaiknya diberikan terpisah beberapa jam untuk meminimalkan interaksi penyerapan.</w:t>
      </w:r>
    </w:p>
    <w:p>
      <w:pPr>
        <w:pStyle w:val="ListParagraph"/>
        <w:numPr>
          <w:ilvl w:val="0"/>
          <w:numId w:val="2"/>
        </w:numPr>
        <w:spacing w:after="60" w:line="258"/>
      </w:pPr>
      <w:r>
        <w:rPr>
          <w:color w:val="3A3A3A"/>
          <w:sz w:val="20"/>
          <w:szCs w:val="20"/>
        </w:rPr>
        <w:t xml:space="preserve">Perhatikan kontraindikasi/perhatian khusus: suplementasi besi dosis tinggi pada hemoglobinopati tanpa defisiensi besi terbukti dapat memperberat kelebihan besi (iron overload).</w:t>
      </w:r>
    </w:p>
    <w:p>
      <w:pPr>
        <w:pStyle w:val="ListParagraph"/>
        <w:numPr>
          <w:ilvl w:val="0"/>
          <w:numId w:val="2"/>
        </w:numPr>
        <w:spacing w:after="60" w:line="258"/>
      </w:pPr>
      <w:r>
        <w:rPr>
          <w:color w:val="3A3A3A"/>
          <w:sz w:val="20"/>
          <w:szCs w:val="20"/>
        </w:rPr>
        <w:t xml:space="preserve">Pada kasus obesitas gestasional, hindari pembatasan kalori ketat selama kehamilan; fokus pada kualitas asupan dan pemantauan kenaikan berat badan sesuai rekomendasi berbasis IMT prakonsepsi.</w:t>
      </w:r>
    </w:p>
    <w:p>
      <w:pPr>
        <w:spacing w:after="160"/>
      </w:pPr>
    </w:p>
    <w:p>
      <w:pPr>
        <w:pBdr>
          <w:top w:val="single" w:color="7A1F3D" w:sz="2"/>
          <w:bottom w:val="single" w:color="7A1F3D" w:sz="2"/>
          <w:left w:val="single" w:color="7A1F3D" w:sz="2"/>
          <w:right w:val="single" w:color="7A1F3D" w:sz="2"/>
        </w:pBdr>
        <w:shd w:fill="7A1F3D" w:val="clear"/>
        <w:spacing w:after="0" w:before="240"/>
      </w:pPr>
      <w:r>
        <w:rPr>
          <w:rFonts w:ascii="Calibri" w:cs="Calibri" w:eastAsia="Calibri" w:hAnsi="Calibri"/>
          <w:b/>
          <w:bCs/>
          <w:color w:val="FFFFFF"/>
          <w:sz w:val="22"/>
          <w:szCs w:val="22"/>
        </w:rPr>
        <w:t xml:space="preserve">9. EDUKASI</w:t>
      </w:r>
    </w:p>
    <w:p>
      <w:pPr>
        <w:spacing w:after="60"/>
      </w:pPr>
    </w:p>
    <w:p>
      <w:pPr>
        <w:pStyle w:val="ListParagraph"/>
        <w:numPr>
          <w:ilvl w:val="0"/>
          <w:numId w:val="2"/>
        </w:numPr>
        <w:spacing w:after="60" w:line="258"/>
      </w:pPr>
      <w:r>
        <w:rPr>
          <w:color w:val="3A3A3A"/>
          <w:sz w:val="20"/>
          <w:szCs w:val="20"/>
        </w:rPr>
        <w:t xml:space="preserve">Edukasi pola makan seimbang: sumber protein hewani/nabati, sayur-buah kaya zat besi dan vitamin C untuk membantu penyerapan besi, sumber kalsium (susu, ikan kecil dengan tulang, sayuran hijau).</w:t>
      </w:r>
    </w:p>
    <w:p>
      <w:pPr>
        <w:pStyle w:val="ListParagraph"/>
        <w:numPr>
          <w:ilvl w:val="0"/>
          <w:numId w:val="2"/>
        </w:numPr>
        <w:spacing w:after="60" w:line="258"/>
      </w:pPr>
      <w:r>
        <w:rPr>
          <w:color w:val="3A3A3A"/>
          <w:sz w:val="20"/>
          <w:szCs w:val="20"/>
        </w:rPr>
        <w:t xml:space="preserve">Edukasi kepatuhan suplementasi besi-asam folat dan kalsium, termasuk cara meminimalkan efek samping gastrointestinal (mual, konstipasi).</w:t>
      </w:r>
    </w:p>
    <w:p>
      <w:pPr>
        <w:pStyle w:val="ListParagraph"/>
        <w:numPr>
          <w:ilvl w:val="0"/>
          <w:numId w:val="2"/>
        </w:numPr>
        <w:spacing w:after="60" w:line="258"/>
      </w:pPr>
      <w:r>
        <w:rPr>
          <w:color w:val="3A3A3A"/>
          <w:sz w:val="20"/>
          <w:szCs w:val="20"/>
        </w:rPr>
        <w:t xml:space="preserve">Edukasi tanda bahaya yang perlu segera dilaporkan: pusing berat, sesak napas, penurunan gerak janin.</w:t>
      </w:r>
    </w:p>
    <w:p>
      <w:pPr>
        <w:pStyle w:val="ListParagraph"/>
        <w:numPr>
          <w:ilvl w:val="0"/>
          <w:numId w:val="2"/>
        </w:numPr>
        <w:spacing w:after="60" w:line="258"/>
      </w:pPr>
      <w:r>
        <w:rPr>
          <w:color w:val="3A3A3A"/>
          <w:sz w:val="20"/>
          <w:szCs w:val="20"/>
        </w:rPr>
        <w:t xml:space="preserve">Edukasi keluarga/pendamping untuk mendukung akses pangan dan kepatuhan terapi, khususnya pada kasus dengan keterbatasan sosial-ekonomi.</w:t>
      </w:r>
    </w:p>
    <w:p>
      <w:pPr>
        <w:pStyle w:val="ListParagraph"/>
        <w:numPr>
          <w:ilvl w:val="0"/>
          <w:numId w:val="2"/>
        </w:numPr>
        <w:spacing w:after="60" w:line="258"/>
      </w:pPr>
      <w:r>
        <w:rPr>
          <w:color w:val="3A3A3A"/>
          <w:sz w:val="20"/>
          <w:szCs w:val="20"/>
        </w:rPr>
        <w:t xml:space="preserve">Pada kasus obesitas gestasional: edukasi aktivitas fisik aman selama kehamilan dan pemantauan kenaikan berat badan bertahap.</w:t>
      </w:r>
    </w:p>
    <w:p>
      <w:pPr>
        <w:pStyle w:val="ListParagraph"/>
        <w:numPr>
          <w:ilvl w:val="0"/>
          <w:numId w:val="2"/>
        </w:numPr>
        <w:spacing w:after="60" w:line="258"/>
      </w:pPr>
      <w:r>
        <w:rPr>
          <w:color w:val="3A3A3A"/>
          <w:sz w:val="20"/>
          <w:szCs w:val="20"/>
        </w:rPr>
        <w:t xml:space="preserve">Edukasi pascasalin: pentingnya inisiasi menyusu dini, kontak kulit-ke-kulit, dan manajemen laktasi (Ten Steps to Successful Breastfeeding) sebagai bagian dari kelanjutan tata laksana gizi ibu dan bayi.</w:t>
      </w:r>
    </w:p>
    <w:p>
      <w:pPr>
        <w:spacing w:after="160"/>
      </w:pPr>
    </w:p>
    <w:p>
      <w:pPr>
        <w:pBdr>
          <w:top w:val="single" w:color="7A1F3D" w:sz="2"/>
          <w:bottom w:val="single" w:color="7A1F3D" w:sz="2"/>
          <w:left w:val="single" w:color="7A1F3D" w:sz="2"/>
          <w:right w:val="single" w:color="7A1F3D" w:sz="2"/>
        </w:pBdr>
        <w:shd w:fill="7A1F3D" w:val="clear"/>
        <w:spacing w:after="0" w:before="240"/>
      </w:pPr>
      <w:r>
        <w:rPr>
          <w:rFonts w:ascii="Calibri" w:cs="Calibri" w:eastAsia="Calibri" w:hAnsi="Calibri"/>
          <w:b/>
          <w:bCs/>
          <w:color w:val="FFFFFF"/>
          <w:sz w:val="22"/>
          <w:szCs w:val="22"/>
        </w:rPr>
        <w:t xml:space="preserve">10. PROGNOSIS</w:t>
      </w:r>
    </w:p>
    <w:p>
      <w:pPr>
        <w:spacing w:after="60"/>
      </w:pPr>
    </w:p>
    <w:p>
      <w:pPr>
        <w:spacing w:after="100" w:line="264"/>
      </w:pPr>
      <w:r>
        <w:rPr>
          <w:color w:val="3A3A3A"/>
          <w:sz w:val="20"/>
          <w:szCs w:val="20"/>
        </w:rPr>
        <w:t xml:space="preserve">Prognosis umumnya baik apabila skrining dilakukan dini dan intervensi gizi terstandar dipatuhi, dengan target perbaikan status gizi ≥70% pada evaluasi follow-up.</w:t>
      </w:r>
    </w:p>
    <w:p>
      <w:pPr>
        <w:spacing w:after="100" w:line="264"/>
      </w:pPr>
      <w:r>
        <w:rPr>
          <w:color w:val="3A3A3A"/>
          <w:sz w:val="20"/>
          <w:szCs w:val="20"/>
        </w:rPr>
        <w:t xml:space="preserve">Malnutrisi yang tidak tertangani berisiko meningkatkan kejadian berat badan lahir rendah (BBLR), persalinan preterm, gangguan pertumbuhan janin, serta — pada obesitas gestasional yang tidak terpantau — diabetes gestasional dan preeklamsia. Dampak jangka panjang mengikuti konsep DOHaD, memengaruhi risiko penyakit metabolik pada keturunan di kemudian hari.</w:t>
      </w:r>
    </w:p>
    <w:p>
      <w:pPr>
        <w:spacing w:after="160"/>
      </w:pPr>
    </w:p>
    <w:p>
      <w:pPr>
        <w:pBdr>
          <w:top w:val="single" w:color="7A1F3D" w:sz="2"/>
          <w:bottom w:val="single" w:color="7A1F3D" w:sz="2"/>
          <w:left w:val="single" w:color="7A1F3D" w:sz="2"/>
          <w:right w:val="single" w:color="7A1F3D" w:sz="2"/>
        </w:pBdr>
        <w:shd w:fill="7A1F3D" w:val="clear"/>
        <w:spacing w:after="0" w:before="240"/>
      </w:pPr>
      <w:r>
        <w:rPr>
          <w:rFonts w:ascii="Calibri" w:cs="Calibri" w:eastAsia="Calibri" w:hAnsi="Calibri"/>
          <w:b/>
          <w:bCs/>
          <w:color w:val="FFFFFF"/>
          <w:sz w:val="22"/>
          <w:szCs w:val="22"/>
        </w:rPr>
        <w:t xml:space="preserve">11. TINGKAT EVIDENS  &amp;  12. TINGKAT REKOMENDASI</w:t>
      </w:r>
    </w:p>
    <w:p>
      <w:pPr>
        <w:spacing w:after="8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300"/>
        <w:gridCol w:w="2700"/>
        <w:gridCol w:w="2350"/>
      </w:tblGrid>
      <w:tr>
        <w:trPr>
          <w:tblHeader/>
        </w:trPr>
        <w:tc>
          <w:tcPr>
            <w:tcW w:type="dxa" w:w="4300"/>
            <w:shd w:fill="7A1F3D" w:val="clear"/>
            <w:tcMar>
              <w:top w:type="dxa" w:w="80"/>
              <w:left w:type="dxa" w:w="100"/>
              <w:bottom w:type="dxa" w:w="80"/>
              <w:right w:type="dxa" w:w="100"/>
            </w:tcMar>
            <w:vAlign w:val="center"/>
          </w:tcPr>
          <w:p>
            <w:pPr>
              <w:jc w:val="center"/>
            </w:pPr>
            <w:r>
              <w:rPr>
                <w:b/>
                <w:bCs/>
                <w:color w:val="FFFFFF"/>
                <w:sz w:val="18"/>
                <w:szCs w:val="18"/>
              </w:rPr>
              <w:t xml:space="preserve">Intervensi</w:t>
            </w:r>
          </w:p>
        </w:tc>
        <w:tc>
          <w:tcPr>
            <w:tcW w:type="dxa" w:w="2700"/>
            <w:shd w:fill="7A1F3D" w:val="clear"/>
            <w:tcMar>
              <w:top w:type="dxa" w:w="80"/>
              <w:left w:type="dxa" w:w="100"/>
              <w:bottom w:type="dxa" w:w="80"/>
              <w:right w:type="dxa" w:w="100"/>
            </w:tcMar>
            <w:vAlign w:val="center"/>
          </w:tcPr>
          <w:p>
            <w:pPr>
              <w:jc w:val="center"/>
            </w:pPr>
            <w:r>
              <w:rPr>
                <w:b/>
                <w:bCs/>
                <w:color w:val="FFFFFF"/>
                <w:sz w:val="18"/>
                <w:szCs w:val="18"/>
              </w:rPr>
              <w:t xml:space="preserve">Tingkat Evidens</w:t>
            </w:r>
          </w:p>
        </w:tc>
        <w:tc>
          <w:tcPr>
            <w:tcW w:type="dxa" w:w="2350"/>
            <w:shd w:fill="7A1F3D" w:val="clear"/>
            <w:tcMar>
              <w:top w:type="dxa" w:w="80"/>
              <w:left w:type="dxa" w:w="100"/>
              <w:bottom w:type="dxa" w:w="80"/>
              <w:right w:type="dxa" w:w="100"/>
            </w:tcMar>
            <w:vAlign w:val="center"/>
          </w:tcPr>
          <w:p>
            <w:pPr>
              <w:jc w:val="center"/>
            </w:pPr>
            <w:r>
              <w:rPr>
                <w:b/>
                <w:bCs/>
                <w:color w:val="FFFFFF"/>
                <w:sz w:val="18"/>
                <w:szCs w:val="18"/>
              </w:rPr>
              <w:t xml:space="preserve">Tingkat Rekomendasi</w:t>
            </w:r>
          </w:p>
        </w:tc>
      </w:tr>
      <w:tr>
        <w:tc>
          <w:tcPr>
            <w:tcW w:type="dxa" w:w="43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Suplementasi besi-asam folat harian pada seluruh ibu hamil</w:t>
            </w:r>
          </w:p>
        </w:tc>
        <w:tc>
          <w:tcPr>
            <w:tcW w:type="dxa" w:w="27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I (RCT/meta-analisis WHO)</w:t>
            </w:r>
          </w:p>
        </w:tc>
        <w:tc>
          <w:tcPr>
            <w:tcW w:type="dxa" w:w="235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A — Rekomendasi kuat</w:t>
            </w:r>
          </w:p>
        </w:tc>
      </w:tr>
      <w:tr>
        <w:tc>
          <w:tcPr>
            <w:tcW w:type="dxa" w:w="43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Suplementasi kalsium untuk pencegahan preeklamsia</w:t>
            </w:r>
          </w:p>
        </w:tc>
        <w:tc>
          <w:tcPr>
            <w:tcW w:type="dxa" w:w="27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I (RCT/meta-analisis WHO)</w:t>
            </w:r>
          </w:p>
        </w:tc>
        <w:tc>
          <w:tcPr>
            <w:tcW w:type="dxa" w:w="235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A — Rekomendasi kuat</w:t>
            </w:r>
          </w:p>
        </w:tc>
      </w:tr>
      <w:tr>
        <w:tc>
          <w:tcPr>
            <w:tcW w:type="dxa" w:w="43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Skrining IMT dan LILA rutin pada kunjungan awal</w:t>
            </w:r>
          </w:p>
        </w:tc>
        <w:tc>
          <w:tcPr>
            <w:tcW w:type="dxa" w:w="27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II (studi observasional besar)</w:t>
            </w:r>
          </w:p>
        </w:tc>
        <w:tc>
          <w:tcPr>
            <w:tcW w:type="dxa" w:w="235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B — Rekomendasi sedang</w:t>
            </w:r>
          </w:p>
        </w:tc>
      </w:tr>
      <w:tr>
        <w:tc>
          <w:tcPr>
            <w:tcW w:type="dxa" w:w="43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Rujukan kolaboratif ke ahli gizi pada kasus berat</w:t>
            </w:r>
          </w:p>
        </w:tc>
        <w:tc>
          <w:tcPr>
            <w:tcW w:type="dxa" w:w="27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III (konsensus ahli/pedoman kompetensi)</w:t>
            </w:r>
          </w:p>
        </w:tc>
        <w:tc>
          <w:tcPr>
            <w:tcW w:type="dxa" w:w="235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B — Rekomendasi sedang</w:t>
            </w:r>
          </w:p>
        </w:tc>
      </w:tr>
      <w:tr>
        <w:tc>
          <w:tcPr>
            <w:tcW w:type="dxa" w:w="43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Pembatasan kalori ketat selama kehamilan pada obesitas</w:t>
            </w:r>
          </w:p>
        </w:tc>
        <w:tc>
          <w:tcPr>
            <w:tcW w:type="dxa" w:w="27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II (studi observasional, potensi risiko)</w:t>
            </w:r>
          </w:p>
        </w:tc>
        <w:tc>
          <w:tcPr>
            <w:tcW w:type="dxa" w:w="235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D — Tidak direkomendasikan</w:t>
            </w:r>
          </w:p>
        </w:tc>
      </w:tr>
      <w:tr>
        <w:tc>
          <w:tcPr>
            <w:tcW w:type="dxa" w:w="43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Pemantauan kenaikan berat badan gestasional sesuai kategori IMT (IOM/NAM 2009)</w:t>
            </w:r>
          </w:p>
        </w:tc>
        <w:tc>
          <w:tcPr>
            <w:tcW w:type="dxa" w:w="27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II (konsensus berbasis studi kohort besar)</w:t>
            </w:r>
          </w:p>
        </w:tc>
        <w:tc>
          <w:tcPr>
            <w:tcW w:type="dxa" w:w="235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B — Rekomendasi sedang</w:t>
            </w:r>
          </w:p>
        </w:tc>
      </w:tr>
      <w:tr>
        <w:tc>
          <w:tcPr>
            <w:tcW w:type="dxa" w:w="43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Kelanjutan suplementasi besi-kalsium dan dukungan laktasi terstruktur pada masa nifas</w:t>
            </w:r>
          </w:p>
        </w:tc>
        <w:tc>
          <w:tcPr>
            <w:tcW w:type="dxa" w:w="27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II–III (pedoman WHO PNC 2022, BFHI 2018)</w:t>
            </w:r>
          </w:p>
        </w:tc>
        <w:tc>
          <w:tcPr>
            <w:tcW w:type="dxa" w:w="235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B — Rekomendasi sedang</w:t>
            </w:r>
          </w:p>
        </w:tc>
      </w:tr>
    </w:tbl>
    <w:p>
      <w:pPr>
        <w:spacing w:after="160"/>
      </w:pPr>
    </w:p>
    <w:p>
      <w:pPr>
        <w:pBdr>
          <w:top w:val="single" w:color="7A1F3D" w:sz="2"/>
          <w:bottom w:val="single" w:color="7A1F3D" w:sz="2"/>
          <w:left w:val="single" w:color="7A1F3D" w:sz="2"/>
          <w:right w:val="single" w:color="7A1F3D" w:sz="2"/>
        </w:pBdr>
        <w:shd w:fill="7A1F3D" w:val="clear"/>
        <w:spacing w:after="0" w:before="240"/>
      </w:pPr>
      <w:r>
        <w:rPr>
          <w:rFonts w:ascii="Calibri" w:cs="Calibri" w:eastAsia="Calibri" w:hAnsi="Calibri"/>
          <w:b/>
          <w:bCs/>
          <w:color w:val="FFFFFF"/>
          <w:sz w:val="22"/>
          <w:szCs w:val="22"/>
        </w:rPr>
        <w:t xml:space="preserve">13. PENELAAH KRITIS</w:t>
      </w:r>
    </w:p>
    <w:p>
      <w:pPr>
        <w:spacing w:after="60"/>
      </w:pPr>
    </w:p>
    <w:p>
      <w:pPr>
        <w:pStyle w:val="ListParagraph"/>
        <w:numPr>
          <w:ilvl w:val="0"/>
          <w:numId w:val="2"/>
        </w:numPr>
        <w:spacing w:after="60" w:line="258"/>
      </w:pPr>
      <w:r>
        <w:rPr>
          <w:color w:val="3A3A3A"/>
          <w:sz w:val="20"/>
          <w:szCs w:val="20"/>
        </w:rPr>
        <w:t xml:space="preserve">Dokter Spesialis Obstetri dan Ginekologi Subspesialis Obstetri Ginekologi Sosial (KSM Obstetri dan Ginekologi).</w:t>
      </w:r>
    </w:p>
    <w:p>
      <w:pPr>
        <w:pStyle w:val="ListParagraph"/>
        <w:numPr>
          <w:ilvl w:val="0"/>
          <w:numId w:val="2"/>
        </w:numPr>
        <w:spacing w:after="60" w:line="258"/>
      </w:pPr>
      <w:r>
        <w:rPr>
          <w:color w:val="3A3A3A"/>
          <w:sz w:val="20"/>
          <w:szCs w:val="20"/>
        </w:rPr>
        <w:t xml:space="preserve">Ahli Gizi Klinik/Dietisien (kolaborasi wajib pada kasus berat).</w:t>
      </w:r>
    </w:p>
    <w:p>
      <w:pPr>
        <w:pStyle w:val="ListParagraph"/>
        <w:numPr>
          <w:ilvl w:val="0"/>
          <w:numId w:val="2"/>
        </w:numPr>
        <w:spacing w:after="60" w:line="258"/>
      </w:pPr>
      <w:r>
        <w:rPr>
          <w:color w:val="3A3A3A"/>
          <w:sz w:val="20"/>
          <w:szCs w:val="20"/>
        </w:rPr>
        <w:t xml:space="preserve">Komite Medis Rumah Sakit (telaah dan pengesahan dokumen).</w:t>
      </w:r>
    </w:p>
    <w:p>
      <w:pPr>
        <w:spacing w:after="160"/>
      </w:pPr>
    </w:p>
    <w:p>
      <w:pPr>
        <w:pBdr>
          <w:top w:val="single" w:color="7A1F3D" w:sz="2"/>
          <w:bottom w:val="single" w:color="7A1F3D" w:sz="2"/>
          <w:left w:val="single" w:color="7A1F3D" w:sz="2"/>
          <w:right w:val="single" w:color="7A1F3D" w:sz="2"/>
        </w:pBdr>
        <w:shd w:fill="7A1F3D" w:val="clear"/>
        <w:spacing w:after="0" w:before="240"/>
      </w:pPr>
      <w:r>
        <w:rPr>
          <w:rFonts w:ascii="Calibri" w:cs="Calibri" w:eastAsia="Calibri" w:hAnsi="Calibri"/>
          <w:b/>
          <w:bCs/>
          <w:color w:val="FFFFFF"/>
          <w:sz w:val="22"/>
          <w:szCs w:val="22"/>
        </w:rPr>
        <w:t xml:space="preserve">14. INDIKATOR MEDIS</w:t>
      </w:r>
    </w:p>
    <w:p>
      <w:pPr>
        <w:spacing w:after="8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6600"/>
        <w:gridCol w:w="2750"/>
      </w:tblGrid>
      <w:tr>
        <w:trPr>
          <w:tblHeader/>
        </w:trPr>
        <w:tc>
          <w:tcPr>
            <w:tcW w:type="dxa" w:w="6600"/>
            <w:shd w:fill="7A1F3D" w:val="clear"/>
            <w:tcMar>
              <w:top w:type="dxa" w:w="80"/>
              <w:left w:type="dxa" w:w="100"/>
              <w:bottom w:type="dxa" w:w="80"/>
              <w:right w:type="dxa" w:w="100"/>
            </w:tcMar>
            <w:vAlign w:val="center"/>
          </w:tcPr>
          <w:p>
            <w:pPr>
              <w:jc w:val="center"/>
            </w:pPr>
            <w:r>
              <w:rPr>
                <w:b/>
                <w:bCs/>
                <w:color w:val="FFFFFF"/>
                <w:sz w:val="18"/>
                <w:szCs w:val="18"/>
              </w:rPr>
              <w:t xml:space="preserve">Indikator</w:t>
            </w:r>
          </w:p>
        </w:tc>
        <w:tc>
          <w:tcPr>
            <w:tcW w:type="dxa" w:w="2750"/>
            <w:shd w:fill="7A1F3D" w:val="clear"/>
            <w:tcMar>
              <w:top w:type="dxa" w:w="80"/>
              <w:left w:type="dxa" w:w="100"/>
              <w:bottom w:type="dxa" w:w="80"/>
              <w:right w:type="dxa" w:w="100"/>
            </w:tcMar>
            <w:vAlign w:val="center"/>
          </w:tcPr>
          <w:p>
            <w:pPr>
              <w:jc w:val="center"/>
            </w:pPr>
            <w:r>
              <w:rPr>
                <w:b/>
                <w:bCs/>
                <w:color w:val="FFFFFF"/>
                <w:sz w:val="18"/>
                <w:szCs w:val="18"/>
              </w:rPr>
              <w:t xml:space="preserve">Target</w:t>
            </w:r>
          </w:p>
        </w:tc>
      </w:tr>
      <w:tr>
        <w:tc>
          <w:tcPr>
            <w:tcW w:type="dxa" w:w="66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Ibu hamil yang diskrining status gizi (IMT, LILA, Hb) pada kunjungan awal</w:t>
            </w:r>
          </w:p>
        </w:tc>
        <w:tc>
          <w:tcPr>
            <w:tcW w:type="dxa" w:w="275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100%</w:t>
            </w:r>
          </w:p>
        </w:tc>
      </w:tr>
      <w:tr>
        <w:tc>
          <w:tcPr>
            <w:tcW w:type="dxa" w:w="66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Ibu hamil berisiko yang mendapat intervensi gizi sesuai hasil skrining</w:t>
            </w:r>
          </w:p>
        </w:tc>
        <w:tc>
          <w:tcPr>
            <w:tcW w:type="dxa" w:w="275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 90%</w:t>
            </w:r>
          </w:p>
        </w:tc>
      </w:tr>
      <w:tr>
        <w:tc>
          <w:tcPr>
            <w:tcW w:type="dxa" w:w="66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Perbaikan status gizi pada evaluasi follow-up</w:t>
            </w:r>
          </w:p>
        </w:tc>
        <w:tc>
          <w:tcPr>
            <w:tcW w:type="dxa" w:w="275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 70%</w:t>
            </w:r>
          </w:p>
        </w:tc>
      </w:tr>
      <w:tr>
        <w:tc>
          <w:tcPr>
            <w:tcW w:type="dxa" w:w="66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Kelengkapan dokumentasi asesmen dan intervensi gizi (audit)</w:t>
            </w:r>
          </w:p>
        </w:tc>
        <w:tc>
          <w:tcPr>
            <w:tcW w:type="dxa" w:w="275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 90%</w:t>
            </w:r>
          </w:p>
        </w:tc>
      </w:tr>
      <w:tr>
        <w:tc>
          <w:tcPr>
            <w:tcW w:type="dxa" w:w="660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Volume kasus minimal intervensi gizi ibu hamil ditangani per periode</w:t>
            </w:r>
          </w:p>
        </w:tc>
        <w:tc>
          <w:tcPr>
            <w:tcW w:type="dxa" w:w="2750"/>
            <w:shd w:fill="FFFFFF" w:val="clear"/>
            <w:tcMar>
              <w:top w:type="dxa" w:w="80"/>
              <w:left w:type="dxa" w:w="100"/>
              <w:bottom w:type="dxa" w:w="80"/>
              <w:right w:type="dxa" w:w="100"/>
            </w:tcMar>
            <w:vAlign w:val="center"/>
          </w:tcPr>
          <w:p>
            <w:pPr>
              <w:jc w:val="left"/>
            </w:pPr>
            <w:r>
              <w:rPr>
                <w:b w:val="false"/>
                <w:bCs w:val="false"/>
                <w:color w:val="3A3A3A"/>
                <w:sz w:val="18"/>
                <w:szCs w:val="18"/>
              </w:rPr>
              <w:t xml:space="preserve">≥ 2–5 kasus</w:t>
            </w:r>
          </w:p>
        </w:tc>
      </w:tr>
      <w:tr>
        <w:tc>
          <w:tcPr>
            <w:tcW w:type="dxa" w:w="660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Ibu nifas dengan kelanjutan status gizi dan dukungan laktasi terdokumentasi pada kontak PNC terstruktur</w:t>
            </w:r>
          </w:p>
        </w:tc>
        <w:tc>
          <w:tcPr>
            <w:tcW w:type="dxa" w:w="2750"/>
            <w:shd w:fill="F7F0F3" w:val="clear"/>
            <w:tcMar>
              <w:top w:type="dxa" w:w="80"/>
              <w:left w:type="dxa" w:w="100"/>
              <w:bottom w:type="dxa" w:w="80"/>
              <w:right w:type="dxa" w:w="100"/>
            </w:tcMar>
            <w:vAlign w:val="center"/>
          </w:tcPr>
          <w:p>
            <w:pPr>
              <w:jc w:val="left"/>
            </w:pPr>
            <w:r>
              <w:rPr>
                <w:b w:val="false"/>
                <w:bCs w:val="false"/>
                <w:color w:val="3A3A3A"/>
                <w:sz w:val="18"/>
                <w:szCs w:val="18"/>
              </w:rPr>
              <w:t xml:space="preserve">≥ 90%</w:t>
            </w:r>
          </w:p>
        </w:tc>
      </w:tr>
    </w:tbl>
    <w:p>
      <w:pPr>
        <w:spacing w:after="160"/>
      </w:pPr>
    </w:p>
    <w:p>
      <w:pPr>
        <w:pBdr>
          <w:top w:val="single" w:color="7A1F3D" w:sz="2"/>
          <w:bottom w:val="single" w:color="7A1F3D" w:sz="2"/>
          <w:left w:val="single" w:color="7A1F3D" w:sz="2"/>
          <w:right w:val="single" w:color="7A1F3D" w:sz="2"/>
        </w:pBdr>
        <w:shd w:fill="7A1F3D" w:val="clear"/>
        <w:spacing w:after="0" w:before="240"/>
      </w:pPr>
      <w:r>
        <w:rPr>
          <w:rFonts w:ascii="Calibri" w:cs="Calibri" w:eastAsia="Calibri" w:hAnsi="Calibri"/>
          <w:b/>
          <w:bCs/>
          <w:color w:val="FFFFFF"/>
          <w:sz w:val="22"/>
          <w:szCs w:val="22"/>
        </w:rPr>
        <w:t xml:space="preserve">15. KEPUSTAKAAN</w:t>
      </w:r>
    </w:p>
    <w:p>
      <w:pPr>
        <w:spacing w:after="60"/>
      </w:pPr>
    </w:p>
    <w:p>
      <w:pPr>
        <w:pStyle w:val="ListParagraph"/>
        <w:numPr>
          <w:ilvl w:val="0"/>
          <w:numId w:val="4"/>
        </w:numPr>
        <w:spacing w:after="60" w:line="258"/>
      </w:pPr>
      <w:r>
        <w:rPr>
          <w:color w:val="3A3A3A"/>
          <w:sz w:val="20"/>
          <w:szCs w:val="20"/>
        </w:rPr>
        <w:t xml:space="preserve">World Health Organization. WHO Recommendations on Antenatal Care for a Positive Pregnancy Experience. Geneva: World Health Organization; 2016. Bab A: Nutritional Interventions. Tersedia pada: </w:t>
      </w:r>
      <w:hyperlink w:history="1" r:id="rIdrug1slznzjkbyyuhzk4vf">
        <w:r>
          <w:rPr>
            <w:color w:val="1155CC"/>
            <w:sz w:val="20"/>
            <w:szCs w:val="20"/>
            <w:u w:val="single"/>
          </w:rPr>
          <w:t xml:space="preserve">who.int/publications/i/item/9789241549912</w:t>
        </w:r>
      </w:hyperlink>
    </w:p>
    <w:p>
      <w:pPr>
        <w:pStyle w:val="ListParagraph"/>
        <w:numPr>
          <w:ilvl w:val="0"/>
          <w:numId w:val="4"/>
        </w:numPr>
        <w:spacing w:after="60" w:line="258"/>
      </w:pPr>
      <w:r>
        <w:rPr>
          <w:color w:val="3A3A3A"/>
          <w:sz w:val="20"/>
          <w:szCs w:val="20"/>
        </w:rPr>
        <w:t xml:space="preserve">World Health Organization. Guideline: Daily Iron and Folic Acid Supplementation in Pregnant Women. Geneva: World Health Organization; 2012. Tersedia pada: </w:t>
      </w:r>
      <w:hyperlink w:history="1" r:id="rIdap21hlfryd-vyjhjihabh">
        <w:r>
          <w:rPr>
            <w:color w:val="1155CC"/>
            <w:sz w:val="20"/>
            <w:szCs w:val="20"/>
            <w:u w:val="single"/>
          </w:rPr>
          <w:t xml:space="preserve">ncbi.nlm.nih.gov/books/NBK132251</w:t>
        </w:r>
      </w:hyperlink>
    </w:p>
    <w:p>
      <w:pPr>
        <w:pStyle w:val="ListParagraph"/>
        <w:numPr>
          <w:ilvl w:val="0"/>
          <w:numId w:val="4"/>
        </w:numPr>
        <w:spacing w:after="60" w:line="258"/>
      </w:pPr>
      <w:r>
        <w:rPr>
          <w:color w:val="3A3A3A"/>
          <w:sz w:val="20"/>
          <w:szCs w:val="20"/>
        </w:rPr>
        <w:t xml:space="preserve">World Health Organization. WHO Recommendation: Calcium Supplementation During Pregnancy for the Prevention of Pre-eclampsia and Its Complications. Geneva: World Health Organization; 2018. Tersedia pada: </w:t>
      </w:r>
      <w:hyperlink w:history="1" r:id="rId17z-7aogxzwjgns7xgjfw">
        <w:r>
          <w:rPr>
            <w:color w:val="1155CC"/>
            <w:sz w:val="20"/>
            <w:szCs w:val="20"/>
            <w:u w:val="single"/>
          </w:rPr>
          <w:t xml:space="preserve">who.int/publications-detail-redirect/9789241550451</w:t>
        </w:r>
      </w:hyperlink>
    </w:p>
    <w:p>
      <w:pPr>
        <w:pStyle w:val="ListParagraph"/>
        <w:numPr>
          <w:ilvl w:val="0"/>
          <w:numId w:val="4"/>
        </w:numPr>
        <w:spacing w:after="60" w:line="258"/>
      </w:pPr>
      <w:r>
        <w:rPr>
          <w:color w:val="3A3A3A"/>
          <w:sz w:val="20"/>
          <w:szCs w:val="20"/>
        </w:rPr>
        <w:t xml:space="preserve">World Health Organization. WHO Recommendations on Maternal and Newborn Care for a Positive Postnatal Experience. Geneva: World Health Organization; 2022. Tersedia pada: </w:t>
      </w:r>
      <w:hyperlink w:history="1" r:id="rIdshvvaiianetseiy1ockjb">
        <w:r>
          <w:rPr>
            <w:color w:val="1155CC"/>
            <w:sz w:val="20"/>
            <w:szCs w:val="20"/>
            <w:u w:val="single"/>
          </w:rPr>
          <w:t xml:space="preserve">who.int/publications/i/item/9789240045989</w:t>
        </w:r>
      </w:hyperlink>
    </w:p>
    <w:p>
      <w:pPr>
        <w:pStyle w:val="ListParagraph"/>
        <w:numPr>
          <w:ilvl w:val="0"/>
          <w:numId w:val="4"/>
        </w:numPr>
        <w:spacing w:after="60" w:line="258"/>
      </w:pPr>
      <w:r>
        <w:rPr>
          <w:color w:val="3A3A3A"/>
          <w:sz w:val="20"/>
          <w:szCs w:val="20"/>
        </w:rPr>
        <w:t xml:space="preserve">World Health Organization, UNICEF. Implementation Guidance: Protecting, Promoting and Supporting Breastfeeding in Facilities Providing Maternity and Newborn Services — the Revised Baby-friendly Hospital Initiative (Ten Steps to Successful Breastfeeding, revisi 2018). Geneva: WHO; 2018. Tersedia pada: </w:t>
      </w:r>
      <w:hyperlink w:history="1" r:id="rId83t-iarei2zbx8falui17">
        <w:r>
          <w:rPr>
            <w:color w:val="1155CC"/>
            <w:sz w:val="20"/>
            <w:szCs w:val="20"/>
            <w:u w:val="single"/>
          </w:rPr>
          <w:t xml:space="preserve">who.int/publications/i/item/9789241513807</w:t>
        </w:r>
      </w:hyperlink>
    </w:p>
    <w:p>
      <w:pPr>
        <w:pStyle w:val="ListParagraph"/>
        <w:numPr>
          <w:ilvl w:val="0"/>
          <w:numId w:val="4"/>
        </w:numPr>
        <w:spacing w:after="60" w:line="258"/>
      </w:pPr>
      <w:r>
        <w:rPr>
          <w:color w:val="3A3A3A"/>
          <w:sz w:val="20"/>
          <w:szCs w:val="20"/>
        </w:rPr>
        <w:t xml:space="preserve">International Federation of Gynecology and Obstetrics (FIGO). FIGO Nutrition Checklist. FIGO Initiative on Adolescent, Preconception and Maternal Nutrition; 2015. Tersedia pada: </w:t>
      </w:r>
      <w:hyperlink w:history="1" r:id="rIdpqtx_nusvafhshfs4lg0i">
        <w:r>
          <w:rPr>
            <w:color w:val="1155CC"/>
            <w:sz w:val="20"/>
            <w:szCs w:val="20"/>
            <w:u w:val="single"/>
          </w:rPr>
          <w:t xml:space="preserve">figo.org/figo-resources/nutrition/figo-nutrition-checklist</w:t>
        </w:r>
      </w:hyperlink>
    </w:p>
    <w:p>
      <w:pPr>
        <w:pStyle w:val="ListParagraph"/>
        <w:numPr>
          <w:ilvl w:val="0"/>
          <w:numId w:val="4"/>
        </w:numPr>
        <w:spacing w:after="60" w:line="258"/>
      </w:pPr>
      <w:r>
        <w:rPr>
          <w:color w:val="3A3A3A"/>
          <w:sz w:val="20"/>
          <w:szCs w:val="20"/>
        </w:rPr>
        <w:t xml:space="preserve">Institute of Medicine and National Research Council (kini National Academy of Medicine). Weight Gain During Pregnancy: Reexamining the Guidelines. Washington, DC: The National Academies Press; 2009. Tersedia pada: </w:t>
      </w:r>
      <w:hyperlink w:history="1" r:id="rIdgwagdcbrlfdnrmxqpyr5u">
        <w:r>
          <w:rPr>
            <w:color w:val="1155CC"/>
            <w:sz w:val="20"/>
            <w:szCs w:val="20"/>
            <w:u w:val="single"/>
          </w:rPr>
          <w:t xml:space="preserve">nap.nationalacademies.org/read/12584/chapter/9</w:t>
        </w:r>
      </w:hyperlink>
    </w:p>
    <w:p>
      <w:pPr>
        <w:pStyle w:val="ListParagraph"/>
        <w:numPr>
          <w:ilvl w:val="0"/>
          <w:numId w:val="4"/>
        </w:numPr>
        <w:spacing w:after="60" w:line="258"/>
      </w:pPr>
      <w:r>
        <w:rPr>
          <w:color w:val="3A3A3A"/>
          <w:sz w:val="20"/>
          <w:szCs w:val="20"/>
        </w:rPr>
        <w:t xml:space="preserve">Keputusan Ketua Konsil Kesehatan Indonesia Nomor HK.01.02/KKI/1318/2026 tentang Standar Kompetensi Dokter Spesialis dan Subspesialis Bidang Obstetri dan Ginekologi. (Dokumen internal/keputusan resmi — diunggah pengguna, tidak dipublikasikan pada URL publik).</w:t>
      </w:r>
    </w:p>
    <w:p>
      <w:pPr>
        <w:pStyle w:val="ListParagraph"/>
        <w:numPr>
          <w:ilvl w:val="0"/>
          <w:numId w:val="4"/>
        </w:numPr>
        <w:spacing w:after="60" w:line="258"/>
      </w:pPr>
      <w:r>
        <w:rPr>
          <w:color w:val="3A3A3A"/>
          <w:sz w:val="20"/>
          <w:szCs w:val="20"/>
        </w:rPr>
        <w:t xml:space="preserve">Kementerian Kesehatan Republik Indonesia, Direktorat Jenderal Kesehatan Masyarakat. Pedoman Pelayanan Antenatal Terpadu, Edisi Ketiga. Jakarta: Kementerian Kesehatan RI; 2020. ISBN 978-602-416-974-9. Tersedia pada: </w:t>
      </w:r>
      <w:hyperlink w:history="1" r:id="rIdpreesxbdjj7kpw5hhn6ks">
        <w:r>
          <w:rPr>
            <w:color w:val="1155CC"/>
            <w:sz w:val="20"/>
            <w:szCs w:val="20"/>
            <w:u w:val="single"/>
          </w:rPr>
          <w:t xml:space="preserve">repository.kemkes.go.id/book/147</w:t>
        </w:r>
      </w:hyperlink>
    </w:p>
    <w:p>
      <w:pPr>
        <w:spacing w:after="100"/>
      </w:pPr>
    </w:p>
    <w:tbl>
      <w:tblPr>
        <w:tblW w:type="dxa" w:w="9350"/>
        <w:tblBorders>
          <w:top w:val="single" w:color="B8862F" w:sz="4"/>
          <w:left w:val="single" w:color="B8862F" w:sz="4"/>
          <w:bottom w:val="single" w:color="B8862F" w:sz="4"/>
          <w:right w:val="single" w:color="B8862F" w:sz="4"/>
          <w:insideH w:val="single" w:color="auto" w:sz="4"/>
          <w:insideV w:val="single" w:color="auto" w:sz="4"/>
        </w:tblBorders>
      </w:tblPr>
      <w:tblGrid>
        <w:gridCol w:w="9350"/>
      </w:tblGrid>
      <w:tr>
        <w:tc>
          <w:tcPr>
            <w:tcW w:type="dxa" w:w="9350"/>
            <w:shd w:fill="FBF6EC" w:val="clear"/>
            <w:tcMar>
              <w:top w:type="dxa" w:w="100"/>
              <w:left w:type="dxa" w:w="150"/>
              <w:bottom w:type="dxa" w:w="100"/>
              <w:right w:type="dxa" w:w="150"/>
            </w:tcMar>
          </w:tcPr>
          <w:p>
            <w:pPr>
              <w:spacing w:after="40"/>
            </w:pPr>
            <w:r>
              <w:rPr>
                <w:b/>
                <w:bCs/>
                <w:color w:val="B8862F"/>
                <w:sz w:val="18"/>
                <w:szCs w:val="18"/>
              </w:rPr>
              <w:t xml:space="preserve">CATATAN VERIFIKASI SUMBER</w:t>
            </w:r>
          </w:p>
          <w:p>
            <w:r>
              <w:rPr>
                <w:color w:val="3A3A3A"/>
                <w:sz w:val="19"/>
                <w:szCs w:val="19"/>
              </w:rPr>
              <w:t xml:space="preserve">Seluruh ambang klinis (IMT, LILA &lt;23,5 cm, Hb &lt;11 g/dL trimester I/III dan &lt;10,5 g/dL trimester II) serta indikator mutu dikutip langsung dari teks Kepkonsil HK.01.02/KKI/1318/2026 yang diunggah pengguna — dokumen ini tidak memiliki URL publik dan dicantumkan sebagai dasar internal/institusional. Seluruh rujukan lain (WHO ANC 2016, WHO Fe-Asam Folat 2012, WHO Kalsium 2018, WHO Postnatal Care 2022, WHO/UNICEF BFHI 2018, FIGO Nutrition Checklist 2015, IOM/NAM 2009, dan Pedoman ANC Terpadu Kemenkes Edisi Ketiga 2020) telah diverifikasi melalui pencarian langsung ke sumber resmi pada sesi audit ini, dengan tautan sebagaimana tercantum di atas. Tidak ditemukan referensi, sitasi, atau URL fiktif dalam dokumen ini.</w:t>
            </w:r>
          </w:p>
        </w:tc>
      </w:tr>
    </w:tbl>
    <w:sectPr>
      <w:headerReference w:type="default" r:id="rId7"/>
      <w:footerReference w:type="default" r:id="rId8"/>
      <w:pgSz w:w="11906" w:h="16838" w:orient="portrait"/>
      <w:pgMar w:top="900" w:right="1300" w:bottom="9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7A1F3D" w:sz="4"/>
      </w:pBdr>
      <w:spacing w:before="100"/>
      <w:jc w:val="center"/>
    </w:pPr>
    <w:r>
      <w:rPr>
        <w:color w:val="3A3A3A"/>
        <w:sz w:val="15"/>
        <w:szCs w:val="15"/>
      </w:rPr>
      <w:t xml:space="preserve">Perpustakaan ABBA — Jl Danau Kerinci No 9 Malang   |   Halaman </w:t>
    </w:r>
    <w:r>
      <w:rPr>
        <w:color w:val="3A3A3A"/>
        <w:sz w:val="15"/>
        <w:szCs w:val="15"/>
      </w:rPr>
      <w:fldChar w:fldCharType="begin"/>
      <w:instrText xml:space="preserve">PAGE</w:instrText>
      <w:fldChar w:fldCharType="separate"/>
      <w:fldChar w:fldCharType="end"/>
    </w:r>
    <w:r>
      <w:rPr>
        <w:color w:val="3A3A3A"/>
        <w:sz w:val="15"/>
        <w:szCs w:val="15"/>
      </w:rPr>
      <w:t xml:space="preserve"> dari </w:t>
    </w:r>
    <w:r>
      <w:rPr>
        <w:color w:val="3A3A3A"/>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7A1F3D" w:sz="4"/>
      </w:pBdr>
      <w:spacing w:after="100"/>
      <w:jc w:val="right"/>
    </w:pPr>
    <w:r>
      <w:rPr>
        <w:i/>
        <w:iCs/>
        <w:color w:val="7A1F3D"/>
        <w:sz w:val="15"/>
        <w:szCs w:val="15"/>
      </w:rPr>
      <w:t xml:space="preserve">PPK 11/19 — Permasalahan Nutrisi pada Prakonsepsi, Kehamilan, dan Nifas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abstractNum w:abstractNumId="3" w15:restartNumberingAfterBreak="0">
    <w:multiLevelType w:val="hybridMultilevel"/>
    <w:lvl w:ilvl="0" w15:tentative="1">
      <w:start w:val="1"/>
      <w:numFmt w:val="decimal"/>
      <w:lvlText w:val="%1."/>
      <w:lvlJc w:val="left"/>
      <w:pPr>
        <w:ind w:left="400" w:hanging="300"/>
      </w:pPr>
    </w:lvl>
  </w:abstractNum>
  <w:abstractNum w:abstractNumId="4" w15:restartNumberingAfterBreak="0">
    <w:multiLevelType w:val="hybridMultilevel"/>
    <w:lvl w:ilvl="0" w15:tentative="1">
      <w:start w:val="1"/>
      <w:numFmt w:val="decimal"/>
      <w:lvlText w:val="%1."/>
      <w:lvlJc w:val="left"/>
      <w:pPr>
        <w:ind w:left="40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rug1slznzjkbyyuhzk4vf" Type="http://schemas.openxmlformats.org/officeDocument/2006/relationships/hyperlink" Target="https://www.who.int/publications/i/item/9789241549912" TargetMode="External"/><Relationship Id="rIdap21hlfryd-vyjhjihabh" Type="http://schemas.openxmlformats.org/officeDocument/2006/relationships/hyperlink" Target="https://www.ncbi.nlm.nih.gov/books/NBK132251/" TargetMode="External"/><Relationship Id="rId17z-7aogxzwjgns7xgjfw" Type="http://schemas.openxmlformats.org/officeDocument/2006/relationships/hyperlink" Target="https://www.who.int/publications-detail-redirect/9789241550451" TargetMode="External"/><Relationship Id="rIdshvvaiianetseiy1ockjb" Type="http://schemas.openxmlformats.org/officeDocument/2006/relationships/hyperlink" Target="https://www.who.int/publications/i/item/9789240045989" TargetMode="External"/><Relationship Id="rId83t-iarei2zbx8falui17" Type="http://schemas.openxmlformats.org/officeDocument/2006/relationships/hyperlink" Target="https://www.who.int/publications/i/item/9789241513807" TargetMode="External"/><Relationship Id="rIdpqtx_nusvafhshfs4lg0i" Type="http://schemas.openxmlformats.org/officeDocument/2006/relationships/hyperlink" Target="https://www.figo.org/figo-resources/nutrition/figo-nutrition-checklist" TargetMode="External"/><Relationship Id="rIdgwagdcbrlfdnrmxqpyr5u" Type="http://schemas.openxmlformats.org/officeDocument/2006/relationships/hyperlink" Target="https://nap.nationalacademies.org/read/12584/chapter/9" TargetMode="External"/><Relationship Id="rIdpreesxbdjj7kpw5hhn6ks" Type="http://schemas.openxmlformats.org/officeDocument/2006/relationships/hyperlink" Target="https://repository.kemkes.go.id/book/147" TargetMode="External"/><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2026-08-01T05:41:00.926Z</dcterms:created>
  <dcterms:modified xsi:type="dcterms:W3CDTF">2026-08-01T05:41:01.001Z</dcterms:modified>
</cp:coreProperties>
</file>

<file path=docProps/custom.xml><?xml version="1.0" encoding="utf-8"?>
<Properties xmlns="http://schemas.openxmlformats.org/officeDocument/2006/custom-properties" xmlns:vt="http://schemas.openxmlformats.org/officeDocument/2006/docPropsVTypes"/>
</file>