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360"/>
              <w:left w:type="dxa" w:w="400"/>
              <w:bottom w:type="dxa" w:w="360"/>
              <w:right w:type="dxa" w:w="400"/>
            </w:tcMar>
          </w:tcPr>
          <w:p>
            <w:pPr>
              <w:spacing w:after="80"/>
            </w:pPr>
            <w:r>
              <w:rPr>
                <w:rFonts w:ascii="Calibri" w:cs="Calibri" w:eastAsia="Calibri" w:hAnsi="Calibri"/>
                <w:b/>
                <w:bCs/>
                <w:color w:val="E8C7D1"/>
                <w:sz w:val="20"/>
                <w:szCs w:val="20"/>
              </w:rPr>
              <w:t xml:space="preserve">PANDUAN PRAKTIK KLINIS (PPK)</w:t>
            </w:r>
          </w:p>
          <w:p>
            <w:pPr>
              <w:spacing w:after="60"/>
            </w:pPr>
            <w:r>
              <w:rPr>
                <w:rFonts w:ascii="Calibri" w:cs="Calibri" w:eastAsia="Calibri" w:hAnsi="Calibri"/>
                <w:b/>
                <w:bCs/>
                <w:color w:val="FFFFFF"/>
                <w:sz w:val="40"/>
                <w:szCs w:val="40"/>
              </w:rPr>
              <w:t xml:space="preserve">Kesehatan Reproduksi dan Seksual Remaja (Klinis)</w:t>
            </w:r>
          </w:p>
          <w:p>
            <w:pPr>
              <w:spacing w:after="0"/>
            </w:pPr>
            <w:r>
              <w:rPr>
                <w:rFonts w:ascii="Calibri" w:cs="Calibri" w:eastAsia="Calibri" w:hAnsi="Calibri"/>
                <w:i/>
                <w:iCs/>
                <w:color w:val="F0DCE2"/>
                <w:sz w:val="20"/>
                <w:szCs w:val="20"/>
              </w:rPr>
              <w:t xml:space="preserve">KSM Obstetri dan Ginekologi — Subspesialis Obstetri Ginekologi Sosial</w:t>
            </w:r>
          </w:p>
        </w:tc>
      </w:tr>
    </w:tbl>
    <w:p>
      <w:pPr>
        <w:spacing w:after="160" w:before="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gridCol w:w="100"/>
      </w:tblGrid>
      <w:tr>
        <w:tc>
          <w:tcPr>
            <w:tcW w:type="pct" w:w="34%"/>
            <w:tcBorders>
              <w:top w:val="single" w:color="FFFFFF" w:sz="2"/>
              <w:left w:val="single" w:color="FFFFFF" w:sz="2"/>
              <w:bottom w:val="single" w:color="FFFFFF" w:sz="2"/>
              <w:right w:val="single" w:color="FFFFFF" w:sz="2"/>
            </w:tcBorders>
          </w:tcPr>
          <w:tbl>
            <w:tblPr>
              <w:tblW w:type="dxa" w:w="36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dxa" w:w="3600"/>
                  <w:tcBorders>
                    <w:top w:val="single" w:color="7A1F3D" w:sz="2"/>
                    <w:left w:val="single" w:color="7A1F3D" w:sz="2"/>
                    <w:bottom w:val="single" w:color="7A1F3D" w:sz="2"/>
                    <w:right w:val="single" w:color="7A1F3D" w:sz="2"/>
                  </w:tcBorders>
                  <w:shd w:fill="FBF4F6" w:color="auto" w:val="clear"/>
                  <w:tcMar>
                    <w:top w:type="dxa" w:w="80"/>
                    <w:left w:type="dxa" w:w="180"/>
                    <w:bottom w:type="dxa" w:w="80"/>
                    <w:right w:type="dxa" w:w="180"/>
                  </w:tcMar>
                </w:tcPr>
                <w:p>
                  <w:pPr>
                    <w:spacing w:after="0"/>
                    <w:jc w:val="center"/>
                  </w:pPr>
                  <w:r>
                    <w:rPr>
                      <w:rFonts w:ascii="Calibri" w:cs="Calibri" w:eastAsia="Calibri" w:hAnsi="Calibri"/>
                      <w:b/>
                      <w:bCs/>
                      <w:color w:val="7A1F3D"/>
                      <w:sz w:val="18"/>
                      <w:szCs w:val="18"/>
                    </w:rPr>
                    <w:t xml:space="preserve">JENIS: PPK</w:t>
                  </w:r>
                </w:p>
              </w:tc>
            </w:tr>
          </w:tbl>
          <w:p/>
        </w:tc>
        <w:tc>
          <w:tcPr>
            <w:tcW w:type="pct" w:w="33%"/>
            <w:tcBorders>
              <w:top w:val="single" w:color="FFFFFF" w:sz="2"/>
              <w:left w:val="single" w:color="FFFFFF" w:sz="2"/>
              <w:bottom w:val="single" w:color="FFFFFF" w:sz="2"/>
              <w:right w:val="single" w:color="FFFFFF" w:sz="2"/>
            </w:tcBorders>
          </w:tcPr>
          <w:tbl>
            <w:tblPr>
              <w:tblW w:type="dxa" w:w="36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dxa" w:w="3600"/>
                  <w:tcBorders>
                    <w:top w:val="single" w:color="8C6D1F" w:sz="2"/>
                    <w:left w:val="single" w:color="8C6D1F" w:sz="2"/>
                    <w:bottom w:val="single" w:color="8C6D1F" w:sz="2"/>
                    <w:right w:val="single" w:color="8C6D1F" w:sz="2"/>
                  </w:tcBorders>
                  <w:shd w:fill="FBF3DF" w:color="auto" w:val="clear"/>
                  <w:tcMar>
                    <w:top w:type="dxa" w:w="80"/>
                    <w:left w:type="dxa" w:w="180"/>
                    <w:bottom w:type="dxa" w:w="80"/>
                    <w:right w:type="dxa" w:w="180"/>
                  </w:tcMar>
                </w:tcPr>
                <w:p>
                  <w:pPr>
                    <w:spacing w:after="0"/>
                    <w:jc w:val="center"/>
                  </w:pPr>
                  <w:r>
                    <w:rPr>
                      <w:rFonts w:ascii="Calibri" w:cs="Calibri" w:eastAsia="Calibri" w:hAnsi="Calibri"/>
                      <w:b/>
                      <w:bCs/>
                      <w:color w:val="8C6D1F"/>
                      <w:sz w:val="18"/>
                      <w:szCs w:val="18"/>
                    </w:rPr>
                    <w:t xml:space="preserve">SERI 14 BUKU AJAR — BUKU 7</w:t>
                  </w:r>
                </w:p>
              </w:tc>
            </w:tr>
          </w:tbl>
          <w:p/>
        </w:tc>
        <w:tc>
          <w:tcPr>
            <w:tcW w:type="pct" w:w="33%"/>
            <w:tcBorders>
              <w:top w:val="single" w:color="FFFFFF" w:sz="2"/>
              <w:left w:val="single" w:color="FFFFFF" w:sz="2"/>
              <w:bottom w:val="single" w:color="FFFFFF" w:sz="2"/>
              <w:right w:val="single" w:color="FFFFFF" w:sz="2"/>
            </w:tcBorders>
          </w:tcPr>
          <w:tbl>
            <w:tblPr>
              <w:tblW w:type="dxa" w:w="36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dxa" w:w="3600"/>
                  <w:tcBorders>
                    <w:top w:val="single" w:color="7A1F3D" w:sz="2"/>
                    <w:left w:val="single" w:color="7A1F3D" w:sz="2"/>
                    <w:bottom w:val="single" w:color="7A1F3D" w:sz="2"/>
                    <w:right w:val="single" w:color="7A1F3D" w:sz="2"/>
                  </w:tcBorders>
                  <w:shd w:fill="FBF4F6" w:color="auto" w:val="clear"/>
                  <w:tcMar>
                    <w:top w:type="dxa" w:w="80"/>
                    <w:left w:type="dxa" w:w="180"/>
                    <w:bottom w:type="dxa" w:w="80"/>
                    <w:right w:type="dxa" w:w="180"/>
                  </w:tcMar>
                </w:tcPr>
                <w:p>
                  <w:pPr>
                    <w:spacing w:after="0"/>
                    <w:jc w:val="center"/>
                  </w:pPr>
                  <w:r>
                    <w:rPr>
                      <w:rFonts w:ascii="Calibri" w:cs="Calibri" w:eastAsia="Calibri" w:hAnsi="Calibri"/>
                      <w:b/>
                      <w:bCs/>
                      <w:color w:val="7A1F3D"/>
                      <w:sz w:val="18"/>
                      <w:szCs w:val="18"/>
                    </w:rPr>
                    <w:t xml:space="preserve">OBSTETRI GINEKOLOGI SOSIAL</w:t>
                  </w:r>
                </w:p>
              </w:tc>
            </w:tr>
          </w:tbl>
          <w:p/>
        </w:tc>
      </w:tr>
    </w:tbl>
    <w:p>
      <w:pPr>
        <w:spacing w:after="220" w:before="0"/>
      </w:pPr>
    </w:p>
    <w:tbl>
      <w:tblPr>
        <w:tblW w:type="dxa" w:w="9350"/>
        <w:tblBorders>
          <w:top w:val="single" w:color="D9C3CA" w:sz="2"/>
          <w:left w:val="single" w:color="D9C3CA" w:sz="2"/>
          <w:bottom w:val="single" w:color="D9C3CA" w:sz="2"/>
          <w:right w:val="single" w:color="D9C3CA" w:sz="2"/>
          <w:insideH w:val="single" w:color="auto" w:sz="4"/>
          <w:insideV w:val="single" w:color="auto" w:sz="4"/>
        </w:tblBorders>
      </w:tblPr>
      <w:tblGrid>
        <w:gridCol w:w="3200"/>
        <w:gridCol w:w="6150"/>
      </w:tblGrid>
      <w:tr>
        <w:trPr>
          <w:tblHeader/>
        </w:trPr>
        <w:tc>
          <w:tcPr>
            <w:tcW w:type="dxa" w:w="320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Identitas Dokumen</w:t>
            </w:r>
          </w:p>
        </w:tc>
        <w:tc>
          <w:tcPr>
            <w:tcW w:type="dxa" w:w="615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Keterangan</w:t>
            </w:r>
          </w:p>
        </w:tc>
      </w:tr>
      <w:tr>
        <w:tc>
          <w:tcPr>
            <w:tcW w:type="dxa" w:w="32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Nama Rumah Sakit</w:t>
            </w:r>
          </w:p>
        </w:tc>
        <w:tc>
          <w:tcPr>
            <w:tcW w:type="dxa" w:w="61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[Nama Rumah Sakit]</w:t>
            </w:r>
          </w:p>
        </w:tc>
      </w:tr>
      <w:tr>
        <w:tc>
          <w:tcPr>
            <w:tcW w:type="dxa" w:w="32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Nama KSM/Departemen</w:t>
            </w:r>
          </w:p>
        </w:tc>
        <w:tc>
          <w:tcPr>
            <w:tcW w:type="dxa" w:w="61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[Nama KSM/Departemen] – Obstetri dan Ginekologi</w:t>
            </w:r>
          </w:p>
        </w:tc>
      </w:tr>
      <w:tr>
        <w:tc>
          <w:tcPr>
            <w:tcW w:type="dxa" w:w="32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Nomor Dokumen</w:t>
            </w:r>
          </w:p>
        </w:tc>
        <w:tc>
          <w:tcPr>
            <w:tcW w:type="dxa" w:w="61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[Nomor Dokumen]</w:t>
            </w:r>
          </w:p>
        </w:tc>
      </w:tr>
      <w:tr>
        <w:tc>
          <w:tcPr>
            <w:tcW w:type="dxa" w:w="32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Tanggal Berlaku / Tinjau Ulang</w:t>
            </w:r>
          </w:p>
        </w:tc>
        <w:tc>
          <w:tcPr>
            <w:tcW w:type="dxa" w:w="61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[Tanggal Berlaku/Tinjau Ulang]</w:t>
            </w:r>
          </w:p>
        </w:tc>
      </w:tr>
      <w:tr>
        <w:tc>
          <w:tcPr>
            <w:tcW w:type="dxa" w:w="32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Penulis/Penyusun</w:t>
            </w:r>
          </w:p>
        </w:tc>
        <w:tc>
          <w:tcPr>
            <w:tcW w:type="dxa" w:w="61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Dr.dr. Budi Siswanto, Sp.OG., Subsp.Obginsos., SH., S.Kom.</w:t>
            </w:r>
          </w:p>
        </w:tc>
      </w:tr>
      <w:tr>
        <w:tc>
          <w:tcPr>
            <w:tcW w:type="dxa" w:w="32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Penerbit</w:t>
            </w:r>
          </w:p>
        </w:tc>
        <w:tc>
          <w:tcPr>
            <w:tcW w:type="dxa" w:w="61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Perpustakaan ABBA</w:t>
            </w:r>
          </w:p>
        </w:tc>
      </w:tr>
      <w:tr>
        <w:tc>
          <w:tcPr>
            <w:tcW w:type="dxa" w:w="32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Alamat Penerbit</w:t>
            </w:r>
          </w:p>
        </w:tc>
        <w:tc>
          <w:tcPr>
            <w:tcW w:type="dxa" w:w="61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Jl Danau Kerinci No 9 Malang</w:t>
            </w:r>
          </w:p>
        </w:tc>
      </w:tr>
      <w:tr>
        <w:tc>
          <w:tcPr>
            <w:tcW w:type="dxa" w:w="32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Revisi</w:t>
            </w:r>
          </w:p>
        </w:tc>
        <w:tc>
          <w:tcPr>
            <w:tcW w:type="dxa" w:w="61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Edisi 2 — diperkaya dan diaudit, Agustus 2026</w:t>
            </w:r>
          </w:p>
        </w:tc>
      </w:tr>
    </w:tbl>
    <w:p>
      <w:pPr>
        <w:spacing w:after="160" w:before="0"/>
      </w:pPr>
    </w:p>
    <w:p>
      <w:pPr>
        <w:spacing w:after="120" w:before="60" w:line="276"/>
      </w:pPr>
      <w:r>
        <w:rPr>
          <w:rFonts w:ascii="Calibri" w:cs="Calibri" w:eastAsia="Calibri" w:hAnsi="Calibri"/>
          <w:i/>
          <w:iCs/>
          <w:color w:val="4A4A4A"/>
          <w:sz w:val="18"/>
          <w:szCs w:val="18"/>
        </w:rPr>
        <w:t xml:space="preserve">Dokumen ini disusun mengacu pada Keputusan Ketua Konsil Kesehatan Indonesia Nomor HK.01.02/KKI/1318/2026 tentang Standar Kompetensi Dokter Spesialis dan Subspesialis Bidang Obstetri dan Ginekologi, WHO Global Standards for Quality Health Care Services for Adolescents (edisi 2025), WHO Medical Eligibility Criteria for Contraceptive Use edisi ke-6 (2025), rangkaian Committee Opinion ACOG Committee on Adolescent Health Care, FIGO position statement on comprehensive sexuality education (2024), CDC Sexually Transmitted Infections Treatment Guidelines 2021, Pedoman Nasional Penanganan Infeksi Menular Seksual Kemenkes RI, serta peraturan perundang-undangan Indonesia yang berlaku per Juli 2026, termasuk Kitab Undang-Undang Hukum Pidana Nasional (UU No. 1 Tahun 2023) yang mulai berlaku sejak 2 Januari 2026.</w:t>
      </w:r>
    </w:p>
    <w:p>
      <w:r>
        <w:br w:type="page"/>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1. </w:t>
            </w:r>
            <w:r>
              <w:rPr>
                <w:rFonts w:ascii="Calibri" w:cs="Calibri" w:eastAsia="Calibri" w:hAnsi="Calibri"/>
                <w:b/>
                <w:bCs/>
                <w:color w:val="FFFFFF"/>
                <w:sz w:val="24"/>
                <w:szCs w:val="24"/>
              </w:rPr>
              <w:t xml:space="preserve">Pengertian (Definisi)</w:t>
            </w:r>
          </w:p>
        </w:tc>
      </w:tr>
    </w:tbl>
    <w:p>
      <w:pPr>
        <w:spacing w:after="100" w:before="0"/>
      </w:pPr>
    </w:p>
    <w:p>
      <w:pPr>
        <w:spacing w:after="120" w:before="60" w:line="276"/>
      </w:pPr>
      <w:r>
        <w:rPr>
          <w:rFonts w:ascii="Calibri" w:cs="Calibri" w:eastAsia="Calibri" w:hAnsi="Calibri"/>
          <w:color w:val="2B2B2B"/>
          <w:sz w:val="21"/>
          <w:szCs w:val="21"/>
        </w:rPr>
        <w:t xml:space="preserve">Kesehatan reproduksi dan seksual remaja adalah keadaan kesejahteraan fisik, mental, dan sosial yang utuh — bukan sekadar tidak adanya penyakit — terkait sistem, fungsi, dan proses reproduksi pada individu usia 10–19 tahun sesuai batasan WHO. Cakupannya meliputi perkembangan pubertas, kesehatan menstruasi, aktivitas dan orientasi seksual, pencegahan kehamilan tidak diinginkan, pencegahan dan tata laksana infeksi menular seksual (IMS), serta perlindungan dari kekerasan dan eksploitasi seksual.</w:t>
      </w:r>
    </w:p>
    <w:p>
      <w:pPr>
        <w:spacing w:after="120" w:before="60" w:line="276"/>
      </w:pPr>
      <w:r>
        <w:rPr>
          <w:rFonts w:ascii="Calibri" w:cs="Calibri" w:eastAsia="Calibri" w:hAnsi="Calibri"/>
          <w:color w:val="2B2B2B"/>
          <w:sz w:val="21"/>
          <w:szCs w:val="21"/>
        </w:rPr>
        <w:t xml:space="preserve">Layanan klinis bagi remaja mengutamakan pendekatan ramah remaja (adolescent-friendly health services) sesuai Global Standards for Quality Health Care Services for Adolescents (WHO, edisi terbaru 2025), yang memuat sembilan standar mutu global — antara lain literasi kesehatan remaja, dukungan komunitas, paket layanan yang sesuai, kompetensi pemberi layanan, karakteristik fasilitas, kesetaraan dan nondiskriminasi, data dan perbaikan mutu, partisipasi remaja, serta pemanfaatan teknologi kesehatan digital — dengan kerahasiaan konsultasi sebagai prasyarat mendasar agar remaja mau mengakses layanan secara jujur dan berkelanjutan.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8C6D1F" w:sz="2"/>
              <w:left w:val="single" w:color="8C6D1F" w:sz="2"/>
              <w:bottom w:val="single" w:color="8C6D1F" w:sz="2"/>
              <w:right w:val="single" w:color="8C6D1F" w:sz="2"/>
            </w:tcBorders>
            <w:shd w:fill="FBF3DF" w:color="auto" w:val="clear"/>
            <w:tcMar>
              <w:top w:type="dxa" w:w="140"/>
              <w:left w:type="dxa" w:w="240"/>
              <w:bottom w:type="dxa" w:w="140"/>
              <w:right w:type="dxa" w:w="240"/>
            </w:tcMar>
          </w:tcPr>
          <w:p>
            <w:pPr>
              <w:spacing w:after="0" w:line="258"/>
            </w:pPr>
            <w:r>
              <w:rPr>
                <w:rFonts w:ascii="Calibri" w:cs="Calibri" w:eastAsia="Calibri" w:hAnsi="Calibri"/>
                <w:b/>
                <w:bCs/>
                <w:color w:val="8C6D1F"/>
                <w:sz w:val="19"/>
                <w:szCs w:val="19"/>
              </w:rPr>
              <w:t xml:space="preserve">Catatan konteks Indonesia: </w:t>
            </w:r>
            <w:r>
              <w:rPr>
                <w:rFonts w:ascii="Calibri" w:cs="Calibri" w:eastAsia="Calibri" w:hAnsi="Calibri"/>
                <w:color w:val="2B2B2B"/>
                <w:sz w:val="19"/>
                <w:szCs w:val="19"/>
              </w:rPr>
              <w:t xml:space="preserve">penerapan standar internasional di atas tetap tunduk pada peraturan perundang-undangan Indonesia yang berlaku, termasuk ketentuan mengenai sasaran layanan kontrasepsi remaja (lihat Bagian 8.1 dan Aspek Etikolegal).</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2. </w:t>
            </w:r>
            <w:r>
              <w:rPr>
                <w:rFonts w:ascii="Calibri" w:cs="Calibri" w:eastAsia="Calibri" w:hAnsi="Calibri"/>
                <w:b/>
                <w:bCs/>
                <w:color w:val="FFFFFF"/>
                <w:sz w:val="24"/>
                <w:szCs w:val="24"/>
              </w:rPr>
              <w:t xml:space="preserve">Anamnesis</w:t>
            </w:r>
          </w:p>
        </w:tc>
      </w:tr>
    </w:tbl>
    <w:p>
      <w:pPr>
        <w:spacing w:after="100" w:before="0"/>
      </w:pPr>
    </w:p>
    <w:p>
      <w:pPr>
        <w:spacing w:after="80" w:before="160"/>
      </w:pPr>
      <w:r>
        <w:rPr>
          <w:rFonts w:ascii="Calibri" w:cs="Calibri" w:eastAsia="Calibri" w:hAnsi="Calibri"/>
          <w:b/>
          <w:bCs/>
          <w:color w:val="7A1F3D"/>
          <w:sz w:val="22"/>
          <w:szCs w:val="22"/>
        </w:rPr>
        <w:t xml:space="preserve">Identitas dan Konteks Psikososial</w:t>
      </w:r>
    </w:p>
    <w:p>
      <w:pPr>
        <w:pStyle w:val="ListParagraph"/>
        <w:numPr>
          <w:ilvl w:val="0"/>
          <w:numId w:val="1"/>
        </w:numPr>
        <w:spacing w:after="80" w:before="30" w:line="264"/>
      </w:pPr>
      <w:r>
        <w:rPr>
          <w:rFonts w:ascii="Calibri" w:cs="Calibri" w:eastAsia="Calibri" w:hAnsi="Calibri"/>
          <w:color w:val="2B2B2B"/>
          <w:sz w:val="21"/>
          <w:szCs w:val="21"/>
        </w:rPr>
        <w:t xml:space="preserve">Usia, jenjang pendidikan/status sekolah, tempat tinggal, struktur dan dukungan keluarga.</w:t>
      </w:r>
    </w:p>
    <w:p>
      <w:pPr>
        <w:pStyle w:val="ListParagraph"/>
        <w:numPr>
          <w:ilvl w:val="0"/>
          <w:numId w:val="1"/>
        </w:numPr>
        <w:spacing w:after="80" w:before="30" w:line="264"/>
      </w:pPr>
      <w:r>
        <w:rPr>
          <w:rFonts w:ascii="Calibri" w:cs="Calibri" w:eastAsia="Calibri" w:hAnsi="Calibri"/>
          <w:color w:val="2B2B2B"/>
          <w:sz w:val="21"/>
          <w:szCs w:val="21"/>
        </w:rPr>
        <w:t xml:space="preserve">Anamnesis terstruktur HEADSSS (Home, Education/Employment, Activities, Drugs, Sexuality, Suicide/Depression, Safety), dilakukan tanpa pendamping orang tua untuk komponen sensitif, dengan persetujuan remaja terlebih dahulu.</w:t>
      </w:r>
    </w:p>
    <w:p>
      <w:pPr>
        <w:spacing w:after="80" w:before="160"/>
      </w:pPr>
      <w:r>
        <w:rPr>
          <w:rFonts w:ascii="Calibri" w:cs="Calibri" w:eastAsia="Calibri" w:hAnsi="Calibri"/>
          <w:b/>
          <w:bCs/>
          <w:color w:val="7A1F3D"/>
          <w:sz w:val="22"/>
          <w:szCs w:val="22"/>
        </w:rPr>
        <w:t xml:space="preserve">Riwayat Menstruasi dan Seksual</w:t>
      </w:r>
    </w:p>
    <w:p>
      <w:pPr>
        <w:pStyle w:val="ListParagraph"/>
        <w:numPr>
          <w:ilvl w:val="0"/>
          <w:numId w:val="1"/>
        </w:numPr>
        <w:spacing w:after="80" w:before="30" w:line="264"/>
      </w:pPr>
      <w:r>
        <w:rPr>
          <w:rFonts w:ascii="Calibri" w:cs="Calibri" w:eastAsia="Calibri" w:hAnsi="Calibri"/>
          <w:color w:val="2B2B2B"/>
          <w:sz w:val="21"/>
          <w:szCs w:val="21"/>
        </w:rPr>
        <w:t xml:space="preserve">Usia menarche, karakteristik siklus (panjang, durasi, volume perdarahan), keluhan penyerta (dismenore, menoragia, oligomenore/amenore).</w:t>
      </w:r>
    </w:p>
    <w:p>
      <w:pPr>
        <w:pStyle w:val="ListParagraph"/>
        <w:numPr>
          <w:ilvl w:val="0"/>
          <w:numId w:val="1"/>
        </w:numPr>
        <w:spacing w:after="80" w:before="30" w:line="264"/>
      </w:pPr>
      <w:r>
        <w:rPr>
          <w:rFonts w:ascii="Calibri" w:cs="Calibri" w:eastAsia="Calibri" w:hAnsi="Calibri"/>
          <w:color w:val="2B2B2B"/>
          <w:sz w:val="21"/>
          <w:szCs w:val="21"/>
        </w:rPr>
        <w:t xml:space="preserve">Riwayat aktivitas seksual bersifat sukarela (voluntary disclosure) — usia hubungan seksual pertama, jumlah pasangan, konsistensi penggunaan kondom/kontrasepsi, orientasi dan identitas gender — ditanyakan dengan bahasa terbuka dan nonjudgmental, mengikuti prinsip anamnesis seksual remaja ACOG (Committee Opinion No. 811).</w:t>
      </w:r>
    </w:p>
    <w:p>
      <w:pPr>
        <w:pStyle w:val="ListParagraph"/>
        <w:numPr>
          <w:ilvl w:val="0"/>
          <w:numId w:val="1"/>
        </w:numPr>
        <w:spacing w:after="80" w:before="30" w:line="264"/>
      </w:pPr>
      <w:r>
        <w:rPr>
          <w:rFonts w:ascii="Calibri" w:cs="Calibri" w:eastAsia="Calibri" w:hAnsi="Calibri"/>
          <w:color w:val="2B2B2B"/>
          <w:sz w:val="21"/>
          <w:szCs w:val="21"/>
        </w:rPr>
        <w:t xml:space="preserve">Riwayat penggunaan kontrasepsi sebelumnya beserta efek samping yang dialami.</w:t>
      </w:r>
    </w:p>
    <w:p>
      <w:pPr>
        <w:spacing w:after="80" w:before="160"/>
      </w:pPr>
      <w:r>
        <w:rPr>
          <w:rFonts w:ascii="Calibri" w:cs="Calibri" w:eastAsia="Calibri" w:hAnsi="Calibri"/>
          <w:b/>
          <w:bCs/>
          <w:color w:val="7A1F3D"/>
          <w:sz w:val="22"/>
          <w:szCs w:val="22"/>
        </w:rPr>
        <w:t xml:space="preserve">Skrining Gejala dan Keselamatan</w:t>
      </w:r>
    </w:p>
    <w:p>
      <w:pPr>
        <w:pStyle w:val="ListParagraph"/>
        <w:numPr>
          <w:ilvl w:val="0"/>
          <w:numId w:val="1"/>
        </w:numPr>
        <w:spacing w:after="80" w:before="30" w:line="264"/>
      </w:pPr>
      <w:r>
        <w:rPr>
          <w:rFonts w:ascii="Calibri" w:cs="Calibri" w:eastAsia="Calibri" w:hAnsi="Calibri"/>
          <w:color w:val="2B2B2B"/>
          <w:sz w:val="21"/>
          <w:szCs w:val="21"/>
        </w:rPr>
        <w:t xml:space="preserve">Gejala infeksi menular seksual: duh vagina/uretra abnormal, nyeri panggul, lesi/luka genital, disuria.</w:t>
      </w:r>
    </w:p>
    <w:p>
      <w:pPr>
        <w:pStyle w:val="ListParagraph"/>
        <w:numPr>
          <w:ilvl w:val="0"/>
          <w:numId w:val="1"/>
        </w:numPr>
        <w:spacing w:after="80" w:before="30" w:line="264"/>
      </w:pPr>
      <w:r>
        <w:rPr>
          <w:rFonts w:ascii="Calibri" w:cs="Calibri" w:eastAsia="Calibri" w:hAnsi="Calibri"/>
          <w:color w:val="2B2B2B"/>
          <w:sz w:val="21"/>
          <w:szCs w:val="21"/>
        </w:rPr>
        <w:t xml:space="preserve">Kemungkinan kehamilan: hari pertama haid terakhir (HPHT), mual, keterlambatan haid.</w:t>
      </w:r>
    </w:p>
    <w:p>
      <w:pPr>
        <w:pStyle w:val="ListParagraph"/>
        <w:numPr>
          <w:ilvl w:val="0"/>
          <w:numId w:val="1"/>
        </w:numPr>
        <w:spacing w:after="80" w:before="30" w:line="264"/>
      </w:pPr>
      <w:r>
        <w:rPr>
          <w:rFonts w:ascii="Calibri" w:cs="Calibri" w:eastAsia="Calibri" w:hAnsi="Calibri"/>
          <w:color w:val="2B2B2B"/>
          <w:sz w:val="21"/>
          <w:szCs w:val="21"/>
        </w:rPr>
        <w:t xml:space="preserve">Skrining kekerasan seksual dan paksaan menggunakan kalimat pembuka nonjudgmental dan bertahap, dilakukan di ruang privat, tanpa kehadiran pihak yang dicurigai sebagai pelaku.</w:t>
      </w:r>
    </w:p>
    <w:p>
      <w:pPr>
        <w:pStyle w:val="ListParagraph"/>
        <w:numPr>
          <w:ilvl w:val="0"/>
          <w:numId w:val="1"/>
        </w:numPr>
        <w:spacing w:after="80" w:before="30" w:line="264"/>
      </w:pPr>
      <w:r>
        <w:rPr>
          <w:rFonts w:ascii="Calibri" w:cs="Calibri" w:eastAsia="Calibri" w:hAnsi="Calibri"/>
          <w:color w:val="2B2B2B"/>
          <w:sz w:val="21"/>
          <w:szCs w:val="21"/>
        </w:rPr>
        <w:t xml:space="preserve">Riwayat penyakit dahulu, riwayat alergi obat, dan skrining ringkas kesehatan jiwa (mis. gejala depresi/ansietas) yang relevan dengan kapasitas pengambilan keputusan remaja.</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3. </w:t>
            </w:r>
            <w:r>
              <w:rPr>
                <w:rFonts w:ascii="Calibri" w:cs="Calibri" w:eastAsia="Calibri" w:hAnsi="Calibri"/>
                <w:b/>
                <w:bCs/>
                <w:color w:val="FFFFFF"/>
                <w:sz w:val="24"/>
                <w:szCs w:val="24"/>
              </w:rPr>
              <w:t xml:space="preserve">Pemeriksaan Fisik</w:t>
            </w:r>
          </w:p>
        </w:tc>
      </w:tr>
    </w:tbl>
    <w:p>
      <w:pPr>
        <w:spacing w:after="100" w:before="0"/>
      </w:pPr>
    </w:p>
    <w:p>
      <w:pPr>
        <w:pStyle w:val="ListParagraph"/>
        <w:numPr>
          <w:ilvl w:val="0"/>
          <w:numId w:val="1"/>
        </w:numPr>
        <w:spacing w:after="80" w:before="30" w:line="264"/>
      </w:pPr>
      <w:r>
        <w:rPr>
          <w:rFonts w:ascii="Calibri" w:cs="Calibri" w:eastAsia="Calibri" w:hAnsi="Calibri"/>
          <w:color w:val="2B2B2B"/>
          <w:sz w:val="21"/>
          <w:szCs w:val="21"/>
        </w:rPr>
        <w:t xml:space="preserve">Tanda vital lengkap, berat badan, tinggi badan, indeks massa tubuh (IMT) per kurva usia.</w:t>
      </w:r>
    </w:p>
    <w:p>
      <w:pPr>
        <w:pStyle w:val="ListParagraph"/>
        <w:numPr>
          <w:ilvl w:val="0"/>
          <w:numId w:val="1"/>
        </w:numPr>
        <w:spacing w:after="80" w:before="30" w:line="264"/>
      </w:pPr>
      <w:r>
        <w:rPr>
          <w:rFonts w:ascii="Calibri" w:cs="Calibri" w:eastAsia="Calibri" w:hAnsi="Calibri"/>
          <w:color w:val="2B2B2B"/>
          <w:sz w:val="21"/>
          <w:szCs w:val="21"/>
        </w:rPr>
        <w:t xml:space="preserve">Penilaian tahap perkembangan pubertas (Tanner staging) untuk payudara dan rambut pubis (lihat Tabel Kriteria Diagnosis); pendokumentasian Tanner staging dilakukan pada setiap pemeriksaan ginekologis remaja sesuai rekomendasi ACOG.</w:t>
      </w:r>
    </w:p>
    <w:p>
      <w:pPr>
        <w:pStyle w:val="ListParagraph"/>
        <w:numPr>
          <w:ilvl w:val="0"/>
          <w:numId w:val="1"/>
        </w:numPr>
        <w:spacing w:after="80" w:before="30" w:line="264"/>
      </w:pPr>
      <w:r>
        <w:rPr>
          <w:rFonts w:ascii="Calibri" w:cs="Calibri" w:eastAsia="Calibri" w:hAnsi="Calibri"/>
          <w:color w:val="2B2B2B"/>
          <w:sz w:val="21"/>
          <w:szCs w:val="21"/>
        </w:rPr>
        <w:t xml:space="preserve">Pemeriksaan abdomen: massa, nyeri tekan suprapubik/adneksa.</w:t>
      </w:r>
    </w:p>
    <w:p>
      <w:pPr>
        <w:pStyle w:val="ListParagraph"/>
        <w:numPr>
          <w:ilvl w:val="0"/>
          <w:numId w:val="1"/>
        </w:numPr>
        <w:spacing w:after="80" w:before="30" w:line="264"/>
      </w:pPr>
      <w:r>
        <w:rPr>
          <w:rFonts w:ascii="Calibri" w:cs="Calibri" w:eastAsia="Calibri" w:hAnsi="Calibri"/>
          <w:color w:val="2B2B2B"/>
          <w:sz w:val="21"/>
          <w:szCs w:val="21"/>
        </w:rPr>
        <w:t xml:space="preserve">Pemeriksaan genital eksterna hanya atas indikasi klinis yang jelas (mis. perdarahan abnormal, duh bergejala, nyeri pelvis), dilakukan seminimal mungkin invasif, dengan pendamping (chaperone) wajib sesuai kebijakan ACOG, dan informed consent/assent remaja.</w:t>
      </w:r>
    </w:p>
    <w:p>
      <w:pPr>
        <w:pStyle w:val="ListParagraph"/>
        <w:numPr>
          <w:ilvl w:val="0"/>
          <w:numId w:val="1"/>
        </w:numPr>
        <w:spacing w:after="80" w:before="30" w:line="264"/>
      </w:pPr>
      <w:r>
        <w:rPr>
          <w:rFonts w:ascii="Calibri" w:cs="Calibri" w:eastAsia="Calibri" w:hAnsi="Calibri"/>
          <w:color w:val="2B2B2B"/>
          <w:sz w:val="21"/>
          <w:szCs w:val="21"/>
        </w:rPr>
        <w:t xml:space="preserve">Kunjungan reproduksi awal (usia 13–15 tahun menurut ACOG Committee Opinion No. 811) TIDAK memerlukan pemeriksaan panggul internal (inspekulo/bimanual) secara rutin; pemeriksaan tersebut hanya dilakukan atas indikasi klinis (mis. perdarahan abnormal, duh, nyeri perut/panggul) sesuai ACOG Committee Opinion No. 754.</w:t>
      </w:r>
    </w:p>
    <w:p>
      <w:pPr>
        <w:pStyle w:val="ListParagraph"/>
        <w:numPr>
          <w:ilvl w:val="0"/>
          <w:numId w:val="1"/>
        </w:numPr>
        <w:spacing w:after="80" w:before="30" w:line="264"/>
      </w:pPr>
      <w:r>
        <w:rPr>
          <w:rFonts w:ascii="Calibri" w:cs="Calibri" w:eastAsia="Calibri" w:hAnsi="Calibri"/>
          <w:color w:val="2B2B2B"/>
          <w:sz w:val="21"/>
          <w:szCs w:val="21"/>
        </w:rPr>
        <w:t xml:space="preserve">Pada kecurigaan kekerasan seksual: pemeriksaan forensik dilakukan oleh tim terlatih/Pusat Pelayanan Terpadu (PPT) rumah sakit, dengan dokumentasi visum et repertum sesuai prosedur medikolegal.</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4. </w:t>
            </w:r>
            <w:r>
              <w:rPr>
                <w:rFonts w:ascii="Calibri" w:cs="Calibri" w:eastAsia="Calibri" w:hAnsi="Calibri"/>
                <w:b/>
                <w:bCs/>
                <w:color w:val="FFFFFF"/>
                <w:sz w:val="24"/>
                <w:szCs w:val="24"/>
              </w:rPr>
              <w:t xml:space="preserve">Kriteria Diagnosis</w:t>
            </w:r>
          </w:p>
        </w:tc>
      </w:tr>
    </w:tbl>
    <w:p>
      <w:pPr>
        <w:spacing w:after="100" w:before="0"/>
      </w:pPr>
    </w:p>
    <w:p>
      <w:pPr>
        <w:spacing w:after="80" w:before="160"/>
      </w:pPr>
      <w:r>
        <w:rPr>
          <w:rFonts w:ascii="Calibri" w:cs="Calibri" w:eastAsia="Calibri" w:hAnsi="Calibri"/>
          <w:b/>
          <w:bCs/>
          <w:color w:val="7A1F3D"/>
          <w:sz w:val="22"/>
          <w:szCs w:val="22"/>
        </w:rPr>
        <w:t xml:space="preserve">Tabel 1. Tahap Perkembangan Pubertas (Tanner Staging) — Payudara</w:t>
      </w:r>
    </w:p>
    <w:tbl>
      <w:tblPr>
        <w:tblW w:type="dxa" w:w="9350"/>
        <w:tblBorders>
          <w:top w:val="single" w:color="D9C3CA" w:sz="2"/>
          <w:left w:val="single" w:color="D9C3CA" w:sz="2"/>
          <w:bottom w:val="single" w:color="D9C3CA" w:sz="2"/>
          <w:right w:val="single" w:color="D9C3CA" w:sz="2"/>
          <w:insideH w:val="single" w:color="auto" w:sz="4"/>
          <w:insideV w:val="single" w:color="auto" w:sz="4"/>
        </w:tblBorders>
      </w:tblPr>
      <w:tblGrid>
        <w:gridCol w:w="1500"/>
        <w:gridCol w:w="2400"/>
        <w:gridCol w:w="5450"/>
      </w:tblGrid>
      <w:tr>
        <w:trPr>
          <w:tblHeader/>
        </w:trPr>
        <w:tc>
          <w:tcPr>
            <w:tcW w:type="dxa" w:w="150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Tahap</w:t>
            </w:r>
          </w:p>
        </w:tc>
        <w:tc>
          <w:tcPr>
            <w:tcW w:type="dxa" w:w="240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Rentang Usia Umum</w:t>
            </w:r>
          </w:p>
        </w:tc>
        <w:tc>
          <w:tcPr>
            <w:tcW w:type="dxa" w:w="545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Deskripsi Klinis</w:t>
            </w:r>
          </w:p>
        </w:tc>
      </w:tr>
      <w:tr>
        <w:tc>
          <w:tcPr>
            <w:tcW w:type="dxa" w:w="15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Tanner I</w:t>
            </w:r>
          </w:p>
        </w:tc>
        <w:tc>
          <w:tcPr>
            <w:tcW w:type="dxa" w:w="2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&lt; 10 tahun</w:t>
            </w:r>
          </w:p>
        </w:tc>
        <w:tc>
          <w:tcPr>
            <w:tcW w:type="dxa" w:w="54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Pre-pubertas; belum ada jaringan payudara teraba.</w:t>
            </w:r>
          </w:p>
        </w:tc>
      </w:tr>
      <w:tr>
        <w:tc>
          <w:tcPr>
            <w:tcW w:type="dxa" w:w="15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Tanner II</w:t>
            </w:r>
          </w:p>
        </w:tc>
        <w:tc>
          <w:tcPr>
            <w:tcW w:type="dxa" w:w="24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8–13 tahun</w:t>
            </w:r>
          </w:p>
        </w:tc>
        <w:tc>
          <w:tcPr>
            <w:tcW w:type="dxa" w:w="54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Thelarche; tunas payudara (breast bud) mulai teraba.</w:t>
            </w:r>
          </w:p>
        </w:tc>
      </w:tr>
      <w:tr>
        <w:tc>
          <w:tcPr>
            <w:tcW w:type="dxa" w:w="15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Tanner III</w:t>
            </w:r>
          </w:p>
        </w:tc>
        <w:tc>
          <w:tcPr>
            <w:tcW w:type="dxa" w:w="2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10–14 tahun</w:t>
            </w:r>
          </w:p>
        </w:tc>
        <w:tc>
          <w:tcPr>
            <w:tcW w:type="dxa" w:w="54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Pembesaran payudara dan areola lebih lanjut tanpa pemisahan kontur.</w:t>
            </w:r>
          </w:p>
        </w:tc>
      </w:tr>
      <w:tr>
        <w:tc>
          <w:tcPr>
            <w:tcW w:type="dxa" w:w="15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Tanner IV</w:t>
            </w:r>
          </w:p>
        </w:tc>
        <w:tc>
          <w:tcPr>
            <w:tcW w:type="dxa" w:w="24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11–15 tahun</w:t>
            </w:r>
          </w:p>
        </w:tc>
        <w:tc>
          <w:tcPr>
            <w:tcW w:type="dxa" w:w="54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Areola dan papila membentuk kontur sekunder di atas payudara.</w:t>
            </w:r>
          </w:p>
        </w:tc>
      </w:tr>
      <w:tr>
        <w:tc>
          <w:tcPr>
            <w:tcW w:type="dxa" w:w="15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Tanner V</w:t>
            </w:r>
          </w:p>
        </w:tc>
        <w:tc>
          <w:tcPr>
            <w:tcW w:type="dxa" w:w="2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 13 tahun</w:t>
            </w:r>
          </w:p>
        </w:tc>
        <w:tc>
          <w:tcPr>
            <w:tcW w:type="dxa" w:w="54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Payudara matur; kontur areola menyatu kembali dengan kontur payudara.</w:t>
            </w:r>
          </w:p>
        </w:tc>
      </w:tr>
    </w:tbl>
    <w:p>
      <w:pPr>
        <w:spacing w:after="140" w:before="0"/>
      </w:pPr>
    </w:p>
    <w:p>
      <w:pPr>
        <w:spacing w:after="120" w:before="60" w:line="276"/>
      </w:pPr>
      <w:r>
        <w:rPr>
          <w:rFonts w:ascii="Calibri" w:cs="Calibri" w:eastAsia="Calibri" w:hAnsi="Calibri"/>
          <w:color w:val="2B2B2B"/>
          <w:sz w:val="21"/>
          <w:szCs w:val="21"/>
        </w:rPr>
        <w:t xml:space="preserve">Pubertas dikategorikan prekoks apabila tanda seksual sekunder muncul sebelum usia 8 tahun, dan pubertas terlambat (delayed puberty) apabila belum ada thelarche pada usia ≥ 13 tahun atau belum menarche dalam 3 tahun sejak thelarche — kedua kondisi ini memerlukan rujukan endokrinologi anak/reproduksi.</w:t>
      </w:r>
    </w:p>
    <w:p>
      <w:pPr>
        <w:spacing w:after="80" w:before="160"/>
      </w:pPr>
      <w:r>
        <w:rPr>
          <w:rFonts w:ascii="Calibri" w:cs="Calibri" w:eastAsia="Calibri" w:hAnsi="Calibri"/>
          <w:b/>
          <w:bCs/>
          <w:color w:val="7A1F3D"/>
          <w:sz w:val="22"/>
          <w:szCs w:val="22"/>
        </w:rPr>
        <w:t xml:space="preserve">Kriteria Diagnosis Kondisi Tersering</w:t>
      </w:r>
    </w:p>
    <w:p>
      <w:pPr>
        <w:pStyle w:val="ListParagraph"/>
        <w:numPr>
          <w:ilvl w:val="0"/>
          <w:numId w:val="1"/>
        </w:numPr>
        <w:spacing w:after="80" w:before="30" w:line="264"/>
      </w:pPr>
      <w:r>
        <w:rPr>
          <w:rFonts w:ascii="Calibri" w:cs="Calibri" w:eastAsia="Calibri" w:hAnsi="Calibri"/>
          <w:color w:val="2B2B2B"/>
          <w:sz w:val="21"/>
          <w:szCs w:val="21"/>
        </w:rPr>
        <w:t xml:space="preserve">Dismenore primer: nyeri haid kram di suprapubik yang timbul dalam 6–36 bulan pasca-menarche, tanpa kelainan pelvis organik pada pemeriksaan/USG.</w:t>
      </w:r>
    </w:p>
    <w:p>
      <w:pPr>
        <w:pStyle w:val="ListParagraph"/>
        <w:numPr>
          <w:ilvl w:val="0"/>
          <w:numId w:val="1"/>
        </w:numPr>
        <w:spacing w:after="80" w:before="30" w:line="264"/>
      </w:pPr>
      <w:r>
        <w:rPr>
          <w:rFonts w:ascii="Calibri" w:cs="Calibri" w:eastAsia="Calibri" w:hAnsi="Calibri"/>
          <w:color w:val="2B2B2B"/>
          <w:sz w:val="21"/>
          <w:szCs w:val="21"/>
        </w:rPr>
        <w:t xml:space="preserve">Perdarahan haid banyak (heavy menstrual bleeding): perdarahan menstruasi berlebihan yang mengganggu kualitas hidup fisik, sosial, emosional, atau material pasien, sesuai definisi ACOG Committee Opinion No. 785; diklasifikasikan penyebabnya dengan sistem PALM-COEIN (Polip, Adenomiosis, Leiomioma, Malignansi/hiperplasia, Koagulopati, disfungsi Ovulasi, penyebab Endometrium, Iatrogenik, belum terklasifikasi/Not otherwise classified).</w:t>
      </w:r>
    </w:p>
    <w:p>
      <w:pPr>
        <w:pStyle w:val="ListParagraph"/>
        <w:numPr>
          <w:ilvl w:val="0"/>
          <w:numId w:val="1"/>
        </w:numPr>
        <w:spacing w:after="80" w:before="30" w:line="264"/>
      </w:pPr>
      <w:r>
        <w:rPr>
          <w:rFonts w:ascii="Calibri" w:cs="Calibri" w:eastAsia="Calibri" w:hAnsi="Calibri"/>
          <w:color w:val="2B2B2B"/>
          <w:sz w:val="21"/>
          <w:szCs w:val="21"/>
        </w:rPr>
        <w:t xml:space="preserve">Sindrom ovarium polikistik (SOPK) pada remaja: menggunakan kriteria adaptasi (oligo/anovulasi persisten ≥ 2 tahun pasca-menarche DAN hiperandrogenisme klinis/biokimia); USG ovarium tidak digunakan sebagai kriteria tunggal pada remaja karena morfologi multifolikular fisiologis pada kelompok usia ini.</w:t>
      </w:r>
    </w:p>
    <w:p>
      <w:pPr>
        <w:pStyle w:val="ListParagraph"/>
        <w:numPr>
          <w:ilvl w:val="0"/>
          <w:numId w:val="1"/>
        </w:numPr>
        <w:spacing w:after="80" w:before="30" w:line="264"/>
      </w:pPr>
      <w:r>
        <w:rPr>
          <w:rFonts w:ascii="Calibri" w:cs="Calibri" w:eastAsia="Calibri" w:hAnsi="Calibri"/>
          <w:color w:val="2B2B2B"/>
          <w:sz w:val="21"/>
          <w:szCs w:val="21"/>
        </w:rPr>
        <w:t xml:space="preserve">Servisitis/vaginitis akibat IMS: duh vagina/uretra purulen disertai konfirmasi laboratorium (NAAT) untuk Chlamydia trachomatis dan/atau Neisseria gonorrhoeae.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5. </w:t>
            </w:r>
            <w:r>
              <w:rPr>
                <w:rFonts w:ascii="Calibri" w:cs="Calibri" w:eastAsia="Calibri" w:hAnsi="Calibri"/>
                <w:b/>
                <w:bCs/>
                <w:color w:val="FFFFFF"/>
                <w:sz w:val="24"/>
                <w:szCs w:val="24"/>
              </w:rPr>
              <w:t xml:space="preserve">Diagnosis Kerja</w:t>
            </w:r>
          </w:p>
        </w:tc>
      </w:tr>
    </w:tbl>
    <w:p>
      <w:pPr>
        <w:spacing w:after="100" w:before="0"/>
      </w:pPr>
    </w:p>
    <w:p>
      <w:pPr>
        <w:pStyle w:val="ListParagraph"/>
        <w:numPr>
          <w:ilvl w:val="0"/>
          <w:numId w:val="1"/>
        </w:numPr>
        <w:spacing w:after="80" w:before="30" w:line="264"/>
      </w:pPr>
      <w:r>
        <w:rPr>
          <w:rFonts w:ascii="Calibri" w:cs="Calibri" w:eastAsia="Calibri" w:hAnsi="Calibri"/>
          <w:color w:val="2B2B2B"/>
          <w:sz w:val="21"/>
          <w:szCs w:val="21"/>
        </w:rPr>
        <w:t xml:space="preserve">Gangguan Siklus Menstruasi Remaja (ICD-10 N92).</w:t>
      </w:r>
    </w:p>
    <w:p>
      <w:pPr>
        <w:pStyle w:val="ListParagraph"/>
        <w:numPr>
          <w:ilvl w:val="0"/>
          <w:numId w:val="1"/>
        </w:numPr>
        <w:spacing w:after="80" w:before="30" w:line="264"/>
      </w:pPr>
      <w:r>
        <w:rPr>
          <w:rFonts w:ascii="Calibri" w:cs="Calibri" w:eastAsia="Calibri" w:hAnsi="Calibri"/>
          <w:color w:val="2B2B2B"/>
          <w:sz w:val="21"/>
          <w:szCs w:val="21"/>
        </w:rPr>
        <w:t xml:space="preserve">Dismenore Primer (ICD-10 N94.4).</w:t>
      </w:r>
    </w:p>
    <w:p>
      <w:pPr>
        <w:pStyle w:val="ListParagraph"/>
        <w:numPr>
          <w:ilvl w:val="0"/>
          <w:numId w:val="1"/>
        </w:numPr>
        <w:spacing w:after="80" w:before="30" w:line="264"/>
      </w:pPr>
      <w:r>
        <w:rPr>
          <w:rFonts w:ascii="Calibri" w:cs="Calibri" w:eastAsia="Calibri" w:hAnsi="Calibri"/>
          <w:color w:val="2B2B2B"/>
          <w:sz w:val="21"/>
          <w:szCs w:val="21"/>
        </w:rPr>
        <w:t xml:space="preserve">Perdarahan Haid Banyak/Heavy Menstrual Bleeding pada Remaja (ICD-10 N92.0).</w:t>
      </w:r>
    </w:p>
    <w:p>
      <w:pPr>
        <w:pStyle w:val="ListParagraph"/>
        <w:numPr>
          <w:ilvl w:val="0"/>
          <w:numId w:val="1"/>
        </w:numPr>
        <w:spacing w:after="80" w:before="30" w:line="264"/>
      </w:pPr>
      <w:r>
        <w:rPr>
          <w:rFonts w:ascii="Calibri" w:cs="Calibri" w:eastAsia="Calibri" w:hAnsi="Calibri"/>
          <w:color w:val="2B2B2B"/>
          <w:sz w:val="21"/>
          <w:szCs w:val="21"/>
        </w:rPr>
        <w:t xml:space="preserve">Sindrom Ovarium Polikistik pada Remaja (ICD-10 E28.2).</w:t>
      </w:r>
    </w:p>
    <w:p>
      <w:pPr>
        <w:pStyle w:val="ListParagraph"/>
        <w:numPr>
          <w:ilvl w:val="0"/>
          <w:numId w:val="1"/>
        </w:numPr>
        <w:spacing w:after="80" w:before="30" w:line="264"/>
      </w:pPr>
      <w:r>
        <w:rPr>
          <w:rFonts w:ascii="Calibri" w:cs="Calibri" w:eastAsia="Calibri" w:hAnsi="Calibri"/>
          <w:color w:val="2B2B2B"/>
          <w:sz w:val="21"/>
          <w:szCs w:val="21"/>
        </w:rPr>
        <w:t xml:space="preserve">Infeksi Menular Seksual – Servisitis/Vaginitis (ICD-10 N72/N76).</w:t>
      </w:r>
    </w:p>
    <w:p>
      <w:pPr>
        <w:pStyle w:val="ListParagraph"/>
        <w:numPr>
          <w:ilvl w:val="0"/>
          <w:numId w:val="1"/>
        </w:numPr>
        <w:spacing w:after="80" w:before="30" w:line="264"/>
      </w:pPr>
      <w:r>
        <w:rPr>
          <w:rFonts w:ascii="Calibri" w:cs="Calibri" w:eastAsia="Calibri" w:hAnsi="Calibri"/>
          <w:color w:val="2B2B2B"/>
          <w:sz w:val="21"/>
          <w:szCs w:val="21"/>
        </w:rPr>
        <w:t xml:space="preserve">Kehamilan Tidak Diinginkan pada Remaja.</w:t>
      </w:r>
    </w:p>
    <w:p>
      <w:pPr>
        <w:pStyle w:val="ListParagraph"/>
        <w:numPr>
          <w:ilvl w:val="0"/>
          <w:numId w:val="1"/>
        </w:numPr>
        <w:spacing w:after="80" w:before="30" w:line="264"/>
      </w:pPr>
      <w:r>
        <w:rPr>
          <w:rFonts w:ascii="Calibri" w:cs="Calibri" w:eastAsia="Calibri" w:hAnsi="Calibri"/>
          <w:color w:val="2B2B2B"/>
          <w:sz w:val="21"/>
          <w:szCs w:val="21"/>
        </w:rPr>
        <w:t xml:space="preserve">Kekerasan Seksual pada Anak/Remaja (dengan rujukan pasal KUHP dan UU TPKS terkait — lihat Aspek Etikolegal).</w:t>
      </w:r>
    </w:p>
    <w:p>
      <w:pPr>
        <w:pStyle w:val="ListParagraph"/>
        <w:numPr>
          <w:ilvl w:val="0"/>
          <w:numId w:val="1"/>
        </w:numPr>
        <w:spacing w:after="80" w:before="30" w:line="264"/>
      </w:pPr>
      <w:r>
        <w:rPr>
          <w:rFonts w:ascii="Calibri" w:cs="Calibri" w:eastAsia="Calibri" w:hAnsi="Calibri"/>
          <w:color w:val="2B2B2B"/>
          <w:sz w:val="21"/>
          <w:szCs w:val="21"/>
        </w:rPr>
        <w:t xml:space="preserve">Kebutuhan Konseling dan Layanan Kesehatan Reproduksi Remaja (tanpa kelainan patologis).</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6. </w:t>
            </w:r>
            <w:r>
              <w:rPr>
                <w:rFonts w:ascii="Calibri" w:cs="Calibri" w:eastAsia="Calibri" w:hAnsi="Calibri"/>
                <w:b/>
                <w:bCs/>
                <w:color w:val="FFFFFF"/>
                <w:sz w:val="24"/>
                <w:szCs w:val="24"/>
              </w:rPr>
              <w:t xml:space="preserve">Diagnosis Banding</w:t>
            </w:r>
          </w:p>
        </w:tc>
      </w:tr>
    </w:tbl>
    <w:p>
      <w:pPr>
        <w:spacing w:after="100" w:before="0"/>
      </w:pPr>
    </w:p>
    <w:p>
      <w:pPr>
        <w:spacing w:after="80" w:before="160"/>
      </w:pPr>
      <w:r>
        <w:rPr>
          <w:rFonts w:ascii="Calibri" w:cs="Calibri" w:eastAsia="Calibri" w:hAnsi="Calibri"/>
          <w:b/>
          <w:bCs/>
          <w:color w:val="7A1F3D"/>
          <w:sz w:val="22"/>
          <w:szCs w:val="22"/>
        </w:rPr>
        <w:t xml:space="preserve">Untuk Keluhan Perdarahan/Nyeri Haid</w:t>
      </w:r>
    </w:p>
    <w:p>
      <w:pPr>
        <w:pStyle w:val="ListParagraph"/>
        <w:numPr>
          <w:ilvl w:val="0"/>
          <w:numId w:val="1"/>
        </w:numPr>
        <w:spacing w:after="80" w:before="30" w:line="264"/>
      </w:pPr>
      <w:r>
        <w:rPr>
          <w:rFonts w:ascii="Calibri" w:cs="Calibri" w:eastAsia="Calibri" w:hAnsi="Calibri"/>
          <w:color w:val="2B2B2B"/>
          <w:sz w:val="21"/>
          <w:szCs w:val="21"/>
        </w:rPr>
        <w:t xml:space="preserve">Kehamilan ektopik</w:t>
      </w:r>
    </w:p>
    <w:p>
      <w:pPr>
        <w:pStyle w:val="ListParagraph"/>
        <w:numPr>
          <w:ilvl w:val="0"/>
          <w:numId w:val="1"/>
        </w:numPr>
        <w:spacing w:after="80" w:before="30" w:line="264"/>
      </w:pPr>
      <w:r>
        <w:rPr>
          <w:rFonts w:ascii="Calibri" w:cs="Calibri" w:eastAsia="Calibri" w:hAnsi="Calibri"/>
          <w:color w:val="2B2B2B"/>
          <w:sz w:val="21"/>
          <w:szCs w:val="21"/>
        </w:rPr>
        <w:t xml:space="preserve">Endometriosis</w:t>
      </w:r>
    </w:p>
    <w:p>
      <w:pPr>
        <w:pStyle w:val="ListParagraph"/>
        <w:numPr>
          <w:ilvl w:val="0"/>
          <w:numId w:val="1"/>
        </w:numPr>
        <w:spacing w:after="80" w:before="30" w:line="264"/>
      </w:pPr>
      <w:r>
        <w:rPr>
          <w:rFonts w:ascii="Calibri" w:cs="Calibri" w:eastAsia="Calibri" w:hAnsi="Calibri"/>
          <w:color w:val="2B2B2B"/>
          <w:sz w:val="21"/>
          <w:szCs w:val="21"/>
        </w:rPr>
        <w:t xml:space="preserve">Kelainan koagulasi — terutama penyakit von Willebrand, ditemukan pada sekitar 20% remaja dengan perdarahan haid banyak dan diskrining dengan alat bantu ACOG Committee Opinion No. 785, khususnya bila perdarahan banyak sudah muncul sejak menarche</w:t>
      </w:r>
    </w:p>
    <w:p>
      <w:pPr>
        <w:pStyle w:val="ListParagraph"/>
        <w:numPr>
          <w:ilvl w:val="0"/>
          <w:numId w:val="1"/>
        </w:numPr>
        <w:spacing w:after="80" w:before="30" w:line="264"/>
      </w:pPr>
      <w:r>
        <w:rPr>
          <w:rFonts w:ascii="Calibri" w:cs="Calibri" w:eastAsia="Calibri" w:hAnsi="Calibri"/>
          <w:color w:val="2B2B2B"/>
          <w:sz w:val="21"/>
          <w:szCs w:val="21"/>
        </w:rPr>
        <w:t xml:space="preserve">Kelainan struktural mullerian (obstruksi/anomali uterus-vagina)</w:t>
      </w:r>
    </w:p>
    <w:p>
      <w:pPr>
        <w:spacing w:after="80" w:before="160"/>
      </w:pPr>
      <w:r>
        <w:rPr>
          <w:rFonts w:ascii="Calibri" w:cs="Calibri" w:eastAsia="Calibri" w:hAnsi="Calibri"/>
          <w:b/>
          <w:bCs/>
          <w:color w:val="7A1F3D"/>
          <w:sz w:val="22"/>
          <w:szCs w:val="22"/>
        </w:rPr>
        <w:t xml:space="preserve">Untuk Keluhan Duh Genital</w:t>
      </w:r>
    </w:p>
    <w:p>
      <w:pPr>
        <w:pStyle w:val="ListParagraph"/>
        <w:numPr>
          <w:ilvl w:val="0"/>
          <w:numId w:val="1"/>
        </w:numPr>
        <w:spacing w:after="80" w:before="30" w:line="264"/>
      </w:pPr>
      <w:r>
        <w:rPr>
          <w:rFonts w:ascii="Calibri" w:cs="Calibri" w:eastAsia="Calibri" w:hAnsi="Calibri"/>
          <w:color w:val="2B2B2B"/>
          <w:sz w:val="21"/>
          <w:szCs w:val="21"/>
        </w:rPr>
        <w:t xml:space="preserve">Vaginitis non-infeksi (kontak/iritan, benda asing vagina)</w:t>
      </w:r>
    </w:p>
    <w:p>
      <w:pPr>
        <w:pStyle w:val="ListParagraph"/>
        <w:numPr>
          <w:ilvl w:val="0"/>
          <w:numId w:val="1"/>
        </w:numPr>
        <w:spacing w:after="80" w:before="30" w:line="264"/>
      </w:pPr>
      <w:r>
        <w:rPr>
          <w:rFonts w:ascii="Calibri" w:cs="Calibri" w:eastAsia="Calibri" w:hAnsi="Calibri"/>
          <w:color w:val="2B2B2B"/>
          <w:sz w:val="21"/>
          <w:szCs w:val="21"/>
        </w:rPr>
        <w:t xml:space="preserve">Dermatitis kontak vulva</w:t>
      </w:r>
    </w:p>
    <w:p>
      <w:pPr>
        <w:pStyle w:val="ListParagraph"/>
        <w:numPr>
          <w:ilvl w:val="0"/>
          <w:numId w:val="1"/>
        </w:numPr>
        <w:spacing w:after="80" w:before="30" w:line="264"/>
      </w:pPr>
      <w:r>
        <w:rPr>
          <w:rFonts w:ascii="Calibri" w:cs="Calibri" w:eastAsia="Calibri" w:hAnsi="Calibri"/>
          <w:color w:val="2B2B2B"/>
          <w:sz w:val="21"/>
          <w:szCs w:val="21"/>
        </w:rPr>
        <w:t xml:space="preserve">Duh fisiologis pubertas (leukorea fisiologis)</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7. </w:t>
            </w:r>
            <w:r>
              <w:rPr>
                <w:rFonts w:ascii="Calibri" w:cs="Calibri" w:eastAsia="Calibri" w:hAnsi="Calibri"/>
                <w:b/>
                <w:bCs/>
                <w:color w:val="FFFFFF"/>
                <w:sz w:val="24"/>
                <w:szCs w:val="24"/>
              </w:rPr>
              <w:t xml:space="preserve">Pemeriksaan Penunjang</w:t>
            </w:r>
          </w:p>
        </w:tc>
      </w:tr>
    </w:tbl>
    <w:p>
      <w:pPr>
        <w:spacing w:after="100" w:before="0"/>
      </w:pPr>
    </w:p>
    <w:p>
      <w:pPr>
        <w:pStyle w:val="ListParagraph"/>
        <w:numPr>
          <w:ilvl w:val="0"/>
          <w:numId w:val="1"/>
        </w:numPr>
        <w:spacing w:after="80" w:before="30" w:line="264"/>
      </w:pPr>
      <w:r>
        <w:rPr>
          <w:rFonts w:ascii="Calibri" w:cs="Calibri" w:eastAsia="Calibri" w:hAnsi="Calibri"/>
          <w:color w:val="2B2B2B"/>
          <w:sz w:val="21"/>
          <w:szCs w:val="21"/>
        </w:rPr>
        <w:t xml:space="preserve">Tes kehamilan (β-hCG urin sebagai skrining awal, konfirmasi serum bila diperlukan).</w:t>
      </w:r>
    </w:p>
    <w:p>
      <w:pPr>
        <w:pStyle w:val="ListParagraph"/>
        <w:numPr>
          <w:ilvl w:val="0"/>
          <w:numId w:val="1"/>
        </w:numPr>
        <w:spacing w:after="80" w:before="30" w:line="264"/>
      </w:pPr>
      <w:r>
        <w:rPr>
          <w:rFonts w:ascii="Calibri" w:cs="Calibri" w:eastAsia="Calibri" w:hAnsi="Calibri"/>
          <w:color w:val="2B2B2B"/>
          <w:sz w:val="21"/>
          <w:szCs w:val="21"/>
        </w:rPr>
        <w:t xml:space="preserve">USG transabdominal sebagai modalitas lini pertama; USG transvaginal dihindari pada remaja yang belum aktif secara seksual dan hanya dipertimbangkan atas indikasi klinis kuat dengan persetujuan eksplisit serta chaperone.</w:t>
      </w:r>
    </w:p>
    <w:p>
      <w:pPr>
        <w:pStyle w:val="ListParagraph"/>
        <w:numPr>
          <w:ilvl w:val="0"/>
          <w:numId w:val="1"/>
        </w:numPr>
        <w:spacing w:after="80" w:before="30" w:line="264"/>
      </w:pPr>
      <w:r>
        <w:rPr>
          <w:rFonts w:ascii="Calibri" w:cs="Calibri" w:eastAsia="Calibri" w:hAnsi="Calibri"/>
          <w:color w:val="2B2B2B"/>
          <w:sz w:val="21"/>
          <w:szCs w:val="21"/>
        </w:rPr>
        <w:t xml:space="preserve">Skrining IMS non-invasif: NAAT (Nucleic Acid Amplification Test) untuk Chlamydia trachomatis dan Neisseria gonorrhoeae dari sampel urin pancar pertama atau swab vagina mandiri (self-collected swab); skrining tahunan direkomendasikan bagi remaja yang aktif secara seksual sesuai ACOG Committee Opinion No. 811.</w:t>
      </w:r>
    </w:p>
    <w:p>
      <w:pPr>
        <w:pStyle w:val="ListParagraph"/>
        <w:numPr>
          <w:ilvl w:val="0"/>
          <w:numId w:val="1"/>
        </w:numPr>
        <w:spacing w:after="80" w:before="30" w:line="264"/>
      </w:pPr>
      <w:r>
        <w:rPr>
          <w:rFonts w:ascii="Calibri" w:cs="Calibri" w:eastAsia="Calibri" w:hAnsi="Calibri"/>
          <w:color w:val="2B2B2B"/>
          <w:sz w:val="21"/>
          <w:szCs w:val="21"/>
        </w:rPr>
        <w:t xml:space="preserve">Tes HIV dianjurkan minimal satu kali seumur hidup pada rentang usia 13–64 tahun dan diulang tiap tahun sesuai faktor risiko, sejalan dengan rekomendasi CDC dan ACOG; disertai konseling pra- dan pasca-tes. Skrining sifilis dan hepatitis B dipertimbangkan bila status imunisasi tidak diketahui atau terdapat faktor risiko.</w:t>
      </w:r>
    </w:p>
    <w:p>
      <w:pPr>
        <w:pStyle w:val="ListParagraph"/>
        <w:numPr>
          <w:ilvl w:val="0"/>
          <w:numId w:val="1"/>
        </w:numPr>
        <w:spacing w:after="80" w:before="30" w:line="264"/>
      </w:pPr>
      <w:r>
        <w:rPr>
          <w:rFonts w:ascii="Calibri" w:cs="Calibri" w:eastAsia="Calibri" w:hAnsi="Calibri"/>
          <w:color w:val="2B2B2B"/>
          <w:sz w:val="21"/>
          <w:szCs w:val="21"/>
        </w:rPr>
        <w:t xml:space="preserve">Darah perifer lengkap dan feritin serum pada perdarahan haid banyak; profil hormonal (FSH, LH, prolaktin, TSH, testosteron total) pada kecurigaan gangguan endokrin/pubertas menyimpang.</w:t>
      </w:r>
    </w:p>
    <w:p>
      <w:pPr>
        <w:pStyle w:val="ListParagraph"/>
        <w:numPr>
          <w:ilvl w:val="0"/>
          <w:numId w:val="1"/>
        </w:numPr>
        <w:spacing w:after="80" w:before="30" w:line="264"/>
      </w:pPr>
      <w:r>
        <w:rPr>
          <w:rFonts w:ascii="Calibri" w:cs="Calibri" w:eastAsia="Calibri" w:hAnsi="Calibri"/>
          <w:color w:val="2B2B2B"/>
          <w:sz w:val="21"/>
          <w:szCs w:val="21"/>
        </w:rPr>
        <w:t xml:space="preserve">Pada kasus kekerasan seksual: pemeriksaan dan pengambilan sampel forensik dilakukan sesuai protokol Pusat Pelayanan Terpadu (PPT) rumah sakit dan berkoordinasi dengan UPTD PPA/kepolisian bila diperlukan proses hukum.</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8. </w:t>
            </w:r>
            <w:r>
              <w:rPr>
                <w:rFonts w:ascii="Calibri" w:cs="Calibri" w:eastAsia="Calibri" w:hAnsi="Calibri"/>
                <w:b/>
                <w:bCs/>
                <w:color w:val="FFFFFF"/>
                <w:sz w:val="24"/>
                <w:szCs w:val="24"/>
              </w:rPr>
              <w:t xml:space="preserve">Tata Laksana (Terapi)</w:t>
            </w:r>
          </w:p>
        </w:tc>
      </w:tr>
    </w:tbl>
    <w:p>
      <w:pPr>
        <w:spacing w:after="100" w:before="0"/>
      </w:pPr>
    </w:p>
    <w:p>
      <w:pPr>
        <w:spacing w:after="80" w:before="160"/>
      </w:pPr>
      <w:r>
        <w:rPr>
          <w:rFonts w:ascii="Calibri" w:cs="Calibri" w:eastAsia="Calibri" w:hAnsi="Calibri"/>
          <w:b/>
          <w:bCs/>
          <w:color w:val="7A1F3D"/>
          <w:sz w:val="22"/>
          <w:szCs w:val="22"/>
        </w:rPr>
        <w:t xml:space="preserve">8.1 Prinsip Umum — Pendekatan Ramah Remaja (Adolescent-Friendly)</w:t>
      </w:r>
    </w:p>
    <w:p>
      <w:pPr>
        <w:pStyle w:val="ListParagraph"/>
        <w:numPr>
          <w:ilvl w:val="0"/>
          <w:numId w:val="1"/>
        </w:numPr>
        <w:spacing w:after="80" w:before="30" w:line="264"/>
      </w:pPr>
      <w:r>
        <w:rPr>
          <w:rFonts w:ascii="Calibri" w:cs="Calibri" w:eastAsia="Calibri" w:hAnsi="Calibri"/>
          <w:color w:val="2B2B2B"/>
          <w:sz w:val="21"/>
          <w:szCs w:val="21"/>
        </w:rPr>
        <w:t xml:space="preserve">Ruang konsultasi privat, terpisah secara visual dan akustik dari ruang tunggu umum/anak, sesuai WHO Global Standards for Quality Health Care Services for Adolescents.</w:t>
      </w:r>
    </w:p>
    <w:p>
      <w:pPr>
        <w:pStyle w:val="ListParagraph"/>
        <w:numPr>
          <w:ilvl w:val="0"/>
          <w:numId w:val="1"/>
        </w:numPr>
        <w:spacing w:after="80" w:before="30" w:line="264"/>
      </w:pPr>
      <w:r>
        <w:rPr>
          <w:rFonts w:ascii="Calibri" w:cs="Calibri" w:eastAsia="Calibri" w:hAnsi="Calibri"/>
          <w:color w:val="2B2B2B"/>
          <w:sz w:val="21"/>
          <w:szCs w:val="21"/>
        </w:rPr>
        <w:t xml:space="preserve">Kerahasiaan konsultasi dijamin secara eksplisit: informasi yang diperoleh dari remaja TIDAK dibuka kepada orang tua/wali tanpa persetujuan remaja, KECUALI pada kondisi mengancam jiwa atau kewajiban pelaporan hukum (mis. kekerasan seksual pada anak — lihat Aspek Etikolegal).</w:t>
      </w:r>
    </w:p>
    <w:p>
      <w:pPr>
        <w:pStyle w:val="ListParagraph"/>
        <w:numPr>
          <w:ilvl w:val="0"/>
          <w:numId w:val="1"/>
        </w:numPr>
        <w:spacing w:after="80" w:before="30" w:line="264"/>
      </w:pPr>
      <w:r>
        <w:rPr>
          <w:rFonts w:ascii="Calibri" w:cs="Calibri" w:eastAsia="Calibri" w:hAnsi="Calibri"/>
          <w:color w:val="2B2B2B"/>
          <w:sz w:val="21"/>
          <w:szCs w:val="21"/>
        </w:rPr>
        <w:t xml:space="preserve">Jadwal layanan fleksibel, diupayakan di luar jam sekolah bila memungkinkan, dengan ruang tunggu terpisah dari pasien obstetri, mengikuti rekomendasi ACOG Committee Opinion No. 811.</w:t>
      </w:r>
    </w:p>
    <w:p>
      <w:pPr>
        <w:pStyle w:val="ListParagraph"/>
        <w:numPr>
          <w:ilvl w:val="0"/>
          <w:numId w:val="1"/>
        </w:numPr>
        <w:spacing w:after="80" w:before="30" w:line="264"/>
      </w:pPr>
      <w:r>
        <w:rPr>
          <w:rFonts w:ascii="Calibri" w:cs="Calibri" w:eastAsia="Calibri" w:hAnsi="Calibri"/>
          <w:color w:val="2B2B2B"/>
          <w:sz w:val="21"/>
          <w:szCs w:val="21"/>
        </w:rPr>
        <w:t xml:space="preserve">Setiap remaja diberi kesempatan waktu konsultasi satu-lawan-satu (alone time) tanpa kehadiran orang tua/wali/pasangan, sebelum membahas rencana tata laksana bersama keluarga bila remaja menyetujui.</w:t>
      </w:r>
    </w:p>
    <w:p>
      <w:pPr>
        <w:pStyle w:val="ListParagraph"/>
        <w:numPr>
          <w:ilvl w:val="0"/>
          <w:numId w:val="1"/>
        </w:numPr>
        <w:spacing w:after="80" w:before="30" w:line="264"/>
      </w:pPr>
      <w:r>
        <w:rPr>
          <w:rFonts w:ascii="Calibri" w:cs="Calibri" w:eastAsia="Calibri" w:hAnsi="Calibri"/>
          <w:color w:val="2B2B2B"/>
          <w:sz w:val="21"/>
          <w:szCs w:val="21"/>
        </w:rPr>
        <w:t xml:space="preserve">Tenaga kesehatan terlatih komunikasi remaja, menggunakan bahasa nonjudgmental, termasuk terkait identitas gender dan orientasi seksual.</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8C6D1F" w:sz="2"/>
              <w:left w:val="single" w:color="8C6D1F" w:sz="2"/>
              <w:bottom w:val="single" w:color="8C6D1F" w:sz="2"/>
              <w:right w:val="single" w:color="8C6D1F" w:sz="2"/>
            </w:tcBorders>
            <w:shd w:fill="FBF3DF" w:color="auto" w:val="clear"/>
            <w:tcMar>
              <w:top w:type="dxa" w:w="140"/>
              <w:left w:type="dxa" w:w="240"/>
              <w:bottom w:type="dxa" w:w="140"/>
              <w:right w:type="dxa" w:w="240"/>
            </w:tcMar>
          </w:tcPr>
          <w:p>
            <w:pPr>
              <w:spacing w:after="0" w:line="258"/>
            </w:pPr>
            <w:r>
              <w:rPr>
                <w:rFonts w:ascii="Calibri" w:cs="Calibri" w:eastAsia="Calibri" w:hAnsi="Calibri"/>
                <w:b/>
                <w:bCs/>
                <w:color w:val="8C6D1F"/>
                <w:sz w:val="19"/>
                <w:szCs w:val="19"/>
              </w:rPr>
              <w:t xml:space="preserve">Catatan konteks Indonesia: </w:t>
            </w:r>
            <w:r>
              <w:rPr>
                <w:rFonts w:ascii="Calibri" w:cs="Calibri" w:eastAsia="Calibri" w:hAnsi="Calibri"/>
                <w:color w:val="2B2B2B"/>
                <w:sz w:val="19"/>
                <w:szCs w:val="19"/>
              </w:rPr>
              <w:t xml:space="preserve">Peraturan Pemerintah No. 28 Tahun 2024 tentang Peraturan Pelaksanaan UU Kesehatan mengarahkan bahwa edukasi kesehatan reproduksi (termasuk informasi kontrasepsi) diberikan kepada seluruh remaja, sedangkan penyediaan alat/metode kontrasepsi secara aktif difokuskan pada remaja yang telah menikah dengan tujuan menunda kehamilan berikutnya. Fasilitas kesehatan tetap menyelenggarakan skrining IMS, edukasi pencegahan, dan tata laksana kondisi klinis bagi seluruh remaja tanpa memandang status pernikahan atau aktivitas seksual, sesuai kewenangan dan kebijakan RS setempat.</w:t>
            </w:r>
          </w:p>
        </w:tc>
      </w:tr>
    </w:tbl>
    <w:p>
      <w:pPr>
        <w:spacing w:after="140" w:before="0"/>
      </w:pPr>
    </w:p>
    <w:p>
      <w:pPr>
        <w:spacing w:after="80" w:before="160"/>
      </w:pPr>
      <w:r>
        <w:rPr>
          <w:rFonts w:ascii="Calibri" w:cs="Calibri" w:eastAsia="Calibri" w:hAnsi="Calibri"/>
          <w:b/>
          <w:bCs/>
          <w:color w:val="7A1F3D"/>
          <w:sz w:val="22"/>
          <w:szCs w:val="22"/>
        </w:rPr>
        <w:t xml:space="preserve">8.2 Alur Tata Laksana Klinis</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7A1F3D" w:sz="2"/>
              <w:left w:val="single" w:color="7A1F3D" w:sz="2"/>
              <w:bottom w:val="single" w:color="7A1F3D" w:sz="2"/>
              <w:right w:val="single" w:color="7A1F3D" w:sz="2"/>
            </w:tcBorders>
            <w:shd w:fill="F3E3E8" w:color="auto" w:val="clear"/>
            <w:tcMar>
              <w:top w:type="dxa" w:w="160"/>
              <w:left w:type="dxa" w:w="260"/>
              <w:bottom w:type="dxa" w:w="160"/>
              <w:right w:type="dxa" w:w="260"/>
            </w:tcMar>
          </w:tcPr>
          <w:p>
            <w:pPr>
              <w:spacing w:after="60"/>
            </w:pPr>
            <w:r>
              <w:rPr>
                <w:rFonts w:ascii="Calibri" w:cs="Calibri" w:eastAsia="Calibri" w:hAnsi="Calibri"/>
                <w:b/>
                <w:bCs/>
                <w:color w:val="7A1F3D"/>
                <w:sz w:val="21"/>
                <w:szCs w:val="21"/>
              </w:rPr>
              <w:t xml:space="preserve">Langkah 1 — Skrining Awal Ramah Remaja &amp; Triase Kerahasiaan</w:t>
            </w:r>
          </w:p>
          <w:p>
            <w:pPr>
              <w:spacing w:after="40"/>
            </w:pPr>
            <w:r>
              <w:rPr>
                <w:rFonts w:ascii="Calibri" w:cs="Calibri" w:eastAsia="Calibri" w:hAnsi="Calibri"/>
                <w:color w:val="2B2B2B"/>
                <w:sz w:val="20"/>
                <w:szCs w:val="20"/>
              </w:rPr>
              <w:t xml:space="preserve">Anamnesis HEADSSS, penjelasan hak kerahasiaan dan batasannya, informed consent/assent.</w:t>
            </w:r>
          </w:p>
        </w:tc>
      </w:tr>
    </w:tbl>
    <w:p>
      <w:pPr>
        <w:spacing w:after="40" w:before="40"/>
        <w:jc w:val="center"/>
      </w:pPr>
      <w:r>
        <w:rPr>
          <w:rFonts w:ascii="Calibri" w:cs="Calibri" w:eastAsia="Calibri" w:hAnsi="Calibri"/>
          <w:b/>
          <w:bCs/>
          <w:color w:val="7A1F3D"/>
          <w:sz w:val="28"/>
          <w:szCs w:val="28"/>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7A1F3D" w:sz="2"/>
              <w:left w:val="single" w:color="7A1F3D" w:sz="2"/>
              <w:bottom w:val="single" w:color="7A1F3D" w:sz="2"/>
              <w:right w:val="single" w:color="7A1F3D" w:sz="2"/>
            </w:tcBorders>
            <w:shd w:fill="F3E3E8" w:color="auto" w:val="clear"/>
            <w:tcMar>
              <w:top w:type="dxa" w:w="160"/>
              <w:left w:type="dxa" w:w="260"/>
              <w:bottom w:type="dxa" w:w="160"/>
              <w:right w:type="dxa" w:w="260"/>
            </w:tcMar>
          </w:tcPr>
          <w:p>
            <w:pPr>
              <w:spacing w:after="60"/>
            </w:pPr>
            <w:r>
              <w:rPr>
                <w:rFonts w:ascii="Calibri" w:cs="Calibri" w:eastAsia="Calibri" w:hAnsi="Calibri"/>
                <w:b/>
                <w:bCs/>
                <w:color w:val="7A1F3D"/>
                <w:sz w:val="21"/>
                <w:szCs w:val="21"/>
              </w:rPr>
              <w:t xml:space="preserve">Langkah 2 — Kategorisasi Keluhan</w:t>
            </w:r>
          </w:p>
          <w:p>
            <w:pPr>
              <w:pStyle w:val="ListParagraph"/>
              <w:numPr>
                <w:ilvl w:val="0"/>
                <w:numId w:val="1"/>
              </w:numPr>
              <w:spacing w:after="40"/>
            </w:pPr>
            <w:r>
              <w:rPr>
                <w:rFonts w:ascii="Calibri" w:cs="Calibri" w:eastAsia="Calibri" w:hAnsi="Calibri"/>
                <w:color w:val="2B2B2B"/>
                <w:sz w:val="20"/>
                <w:szCs w:val="20"/>
              </w:rPr>
              <w:t xml:space="preserve">Jalur A: Gangguan Siklus/Nyeri Haid</w:t>
            </w:r>
          </w:p>
          <w:p>
            <w:pPr>
              <w:pStyle w:val="ListParagraph"/>
              <w:numPr>
                <w:ilvl w:val="0"/>
                <w:numId w:val="1"/>
              </w:numPr>
              <w:spacing w:after="40"/>
            </w:pPr>
            <w:r>
              <w:rPr>
                <w:rFonts w:ascii="Calibri" w:cs="Calibri" w:eastAsia="Calibri" w:hAnsi="Calibri"/>
                <w:color w:val="2B2B2B"/>
                <w:sz w:val="20"/>
                <w:szCs w:val="20"/>
              </w:rPr>
              <w:t xml:space="preserve">Jalur B: Edukasi Kesehatan Reproduksi &amp; Konseling Kontrasepsi (sesuai kewenangan dan status yang diatur regulasi)</w:t>
            </w:r>
          </w:p>
          <w:p>
            <w:pPr>
              <w:pStyle w:val="ListParagraph"/>
              <w:numPr>
                <w:ilvl w:val="0"/>
                <w:numId w:val="1"/>
              </w:numPr>
              <w:spacing w:after="40"/>
            </w:pPr>
            <w:r>
              <w:rPr>
                <w:rFonts w:ascii="Calibri" w:cs="Calibri" w:eastAsia="Calibri" w:hAnsi="Calibri"/>
                <w:color w:val="2B2B2B"/>
                <w:sz w:val="20"/>
                <w:szCs w:val="20"/>
              </w:rPr>
              <w:t xml:space="preserve">Jalur C: Skrining dan Tata Laksana IMS</w:t>
            </w:r>
          </w:p>
          <w:p>
            <w:pPr>
              <w:pStyle w:val="ListParagraph"/>
              <w:numPr>
                <w:ilvl w:val="0"/>
                <w:numId w:val="1"/>
              </w:numPr>
              <w:spacing w:after="40"/>
            </w:pPr>
            <w:r>
              <w:rPr>
                <w:rFonts w:ascii="Calibri" w:cs="Calibri" w:eastAsia="Calibri" w:hAnsi="Calibri"/>
                <w:color w:val="2B2B2B"/>
                <w:sz w:val="20"/>
                <w:szCs w:val="20"/>
              </w:rPr>
              <w:t xml:space="preserve">Jalur D: Kehamilan Tidak Diinginkan &amp; Kekerasan Seksual</w:t>
            </w:r>
          </w:p>
        </w:tc>
      </w:tr>
    </w:tbl>
    <w:p>
      <w:pPr>
        <w:spacing w:after="40" w:before="40"/>
        <w:jc w:val="center"/>
      </w:pPr>
      <w:r>
        <w:rPr>
          <w:rFonts w:ascii="Calibri" w:cs="Calibri" w:eastAsia="Calibri" w:hAnsi="Calibri"/>
          <w:b/>
          <w:bCs/>
          <w:color w:val="7A1F3D"/>
          <w:sz w:val="28"/>
          <w:szCs w:val="28"/>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7A1F3D" w:sz="2"/>
              <w:left w:val="single" w:color="7A1F3D" w:sz="2"/>
              <w:bottom w:val="single" w:color="7A1F3D" w:sz="2"/>
              <w:right w:val="single" w:color="7A1F3D" w:sz="2"/>
            </w:tcBorders>
            <w:shd w:fill="F3E3E8" w:color="auto" w:val="clear"/>
            <w:tcMar>
              <w:top w:type="dxa" w:w="160"/>
              <w:left w:type="dxa" w:w="260"/>
              <w:bottom w:type="dxa" w:w="160"/>
              <w:right w:type="dxa" w:w="260"/>
            </w:tcMar>
          </w:tcPr>
          <w:p>
            <w:pPr>
              <w:spacing w:after="60"/>
            </w:pPr>
            <w:r>
              <w:rPr>
                <w:rFonts w:ascii="Calibri" w:cs="Calibri" w:eastAsia="Calibri" w:hAnsi="Calibri"/>
                <w:b/>
                <w:bCs/>
                <w:color w:val="7A1F3D"/>
                <w:sz w:val="21"/>
                <w:szCs w:val="21"/>
              </w:rPr>
              <w:t xml:space="preserve">Langkah 3 — Tata Laksana Spesifik Sesuai Jalur</w:t>
            </w:r>
          </w:p>
          <w:p>
            <w:pPr>
              <w:spacing w:after="40"/>
            </w:pPr>
            <w:r>
              <w:rPr>
                <w:rFonts w:ascii="Calibri" w:cs="Calibri" w:eastAsia="Calibri" w:hAnsi="Calibri"/>
                <w:color w:val="2B2B2B"/>
                <w:sz w:val="20"/>
                <w:szCs w:val="20"/>
              </w:rPr>
              <w:t xml:space="preserve">Lihat rincian farmakoterapi dan konseling pada Bagian 8.3.</w:t>
            </w:r>
          </w:p>
        </w:tc>
      </w:tr>
    </w:tbl>
    <w:p>
      <w:pPr>
        <w:spacing w:after="40" w:before="40"/>
        <w:jc w:val="center"/>
      </w:pPr>
      <w:r>
        <w:rPr>
          <w:rFonts w:ascii="Calibri" w:cs="Calibri" w:eastAsia="Calibri" w:hAnsi="Calibri"/>
          <w:b/>
          <w:bCs/>
          <w:color w:val="7A1F3D"/>
          <w:sz w:val="28"/>
          <w:szCs w:val="28"/>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7A1F3D" w:sz="2"/>
              <w:left w:val="single" w:color="7A1F3D" w:sz="2"/>
              <w:bottom w:val="single" w:color="7A1F3D" w:sz="2"/>
              <w:right w:val="single" w:color="7A1F3D" w:sz="2"/>
            </w:tcBorders>
            <w:shd w:fill="F3E3E8" w:color="auto" w:val="clear"/>
            <w:tcMar>
              <w:top w:type="dxa" w:w="160"/>
              <w:left w:type="dxa" w:w="260"/>
              <w:bottom w:type="dxa" w:w="160"/>
              <w:right w:type="dxa" w:w="260"/>
            </w:tcMar>
          </w:tcPr>
          <w:p>
            <w:pPr>
              <w:spacing w:after="60"/>
            </w:pPr>
            <w:r>
              <w:rPr>
                <w:rFonts w:ascii="Calibri" w:cs="Calibri" w:eastAsia="Calibri" w:hAnsi="Calibri"/>
                <w:b/>
                <w:bCs/>
                <w:color w:val="7A1F3D"/>
                <w:sz w:val="21"/>
                <w:szCs w:val="21"/>
              </w:rPr>
              <w:t xml:space="preserve">Langkah 4 — Edukasi, Rujukan Psikososial, dan Jadwal Kontrol</w:t>
            </w:r>
          </w:p>
          <w:p>
            <w:pPr>
              <w:spacing w:after="40"/>
            </w:pPr>
            <w:r>
              <w:rPr>
                <w:rFonts w:ascii="Calibri" w:cs="Calibri" w:eastAsia="Calibri" w:hAnsi="Calibri"/>
                <w:color w:val="2B2B2B"/>
                <w:sz w:val="20"/>
                <w:szCs w:val="20"/>
              </w:rPr>
              <w:t xml:space="preserve">Edukasi tanda bahaya, rujukan psikolog/psikiater bila diperlukan, kontrol ulang terjadwal.</w:t>
            </w:r>
          </w:p>
        </w:tc>
      </w:tr>
    </w:tbl>
    <w:p>
      <w:pPr>
        <w:spacing w:after="160" w:before="0"/>
      </w:pPr>
    </w:p>
    <w:p>
      <w:pPr>
        <w:spacing w:after="80" w:before="160"/>
      </w:pPr>
      <w:r>
        <w:rPr>
          <w:rFonts w:ascii="Calibri" w:cs="Calibri" w:eastAsia="Calibri" w:hAnsi="Calibri"/>
          <w:b/>
          <w:bCs/>
          <w:color w:val="7A1F3D"/>
          <w:sz w:val="22"/>
          <w:szCs w:val="22"/>
        </w:rPr>
        <w:t xml:space="preserve">8.3 Tata Laksana Spesifik per Kondisi</w:t>
      </w:r>
    </w:p>
    <w:p>
      <w:pPr>
        <w:pStyle w:val="ListParagraph"/>
        <w:numPr>
          <w:ilvl w:val="0"/>
          <w:numId w:val="1"/>
        </w:numPr>
        <w:spacing w:after="80" w:before="30" w:line="264"/>
      </w:pPr>
      <w:r>
        <w:rPr>
          <w:rFonts w:ascii="Calibri" w:cs="Calibri" w:eastAsia="Calibri" w:hAnsi="Calibri"/>
          <w:color w:val="2B2B2B"/>
          <w:sz w:val="21"/>
          <w:szCs w:val="21"/>
        </w:rPr>
        <w:t xml:space="preserve">Dismenore primer: OAINS lini pertama — ibuprofen 400–600 mg per oral tiap 6–8 jam saat nyeri (maksimal 2.400 mg/hari); kontraindikasi relatif pada riwayat ulkus peptikum aktif atau asma sensitif aspirin. Kontrasepsi hormonal kombinasi dapat dipertimbangkan untuk kontrol siklus sesuai indikasi medis dan ketentuan kelayakan pada Bagian 8.1.</w:t>
      </w:r>
    </w:p>
    <w:p>
      <w:pPr>
        <w:pStyle w:val="ListParagraph"/>
        <w:numPr>
          <w:ilvl w:val="0"/>
          <w:numId w:val="1"/>
        </w:numPr>
        <w:spacing w:after="80" w:before="30" w:line="264"/>
      </w:pPr>
      <w:r>
        <w:rPr>
          <w:rFonts w:ascii="Calibri" w:cs="Calibri" w:eastAsia="Calibri" w:hAnsi="Calibri"/>
          <w:color w:val="2B2B2B"/>
          <w:sz w:val="21"/>
          <w:szCs w:val="21"/>
        </w:rPr>
        <w:t xml:space="preserve">Perdarahan haid banyak (menoragia) remaja: evaluasi status anemia (hemoglobin, feritin) dan penapisan gangguan koagulasi terutama bila muncul sejak menarche, sesuai algoritme ACOG Committee Opinion No. 785; tata laksana lini pertama dengan asam traneksamat dan/atau kontrasepsi hormonal kombinasi atau progestin, bekerja sama dengan hematologi bila dicurigai koagulopati.</w:t>
      </w:r>
    </w:p>
    <w:p>
      <w:pPr>
        <w:pStyle w:val="ListParagraph"/>
        <w:numPr>
          <w:ilvl w:val="0"/>
          <w:numId w:val="1"/>
        </w:numPr>
        <w:spacing w:after="80" w:before="30" w:line="264"/>
      </w:pPr>
      <w:r>
        <w:rPr>
          <w:rFonts w:ascii="Calibri" w:cs="Calibri" w:eastAsia="Calibri" w:hAnsi="Calibri"/>
          <w:color w:val="2B2B2B"/>
          <w:sz w:val="21"/>
          <w:szCs w:val="21"/>
        </w:rPr>
        <w:t xml:space="preserve">Edukasi dan konseling kesehatan reproduksi &amp; kontrasepsi: mengacu WHO Medical Eligibility Criteria for Contraceptive Use edisi ke-6 (2025) — kondom sebagai proteksi ganda terhadap IMS dan kehamilan (dual protection); pil kombinasi dan implan progestin dikategorikan aman digunakan pada remaja/nulipara (Kategori 1 MEC); AKDR dikategorikan Kategori 2 MEC pada remaja dan nulipara (manfaat umumnya melebihi risiko), didukung ACOG Committee Opinion No. 735 yang menyatakan LARC (implan dan AKDR) aman ditawarkan secara rutin pada remaja dan nulipara. Penyediaan metode kontrasepsi aktif di fasilitas pelayanan tetap tunduk pada ketentuan PP No. 28/2024 (lihat catatan Bagian 8.1).</w:t>
      </w:r>
    </w:p>
    <w:p>
      <w:pPr>
        <w:pStyle w:val="ListParagraph"/>
        <w:numPr>
          <w:ilvl w:val="0"/>
          <w:numId w:val="1"/>
        </w:numPr>
        <w:spacing w:after="80" w:before="30" w:line="264"/>
      </w:pPr>
      <w:r>
        <w:rPr>
          <w:rFonts w:ascii="Calibri" w:cs="Calibri" w:eastAsia="Calibri" w:hAnsi="Calibri"/>
          <w:color w:val="2B2B2B"/>
          <w:sz w:val="21"/>
          <w:szCs w:val="21"/>
        </w:rPr>
        <w:t xml:space="preserve">Infeksi menular seksual: terapi mengikuti CDC Sexually Transmitted Infections Treatment Guidelines 2021 dan Pedoman Nasional Penanganan Infeksi Menular Seksual Kemenkes RI — gonore tanpa komplikasi: seftriakson 500 mg intramuskular dosis tunggal (1 g bila berat badan ≥150 kg); klamidia (termasuk sebagai kotreatment bila koinfeksi belum disingkirkan): doksisiklin 100 mg per oral dua kali sehari selama 7 hari sebagai lini pertama saat ini (menggantikan azitromisin dosis tunggal pada pedoman lama karena peningkatan resistensi); azitromisin 1 g oral dosis tunggal tetap menjadi alternatif pada kehamilan atau bila kepatuhan doksisiklin diragukan. Pemeriksaan dan tata laksana pasangan seksual (partner notification) serta edukasi abstinensia sementara hingga terapi tuntas.</w:t>
      </w:r>
    </w:p>
    <w:p>
      <w:pPr>
        <w:pStyle w:val="ListParagraph"/>
        <w:numPr>
          <w:ilvl w:val="0"/>
          <w:numId w:val="1"/>
        </w:numPr>
        <w:spacing w:after="80" w:before="30" w:line="264"/>
      </w:pPr>
      <w:r>
        <w:rPr>
          <w:rFonts w:ascii="Calibri" w:cs="Calibri" w:eastAsia="Calibri" w:hAnsi="Calibri"/>
          <w:color w:val="2B2B2B"/>
          <w:sz w:val="21"/>
          <w:szCs w:val="21"/>
        </w:rPr>
        <w:t xml:space="preserve">Kehamilan tidak diinginkan: konseling opsi dilakukan tanpa tekanan/arahan sepihak (options counseling), mencakup opsi melanjutkan kehamilan dengan dukungan psikososial dan rujukan ANC dini, opsi adopsi, atau opsi lain sesuai koridor hukum yang berlaku secara ketat (lihat Aspek Etikolegal di bawah); keterlibatan keluarga didorong secara sukarela, bukan dipaksakan.</w:t>
      </w:r>
    </w:p>
    <w:p>
      <w:pPr>
        <w:spacing w:after="160" w:before="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C0435A" w:sz="2"/>
              <w:left w:val="single" w:color="C0435A" w:sz="2"/>
              <w:bottom w:val="single" w:color="C0435A" w:sz="2"/>
              <w:right w:val="single" w:color="C0435A" w:sz="2"/>
            </w:tcBorders>
            <w:shd w:fill="FBEAEA" w:color="auto" w:val="clear"/>
            <w:tcMar>
              <w:top w:type="dxa" w:w="180"/>
              <w:left w:type="dxa" w:w="260"/>
              <w:bottom w:type="dxa" w:w="180"/>
              <w:right w:type="dxa" w:w="260"/>
            </w:tcMar>
          </w:tcPr>
          <w:p>
            <w:pPr>
              <w:spacing w:after="100"/>
            </w:pPr>
            <w:r>
              <w:rPr>
                <w:rFonts w:ascii="Calibri" w:cs="Calibri" w:eastAsia="Calibri" w:hAnsi="Calibri"/>
                <w:b/>
                <w:bCs/>
                <w:color w:val="8C1A2E"/>
                <w:sz w:val="22"/>
                <w:szCs w:val="22"/>
              </w:rPr>
              <w:t xml:space="preserve">Aspek Etikolegal dan Kerahasiaan</w:t>
            </w:r>
          </w:p>
          <w:p>
            <w:pPr>
              <w:spacing w:after="90" w:line="264"/>
            </w:pPr>
            <w:r>
              <w:rPr>
                <w:rFonts w:ascii="Calibri" w:cs="Calibri" w:eastAsia="Calibri" w:hAnsi="Calibri"/>
                <w:color w:val="2B2B2B"/>
                <w:sz w:val="20"/>
                <w:szCs w:val="20"/>
              </w:rPr>
              <w:t xml:space="preserve">Batasan hukum Indonesia berikut berlaku sejak 2 Januari 2026 (KUHP Nasional) dan dijelaskan secara eksplisit sebelum penerapan rekomendasi klinis internasional:</w:t>
            </w:r>
          </w:p>
          <w:p>
            <w:pPr>
              <w:pStyle w:val="ListParagraph"/>
              <w:numPr>
                <w:ilvl w:val="0"/>
                <w:numId w:val="1"/>
              </w:numPr>
              <w:spacing w:after="90" w:line="264"/>
            </w:pPr>
            <w:r>
              <w:rPr>
                <w:rFonts w:ascii="Calibri" w:cs="Calibri" w:eastAsia="Calibri" w:hAnsi="Calibri"/>
                <w:color w:val="2B2B2B"/>
                <w:sz w:val="20"/>
                <w:szCs w:val="20"/>
              </w:rPr>
              <w:t xml:space="preserve">Aborsi pada dasarnya dilarang dan diancam pidana. Pengecualian legal diatur dalam Pasal 60 UU No. 17 Tahun 2023 tentang Kesehatan: aborsi diperbolehkan pada indikasi kedaruratan medis yang mengancam nyawa/kesehatan ibu atau janin, atau pada kehamilan akibat tindak pidana perkosaan/kekerasan seksual lain; ketentuan pelaksanaannya diatur lebih lanjut dalam Peraturan Pemerintah No. 28 Tahun 2024 (menggantikan PP No. 61 Tahun 2014), termasuk syarat fasilitas kesehatan rujukan, tenaga medis yang berwenang, dan pelaporan ke Dinas Kesehatan.</w:t>
            </w:r>
          </w:p>
          <w:p>
            <w:pPr>
              <w:pStyle w:val="ListParagraph"/>
              <w:numPr>
                <w:ilvl w:val="0"/>
                <w:numId w:val="1"/>
              </w:numPr>
              <w:spacing w:after="90" w:line="264"/>
            </w:pPr>
            <w:r>
              <w:rPr>
                <w:rFonts w:ascii="Calibri" w:cs="Calibri" w:eastAsia="Calibri" w:hAnsi="Calibri"/>
                <w:color w:val="2B2B2B"/>
                <w:sz w:val="20"/>
                <w:szCs w:val="20"/>
              </w:rPr>
              <w:t xml:space="preserve">Sejak berlakunya KUHP Nasional (UU No. 1 Tahun 2023 juncto UU No. 1 Tahun 2026 tentang Penyesuaian Pidana) pada 2 Januari 2026, Pasal 463 mengancam pidana penjara maksimal 4 tahun bagi perempuan yang melakukan aborsi, KECUALI ia adalah korban tindak pidana perkosaan atau kekerasan seksual lain yang menyebabkan kehamilan dengan usia kehamilan tidak melebihi 14 minggu, atau terdapat indikasi kedaruratan medis; Pasal 464 mengatur pihak lain yang membantu tindakan tersebut. Ketentuan pidana serupa juga diatur dalam Pasal 427–428 UU Kesehatan, dengan pengecualian bagi tenaga medis yang memenuhi syarat administratif dan profesional sesuai Pasal 428 ayat (3).</w:t>
            </w:r>
          </w:p>
          <w:p>
            <w:pPr>
              <w:pStyle w:val="ListParagraph"/>
              <w:numPr>
                <w:ilvl w:val="0"/>
                <w:numId w:val="1"/>
              </w:numPr>
              <w:spacing w:after="90" w:line="264"/>
            </w:pPr>
            <w:r>
              <w:rPr>
                <w:rFonts w:ascii="Calibri" w:cs="Calibri" w:eastAsia="Calibri" w:hAnsi="Calibri"/>
                <w:color w:val="2B2B2B"/>
                <w:sz w:val="20"/>
                <w:szCs w:val="20"/>
              </w:rPr>
              <w:t xml:space="preserve">Kasus kekerasan seksual pada anak/remaja: tenaga medis dan tenaga kesehatan WAJIB menginformasikan dugaan kekerasan seksual kepada UPTD Perlindungan Perempuan dan Anak (UPTD PPA), unit pelaksana teknis bidang sosial, dan/atau kepolisian sesuai Pasal 40 UU No. 12 Tahun 2022 tentang Tindak Pidana Kekerasan Seksual (UU TPKS); UPTD PPA selanjutnya wajib meneruskan laporan kepada kepolisian paling lambat 3 x 24 jam. UU No. 23 Tahun 2004 tentang Penghapusan Kekerasan dalam Rumah Tangga berlaku tambahan apabila pelaku merupakan anggota keluarga korban. Pemeriksaan forensik dan pembuatan visum et repertum dilakukan oleh dokter forensik/terlatih, disertai pendampingan psikolog bagi korban.</w:t>
            </w:r>
          </w:p>
          <w:p>
            <w:pPr>
              <w:pStyle w:val="ListParagraph"/>
              <w:numPr>
                <w:ilvl w:val="0"/>
                <w:numId w:val="1"/>
              </w:numPr>
              <w:spacing w:after="0" w:line="264"/>
            </w:pPr>
            <w:r>
              <w:rPr>
                <w:rFonts w:ascii="Calibri" w:cs="Calibri" w:eastAsia="Calibri" w:hAnsi="Calibri"/>
                <w:color w:val="2B2B2B"/>
                <w:sz w:val="20"/>
                <w:szCs w:val="20"/>
              </w:rPr>
              <w:t xml:space="preserve">Kerahasiaan data medis remaja dilindungi sesuai UU No. 17 Tahun 2023 tentang Kesehatan dan UU No. 27 Tahun 2022 tentang Pelindungan Data Pribadi, dengan pengecualian pada kewajiban pelaporan kasus kekerasan terhadap anak sebagaimana diatur di atas.</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9. </w:t>
            </w:r>
            <w:r>
              <w:rPr>
                <w:rFonts w:ascii="Calibri" w:cs="Calibri" w:eastAsia="Calibri" w:hAnsi="Calibri"/>
                <w:b/>
                <w:bCs/>
                <w:color w:val="FFFFFF"/>
                <w:sz w:val="24"/>
                <w:szCs w:val="24"/>
              </w:rPr>
              <w:t xml:space="preserve">Edukasi</w:t>
            </w:r>
          </w:p>
        </w:tc>
      </w:tr>
    </w:tbl>
    <w:p>
      <w:pPr>
        <w:spacing w:after="100" w:before="0"/>
      </w:pPr>
    </w:p>
    <w:p>
      <w:pPr>
        <w:pStyle w:val="ListParagraph"/>
        <w:numPr>
          <w:ilvl w:val="0"/>
          <w:numId w:val="1"/>
        </w:numPr>
        <w:spacing w:after="80" w:before="30" w:line="264"/>
      </w:pPr>
      <w:r>
        <w:rPr>
          <w:rFonts w:ascii="Calibri" w:cs="Calibri" w:eastAsia="Calibri" w:hAnsi="Calibri"/>
          <w:color w:val="2B2B2B"/>
          <w:sz w:val="21"/>
          <w:szCs w:val="21"/>
        </w:rPr>
        <w:t xml:space="preserve">Edukasi perkembangan pubertas normal dan variasi individu, untuk menurunkan kecemasan remaja terhadap perubahan tubuhnya.</w:t>
      </w:r>
    </w:p>
    <w:p>
      <w:pPr>
        <w:pStyle w:val="ListParagraph"/>
        <w:numPr>
          <w:ilvl w:val="0"/>
          <w:numId w:val="1"/>
        </w:numPr>
        <w:spacing w:after="80" w:before="30" w:line="264"/>
      </w:pPr>
      <w:r>
        <w:rPr>
          <w:rFonts w:ascii="Calibri" w:cs="Calibri" w:eastAsia="Calibri" w:hAnsi="Calibri"/>
          <w:color w:val="2B2B2B"/>
          <w:sz w:val="21"/>
          <w:szCs w:val="21"/>
        </w:rPr>
        <w:t xml:space="preserve">Edukasi kesehatan reproduksi dan prinsip dual protection (proteksi terhadap kehamilan sekaligus IMS) diberikan kepada seluruh remaja sebagai pengetahuan kesehatan, sejalan dengan FIGO position statement on comprehensive sexuality education (2024) dan ketentuan Bagian 8.1.</w:t>
      </w:r>
    </w:p>
    <w:p>
      <w:pPr>
        <w:pStyle w:val="ListParagraph"/>
        <w:numPr>
          <w:ilvl w:val="0"/>
          <w:numId w:val="1"/>
        </w:numPr>
        <w:spacing w:after="80" w:before="30" w:line="264"/>
      </w:pPr>
      <w:r>
        <w:rPr>
          <w:rFonts w:ascii="Calibri" w:cs="Calibri" w:eastAsia="Calibri" w:hAnsi="Calibri"/>
          <w:color w:val="2B2B2B"/>
          <w:sz w:val="21"/>
          <w:szCs w:val="21"/>
        </w:rPr>
        <w:t xml:space="preserve">Edukasi tanda bahaya yang memerlukan kontrol segera: perdarahan berlebihan, nyeri hebat, keputihan berbau/berwarna abnormal, demam.</w:t>
      </w:r>
    </w:p>
    <w:p>
      <w:pPr>
        <w:pStyle w:val="ListParagraph"/>
        <w:numPr>
          <w:ilvl w:val="0"/>
          <w:numId w:val="1"/>
        </w:numPr>
        <w:spacing w:after="80" w:before="30" w:line="264"/>
      </w:pPr>
      <w:r>
        <w:rPr>
          <w:rFonts w:ascii="Calibri" w:cs="Calibri" w:eastAsia="Calibri" w:hAnsi="Calibri"/>
          <w:color w:val="2B2B2B"/>
          <w:sz w:val="21"/>
          <w:szCs w:val="21"/>
        </w:rPr>
        <w:t xml:space="preserve">Edukasi hak reproduksi, konsep persetujuan (consent), dan cara mengenali tanda-tanda kekerasan atau eksploitasi seksual.</w:t>
      </w:r>
    </w:p>
    <w:p>
      <w:pPr>
        <w:pStyle w:val="ListParagraph"/>
        <w:numPr>
          <w:ilvl w:val="0"/>
          <w:numId w:val="1"/>
        </w:numPr>
        <w:spacing w:after="80" w:before="30" w:line="264"/>
      </w:pPr>
      <w:r>
        <w:rPr>
          <w:rFonts w:ascii="Calibri" w:cs="Calibri" w:eastAsia="Calibri" w:hAnsi="Calibri"/>
          <w:color w:val="2B2B2B"/>
          <w:sz w:val="21"/>
          <w:szCs w:val="21"/>
        </w:rPr>
        <w:t xml:space="preserve">Edukasi kepada keluarga (dengan persetujuan remaja) untuk memperkuat dukungan psikososial berkelanjutan di rumah.</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10. </w:t>
            </w:r>
            <w:r>
              <w:rPr>
                <w:rFonts w:ascii="Calibri" w:cs="Calibri" w:eastAsia="Calibri" w:hAnsi="Calibri"/>
                <w:b/>
                <w:bCs/>
                <w:color w:val="FFFFFF"/>
                <w:sz w:val="24"/>
                <w:szCs w:val="24"/>
              </w:rPr>
              <w:t xml:space="preserve">Prognosis</w:t>
            </w:r>
          </w:p>
        </w:tc>
      </w:tr>
    </w:tbl>
    <w:p>
      <w:pPr>
        <w:spacing w:after="100" w:before="0"/>
      </w:pPr>
    </w:p>
    <w:tbl>
      <w:tblPr>
        <w:tblW w:type="dxa" w:w="9350"/>
        <w:tblBorders>
          <w:top w:val="single" w:color="D9C3CA" w:sz="2"/>
          <w:left w:val="single" w:color="D9C3CA" w:sz="2"/>
          <w:bottom w:val="single" w:color="D9C3CA" w:sz="2"/>
          <w:right w:val="single" w:color="D9C3CA" w:sz="2"/>
          <w:insideH w:val="single" w:color="auto" w:sz="4"/>
          <w:insideV w:val="single" w:color="auto" w:sz="4"/>
        </w:tblBorders>
      </w:tblPr>
      <w:tblGrid>
        <w:gridCol w:w="2600"/>
        <w:gridCol w:w="6750"/>
      </w:tblGrid>
      <w:tr>
        <w:trPr>
          <w:tblHeader/>
        </w:trPr>
        <w:tc>
          <w:tcPr>
            <w:tcW w:type="dxa" w:w="260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Dimensi Prognosis</w:t>
            </w:r>
          </w:p>
        </w:tc>
        <w:tc>
          <w:tcPr>
            <w:tcW w:type="dxa" w:w="675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Penilaian</w:t>
            </w:r>
          </w:p>
        </w:tc>
      </w:tr>
      <w:tr>
        <w:tc>
          <w:tcPr>
            <w:tcW w:type="dxa" w:w="26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Ad vitam</w:t>
            </w:r>
          </w:p>
        </w:tc>
        <w:tc>
          <w:tcPr>
            <w:tcW w:type="dxa" w:w="67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Bonam pada sebagian besar kasus dengan deteksi dini dan tata laksana tepat waktu.</w:t>
            </w:r>
          </w:p>
        </w:tc>
      </w:tr>
      <w:tr>
        <w:tc>
          <w:tcPr>
            <w:tcW w:type="dxa" w:w="26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Ad functionam</w:t>
            </w:r>
          </w:p>
        </w:tc>
        <w:tc>
          <w:tcPr>
            <w:tcW w:type="dxa" w:w="67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Bonam bila tanpa komplikasi struktural/endokrin berat.</w:t>
            </w:r>
          </w:p>
        </w:tc>
      </w:tr>
      <w:tr>
        <w:tc>
          <w:tcPr>
            <w:tcW w:type="dxa" w:w="26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Ad sanationam</w:t>
            </w:r>
          </w:p>
        </w:tc>
        <w:tc>
          <w:tcPr>
            <w:tcW w:type="dxa" w:w="67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Dubia ad bonam — bergantung kepatuhan kontrol ulang dan keberlanjutan dukungan psikososial, khususnya pada kasus kekerasan seksual yang memerlukan pemulihan jangka panjang.</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11. </w:t>
            </w:r>
            <w:r>
              <w:rPr>
                <w:rFonts w:ascii="Calibri" w:cs="Calibri" w:eastAsia="Calibri" w:hAnsi="Calibri"/>
                <w:b/>
                <w:bCs/>
                <w:color w:val="FFFFFF"/>
                <w:sz w:val="24"/>
                <w:szCs w:val="24"/>
              </w:rPr>
              <w:t xml:space="preserve">Tingkat Evidens</w:t>
            </w:r>
          </w:p>
        </w:tc>
      </w:tr>
    </w:tbl>
    <w:p>
      <w:pPr>
        <w:spacing w:after="100" w:before="0"/>
      </w:pPr>
    </w:p>
    <w:tbl>
      <w:tblPr>
        <w:tblW w:type="dxa" w:w="9350"/>
        <w:tblBorders>
          <w:top w:val="single" w:color="D9C3CA" w:sz="2"/>
          <w:left w:val="single" w:color="D9C3CA" w:sz="2"/>
          <w:bottom w:val="single" w:color="D9C3CA" w:sz="2"/>
          <w:right w:val="single" w:color="D9C3CA" w:sz="2"/>
          <w:insideH w:val="single" w:color="auto" w:sz="4"/>
          <w:insideV w:val="single" w:color="auto" w:sz="4"/>
        </w:tblBorders>
      </w:tblPr>
      <w:tblGrid>
        <w:gridCol w:w="4400"/>
        <w:gridCol w:w="2400"/>
        <w:gridCol w:w="2550"/>
      </w:tblGrid>
      <w:tr>
        <w:trPr>
          <w:tblHeader/>
        </w:trPr>
        <w:tc>
          <w:tcPr>
            <w:tcW w:type="dxa" w:w="440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Intervensi</w:t>
            </w:r>
          </w:p>
        </w:tc>
        <w:tc>
          <w:tcPr>
            <w:tcW w:type="dxa" w:w="240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Tingkat Evidens</w:t>
            </w:r>
          </w:p>
        </w:tc>
        <w:tc>
          <w:tcPr>
            <w:tcW w:type="dxa" w:w="255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Sumber</w:t>
            </w:r>
          </w:p>
        </w:tc>
      </w:tr>
      <w:tr>
        <w:tc>
          <w:tcPr>
            <w:tcW w:type="dxa" w:w="4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OAINS untuk dismenore primer</w:t>
            </w:r>
          </w:p>
        </w:tc>
        <w:tc>
          <w:tcPr>
            <w:tcW w:type="dxa" w:w="2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I</w:t>
            </w:r>
          </w:p>
        </w:tc>
        <w:tc>
          <w:tcPr>
            <w:tcW w:type="dxa" w:w="25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Bukti uji klinis terkontrol</w:t>
            </w:r>
          </w:p>
        </w:tc>
      </w:tr>
      <w:tr>
        <w:tc>
          <w:tcPr>
            <w:tcW w:type="dxa" w:w="44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Skrining dan tata laksana bleeding disorder pada HMB remaja</w:t>
            </w:r>
          </w:p>
        </w:tc>
        <w:tc>
          <w:tcPr>
            <w:tcW w:type="dxa" w:w="24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Level B (bukti terbatas/konsisten)</w:t>
            </w:r>
          </w:p>
        </w:tc>
        <w:tc>
          <w:tcPr>
            <w:tcW w:type="dxa" w:w="25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ACOG CO No. 785 (2019)</w:t>
            </w:r>
          </w:p>
        </w:tc>
      </w:tr>
      <w:tr>
        <w:tc>
          <w:tcPr>
            <w:tcW w:type="dxa" w:w="4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Kontrasepsi hormonal kombinasi/progestin sesuai kelayakan medis</w:t>
            </w:r>
          </w:p>
        </w:tc>
        <w:tc>
          <w:tcPr>
            <w:tcW w:type="dxa" w:w="2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Kategori 1 MEC</w:t>
            </w:r>
          </w:p>
        </w:tc>
        <w:tc>
          <w:tcPr>
            <w:tcW w:type="dxa" w:w="25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WHO MEC ed.6 (2025)</w:t>
            </w:r>
          </w:p>
        </w:tc>
      </w:tr>
      <w:tr>
        <w:tc>
          <w:tcPr>
            <w:tcW w:type="dxa" w:w="44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AKDR/implan pada remaja dan nulipara</w:t>
            </w:r>
          </w:p>
        </w:tc>
        <w:tc>
          <w:tcPr>
            <w:tcW w:type="dxa" w:w="24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Kategori 2 MEC / Level B</w:t>
            </w:r>
          </w:p>
        </w:tc>
        <w:tc>
          <w:tcPr>
            <w:tcW w:type="dxa" w:w="25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WHO MEC ed.6 (2025); ACOG CO No. 735 (2018)</w:t>
            </w:r>
          </w:p>
        </w:tc>
      </w:tr>
      <w:tr>
        <w:tc>
          <w:tcPr>
            <w:tcW w:type="dxa" w:w="4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Skrining IMS non-invasif tahunan pada remaja aktif seksual</w:t>
            </w:r>
          </w:p>
        </w:tc>
        <w:tc>
          <w:tcPr>
            <w:tcW w:type="dxa" w:w="24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Rekomendasi praktik berbasis konsensus ahli</w:t>
            </w:r>
          </w:p>
        </w:tc>
        <w:tc>
          <w:tcPr>
            <w:tcW w:type="dxa" w:w="25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ACOG CO No. 811 (2020); CDC STI Guidelines 2021</w:t>
            </w:r>
          </w:p>
        </w:tc>
      </w:tr>
      <w:tr>
        <w:tc>
          <w:tcPr>
            <w:tcW w:type="dxa" w:w="44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Pendekatan ramah remaja meningkatkan keberlanjutan kunjungan layanan</w:t>
            </w:r>
          </w:p>
        </w:tc>
        <w:tc>
          <w:tcPr>
            <w:tcW w:type="dxa" w:w="24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Bukti observasional/kualitatif</w:t>
            </w:r>
          </w:p>
        </w:tc>
        <w:tc>
          <w:tcPr>
            <w:tcW w:type="dxa" w:w="25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WHO Global Standards (2025)</w:t>
            </w:r>
          </w:p>
        </w:tc>
      </w:tr>
    </w:tbl>
    <w:p>
      <w:pPr>
        <w:spacing w:after="160" w:before="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12. </w:t>
            </w:r>
            <w:r>
              <w:rPr>
                <w:rFonts w:ascii="Calibri" w:cs="Calibri" w:eastAsia="Calibri" w:hAnsi="Calibri"/>
                <w:b/>
                <w:bCs/>
                <w:color w:val="FFFFFF"/>
                <w:sz w:val="24"/>
                <w:szCs w:val="24"/>
              </w:rPr>
              <w:t xml:space="preserve">Tingkat Rekomendasi</w:t>
            </w:r>
          </w:p>
        </w:tc>
      </w:tr>
    </w:tbl>
    <w:p>
      <w:pPr>
        <w:spacing w:after="100" w:before="0"/>
      </w:pPr>
    </w:p>
    <w:tbl>
      <w:tblPr>
        <w:tblW w:type="dxa" w:w="9350"/>
        <w:tblBorders>
          <w:top w:val="single" w:color="D9C3CA" w:sz="2"/>
          <w:left w:val="single" w:color="D9C3CA" w:sz="2"/>
          <w:bottom w:val="single" w:color="D9C3CA" w:sz="2"/>
          <w:right w:val="single" w:color="D9C3CA" w:sz="2"/>
          <w:insideH w:val="single" w:color="auto" w:sz="4"/>
          <w:insideV w:val="single" w:color="auto" w:sz="4"/>
        </w:tblBorders>
      </w:tblPr>
      <w:tblGrid>
        <w:gridCol w:w="7150"/>
        <w:gridCol w:w="2200"/>
      </w:tblGrid>
      <w:tr>
        <w:trPr>
          <w:tblHeader/>
        </w:trPr>
        <w:tc>
          <w:tcPr>
            <w:tcW w:type="dxa" w:w="715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Rekomendasi</w:t>
            </w:r>
          </w:p>
        </w:tc>
        <w:tc>
          <w:tcPr>
            <w:tcW w:type="dxa" w:w="220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Kelas</w:t>
            </w:r>
          </w:p>
        </w:tc>
      </w:tr>
      <w:tr>
        <w:tc>
          <w:tcPr>
            <w:tcW w:type="dxa" w:w="71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OAINS sebagai lini pertama dismenore primer sesuai indikasi</w:t>
            </w:r>
          </w:p>
        </w:tc>
        <w:tc>
          <w:tcPr>
            <w:tcW w:type="dxa" w:w="22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w:t>
            </w:r>
          </w:p>
        </w:tc>
      </w:tr>
      <w:tr>
        <w:tc>
          <w:tcPr>
            <w:tcW w:type="dxa" w:w="71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Doksisiklin 100 mg 2x/hari 7 hari sebagai lini pertama klamidia (bukan azitromisin dosis tunggal)</w:t>
            </w:r>
          </w:p>
        </w:tc>
        <w:tc>
          <w:tcPr>
            <w:tcW w:type="dxa" w:w="22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A (CDC 2021)</w:t>
            </w:r>
          </w:p>
        </w:tc>
      </w:tr>
      <w:tr>
        <w:tc>
          <w:tcPr>
            <w:tcW w:type="dxa" w:w="71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Skrining bleeding disorder pada remaja dengan HMB sejak menarche</w:t>
            </w:r>
          </w:p>
        </w:tc>
        <w:tc>
          <w:tcPr>
            <w:tcW w:type="dxa" w:w="22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B (ACOG CO 785)</w:t>
            </w:r>
          </w:p>
        </w:tc>
      </w:tr>
      <w:tr>
        <w:tc>
          <w:tcPr>
            <w:tcW w:type="dxa" w:w="71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Skrining IMS rutin tahunan pada remaja yang aktif secara seksual</w:t>
            </w:r>
          </w:p>
        </w:tc>
        <w:tc>
          <w:tcPr>
            <w:tcW w:type="dxa" w:w="22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B (ACOG CO 811)</w:t>
            </w:r>
          </w:p>
        </w:tc>
      </w:tr>
      <w:tr>
        <w:tc>
          <w:tcPr>
            <w:tcW w:type="dxa" w:w="71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Penerapan pendekatan ramah remaja dan jaminan kerahasiaan konsultasi</w:t>
            </w:r>
          </w:p>
        </w:tc>
        <w:tc>
          <w:tcPr>
            <w:tcW w:type="dxa" w:w="22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B (WHO Global Standards)</w:t>
            </w:r>
          </w:p>
        </w:tc>
      </w:tr>
      <w:tr>
        <w:tc>
          <w:tcPr>
            <w:tcW w:type="dxa" w:w="71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Penawaran AKDR/implan pada remaja nulipara setelah konseling MEC</w:t>
            </w:r>
          </w:p>
        </w:tc>
        <w:tc>
          <w:tcPr>
            <w:tcW w:type="dxa" w:w="22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B (ACOG CO 735; MEC Kategori 2)</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13. </w:t>
            </w:r>
            <w:r>
              <w:rPr>
                <w:rFonts w:ascii="Calibri" w:cs="Calibri" w:eastAsia="Calibri" w:hAnsi="Calibri"/>
                <w:b/>
                <w:bCs/>
                <w:color w:val="FFFFFF"/>
                <w:sz w:val="24"/>
                <w:szCs w:val="24"/>
              </w:rPr>
              <w:t xml:space="preserve">Penelaah Kritis</w:t>
            </w:r>
          </w:p>
        </w:tc>
      </w:tr>
    </w:tbl>
    <w:p>
      <w:pPr>
        <w:spacing w:after="100" w:before="0"/>
      </w:pPr>
    </w:p>
    <w:p>
      <w:pPr>
        <w:spacing w:after="120" w:before="60" w:line="276"/>
      </w:pPr>
      <w:r>
        <w:rPr>
          <w:rFonts w:ascii="Calibri" w:cs="Calibri" w:eastAsia="Calibri" w:hAnsi="Calibri"/>
          <w:color w:val="2B2B2B"/>
          <w:sz w:val="21"/>
          <w:szCs w:val="21"/>
        </w:rPr>
        <w:t xml:space="preserve">KSM Obstetri dan Ginekologi Subspesialis Obstetri Ginekologi Sosial, berkoordinasi dengan psikiater anak-remaja/psikolog klinis untuk aspek psikososial dan bagian hukum/etik rumah sakit untuk aspek etikolegal, serta ditelaah dan disahkan oleh Komite Medik rumah sakit sebelum diberlakukan.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14. </w:t>
            </w:r>
            <w:r>
              <w:rPr>
                <w:rFonts w:ascii="Calibri" w:cs="Calibri" w:eastAsia="Calibri" w:hAnsi="Calibri"/>
                <w:b/>
                <w:bCs/>
                <w:color w:val="FFFFFF"/>
                <w:sz w:val="24"/>
                <w:szCs w:val="24"/>
              </w:rPr>
              <w:t xml:space="preserve">Indikator Medis</w:t>
            </w:r>
          </w:p>
        </w:tc>
      </w:tr>
    </w:tbl>
    <w:p>
      <w:pPr>
        <w:spacing w:after="100" w:before="0"/>
      </w:pPr>
    </w:p>
    <w:tbl>
      <w:tblPr>
        <w:tblW w:type="dxa" w:w="9350"/>
        <w:tblBorders>
          <w:top w:val="single" w:color="D9C3CA" w:sz="2"/>
          <w:left w:val="single" w:color="D9C3CA" w:sz="2"/>
          <w:bottom w:val="single" w:color="D9C3CA" w:sz="2"/>
          <w:right w:val="single" w:color="D9C3CA" w:sz="2"/>
          <w:insideH w:val="single" w:color="auto" w:sz="4"/>
          <w:insideV w:val="single" w:color="auto" w:sz="4"/>
        </w:tblBorders>
      </w:tblPr>
      <w:tblGrid>
        <w:gridCol w:w="6650"/>
        <w:gridCol w:w="2700"/>
      </w:tblGrid>
      <w:tr>
        <w:trPr>
          <w:tblHeader/>
        </w:trPr>
        <w:tc>
          <w:tcPr>
            <w:tcW w:type="dxa" w:w="665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Indikator</w:t>
            </w:r>
          </w:p>
        </w:tc>
        <w:tc>
          <w:tcPr>
            <w:tcW w:type="dxa" w:w="2700"/>
            <w:shd w:fill="7A1F3D" w:color="auto"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Target</w:t>
            </w:r>
          </w:p>
        </w:tc>
      </w:tr>
      <w:tr>
        <w:tc>
          <w:tcPr>
            <w:tcW w:type="dxa" w:w="66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Persentase remaja yang menerima edukasi kesehatan reproduksi sebelum pulang</w:t>
            </w:r>
          </w:p>
        </w:tc>
        <w:tc>
          <w:tcPr>
            <w:tcW w:type="dxa" w:w="27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 90%</w:t>
            </w:r>
          </w:p>
        </w:tc>
      </w:tr>
      <w:tr>
        <w:tc>
          <w:tcPr>
            <w:tcW w:type="dxa" w:w="66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Waktu tunggu layanan ramah remaja</w:t>
            </w:r>
          </w:p>
        </w:tc>
        <w:tc>
          <w:tcPr>
            <w:tcW w:type="dxa" w:w="27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 30 menit</w:t>
            </w:r>
          </w:p>
        </w:tc>
      </w:tr>
      <w:tr>
        <w:tc>
          <w:tcPr>
            <w:tcW w:type="dxa" w:w="665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Kepatuhan pelaporan dugaan kekerasan seksual ke UPTD PPA dalam 3x24 jam (Pasal 40 UU TPKS)</w:t>
            </w:r>
          </w:p>
        </w:tc>
        <w:tc>
          <w:tcPr>
            <w:tcW w:type="dxa" w:w="2700"/>
            <w:shd w:fill="FFFFFF"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100%</w:t>
            </w:r>
          </w:p>
        </w:tc>
      </w:tr>
      <w:tr>
        <w:tc>
          <w:tcPr>
            <w:tcW w:type="dxa" w:w="665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Kepatuhan kontrol ulang dalam 1 bulan pasca-konsultasi</w:t>
            </w:r>
          </w:p>
        </w:tc>
        <w:tc>
          <w:tcPr>
            <w:tcW w:type="dxa" w:w="2700"/>
            <w:shd w:fill="F7F0F2" w:color="auto" w:val="clear"/>
            <w:tcMar>
              <w:top w:type="dxa" w:w="90"/>
              <w:left w:type="dxa" w:w="120"/>
              <w:bottom w:type="dxa" w:w="90"/>
              <w:right w:type="dxa" w:w="120"/>
            </w:tcMar>
            <w:vAlign w:val="center"/>
          </w:tcPr>
          <w:p>
            <w:r>
              <w:rPr>
                <w:rFonts w:ascii="Calibri" w:cs="Calibri" w:eastAsia="Calibri" w:hAnsi="Calibri"/>
                <w:color w:val="2B2B2B"/>
                <w:sz w:val="19"/>
                <w:szCs w:val="19"/>
              </w:rPr>
              <w:t xml:space="preserve">≥ 80%</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shd w:fill="7A1F3D" w:color="auto" w:val="clear"/>
            <w:tcMar>
              <w:top w:type="dxa" w:w="140"/>
              <w:left w:type="dxa" w:w="220"/>
              <w:bottom w:type="dxa" w:w="140"/>
              <w:right w:type="dxa" w:w="220"/>
            </w:tcMar>
          </w:tcPr>
          <w:p>
            <w:pPr>
              <w:spacing w:after="0" w:before="0"/>
            </w:pPr>
            <w:r>
              <w:rPr>
                <w:rFonts w:ascii="Calibri" w:cs="Calibri" w:eastAsia="Calibri" w:hAnsi="Calibri"/>
                <w:b/>
                <w:bCs/>
                <w:color w:val="FFFFFF"/>
                <w:sz w:val="24"/>
                <w:szCs w:val="24"/>
              </w:rPr>
              <w:t xml:space="preserve">15. </w:t>
            </w:r>
            <w:r>
              <w:rPr>
                <w:rFonts w:ascii="Calibri" w:cs="Calibri" w:eastAsia="Calibri" w:hAnsi="Calibri"/>
                <w:b/>
                <w:bCs/>
                <w:color w:val="FFFFFF"/>
                <w:sz w:val="24"/>
                <w:szCs w:val="24"/>
              </w:rPr>
              <w:t xml:space="preserve">Kepustakaan</w:t>
            </w:r>
          </w:p>
        </w:tc>
      </w:tr>
    </w:tbl>
    <w:p>
      <w:pPr>
        <w:spacing w:after="100" w:before="0"/>
      </w:pPr>
    </w:p>
    <w:p>
      <w:pPr>
        <w:spacing w:after="100" w:line="264"/>
        <w:ind w:left="360" w:hanging="360"/>
      </w:pPr>
      <w:r>
        <w:rPr>
          <w:rFonts w:ascii="Calibri" w:cs="Calibri" w:eastAsia="Calibri" w:hAnsi="Calibri"/>
          <w:b/>
          <w:bCs/>
          <w:color w:val="7A1F3D"/>
          <w:sz w:val="20"/>
          <w:szCs w:val="20"/>
        </w:rPr>
        <w:t xml:space="preserve">1. </w:t>
      </w:r>
      <w:r>
        <w:rPr>
          <w:rFonts w:ascii="Calibri" w:cs="Calibri" w:eastAsia="Calibri" w:hAnsi="Calibri"/>
          <w:color w:val="2B2B2B"/>
          <w:sz w:val="20"/>
          <w:szCs w:val="20"/>
        </w:rPr>
        <w:t xml:space="preserve">World Health Organization. Global standards for quality health care services for adolescents. Geneva: WHO; 23 October 2025 (pembaruan dari edisi 2015). ISBN 978-92-4-011401-2.</w:t>
      </w:r>
      <w:r>
        <w:rPr>
          <w:rFonts w:ascii="Calibri" w:cs="Calibri" w:eastAsia="Calibri" w:hAnsi="Calibri"/>
          <w:color w:val="2B2B2B"/>
          <w:sz w:val="20"/>
          <w:szCs w:val="20"/>
        </w:rPr>
        <w:t xml:space="preserve"> Tersedia di: </w:t>
      </w:r>
      <w:hyperlink w:history="1" r:id="rIdbk7mxx0iry8sffkikxoyx">
        <w:r>
          <w:rPr>
            <w:rFonts w:ascii="Calibri" w:cs="Calibri" w:eastAsia="Calibri" w:hAnsi="Calibri"/>
            <w:color w:val="1A5276"/>
            <w:sz w:val="20"/>
            <w:szCs w:val="20"/>
            <w:u w:val="single"/>
          </w:rPr>
          <w:t xml:space="preserve">who.int/publications/i/item/9789240114012</w:t>
        </w:r>
      </w:hyperlink>
    </w:p>
    <w:p>
      <w:pPr>
        <w:spacing w:after="100" w:line="264"/>
        <w:ind w:left="360" w:hanging="360"/>
      </w:pPr>
      <w:r>
        <w:rPr>
          <w:rFonts w:ascii="Calibri" w:cs="Calibri" w:eastAsia="Calibri" w:hAnsi="Calibri"/>
          <w:b/>
          <w:bCs/>
          <w:color w:val="7A1F3D"/>
          <w:sz w:val="20"/>
          <w:szCs w:val="20"/>
        </w:rPr>
        <w:t xml:space="preserve">2. </w:t>
      </w:r>
      <w:r>
        <w:rPr>
          <w:rFonts w:ascii="Calibri" w:cs="Calibri" w:eastAsia="Calibri" w:hAnsi="Calibri"/>
          <w:color w:val="2B2B2B"/>
          <w:sz w:val="20"/>
          <w:szCs w:val="20"/>
        </w:rPr>
        <w:t xml:space="preserve">World Health Organization. Medical eligibility criteria for contraceptive use, 6th ed. Geneva: WHO; 3 November 2025. ISBN 978-92-4-011558-3.</w:t>
      </w:r>
      <w:r>
        <w:rPr>
          <w:rFonts w:ascii="Calibri" w:cs="Calibri" w:eastAsia="Calibri" w:hAnsi="Calibri"/>
          <w:color w:val="2B2B2B"/>
          <w:sz w:val="20"/>
          <w:szCs w:val="20"/>
        </w:rPr>
        <w:t xml:space="preserve"> Tersedia di: </w:t>
      </w:r>
      <w:hyperlink w:history="1" r:id="rIdn15vnxji2x-uaqnlv6yrf">
        <w:r>
          <w:rPr>
            <w:rFonts w:ascii="Calibri" w:cs="Calibri" w:eastAsia="Calibri" w:hAnsi="Calibri"/>
            <w:color w:val="1A5276"/>
            <w:sz w:val="20"/>
            <w:szCs w:val="20"/>
            <w:u w:val="single"/>
          </w:rPr>
          <w:t xml:space="preserve">who.int/publications/i/item/9789240115583</w:t>
        </w:r>
      </w:hyperlink>
    </w:p>
    <w:p>
      <w:pPr>
        <w:spacing w:after="100" w:line="264"/>
        <w:ind w:left="360" w:hanging="360"/>
      </w:pPr>
      <w:r>
        <w:rPr>
          <w:rFonts w:ascii="Calibri" w:cs="Calibri" w:eastAsia="Calibri" w:hAnsi="Calibri"/>
          <w:b/>
          <w:bCs/>
          <w:color w:val="7A1F3D"/>
          <w:sz w:val="20"/>
          <w:szCs w:val="20"/>
        </w:rPr>
        <w:t xml:space="preserve">3. </w:t>
      </w:r>
      <w:r>
        <w:rPr>
          <w:rFonts w:ascii="Calibri" w:cs="Calibri" w:eastAsia="Calibri" w:hAnsi="Calibri"/>
          <w:color w:val="2B2B2B"/>
          <w:sz w:val="20"/>
          <w:szCs w:val="20"/>
        </w:rPr>
        <w:t xml:space="preserve">American College of Obstetricians and Gynecologists (ACOG), Committee on Adolescent Health Care. Committee Opinion No. 811: The Initial Reproductive Health Visit. Obstet Gynecol. 2020;136(4):e70–e80.</w:t>
      </w:r>
      <w:r>
        <w:rPr>
          <w:rFonts w:ascii="Calibri" w:cs="Calibri" w:eastAsia="Calibri" w:hAnsi="Calibri"/>
          <w:color w:val="2B2B2B"/>
          <w:sz w:val="20"/>
          <w:szCs w:val="20"/>
        </w:rPr>
        <w:t xml:space="preserve"> Tersedia di: </w:t>
      </w:r>
      <w:hyperlink w:history="1" r:id="rIdipe5hsl_eywfwwv6wdyq0">
        <w:r>
          <w:rPr>
            <w:rFonts w:ascii="Calibri" w:cs="Calibri" w:eastAsia="Calibri" w:hAnsi="Calibri"/>
            <w:color w:val="1A5276"/>
            <w:sz w:val="20"/>
            <w:szCs w:val="20"/>
            <w:u w:val="single"/>
          </w:rPr>
          <w:t xml:space="preserve">acog.org – The Initial Reproductive Health Visit</w:t>
        </w:r>
      </w:hyperlink>
    </w:p>
    <w:p>
      <w:pPr>
        <w:spacing w:after="100" w:line="264"/>
        <w:ind w:left="360" w:hanging="360"/>
      </w:pPr>
      <w:r>
        <w:rPr>
          <w:rFonts w:ascii="Calibri" w:cs="Calibri" w:eastAsia="Calibri" w:hAnsi="Calibri"/>
          <w:b/>
          <w:bCs/>
          <w:color w:val="7A1F3D"/>
          <w:sz w:val="20"/>
          <w:szCs w:val="20"/>
        </w:rPr>
        <w:t xml:space="preserve">4. </w:t>
      </w:r>
      <w:r>
        <w:rPr>
          <w:rFonts w:ascii="Calibri" w:cs="Calibri" w:eastAsia="Calibri" w:hAnsi="Calibri"/>
          <w:color w:val="2B2B2B"/>
          <w:sz w:val="20"/>
          <w:szCs w:val="20"/>
        </w:rPr>
        <w:t xml:space="preserve">ACOG, Committee on Adolescent Health Care. Committee Opinion No. 785: Screening and Management of Bleeding Disorders in Adolescents With Heavy Menstrual Bleeding. Obstet Gynecol. 2019;134:e71–e83.</w:t>
      </w:r>
      <w:r>
        <w:rPr>
          <w:rFonts w:ascii="Calibri" w:cs="Calibri" w:eastAsia="Calibri" w:hAnsi="Calibri"/>
          <w:color w:val="2B2B2B"/>
          <w:sz w:val="20"/>
          <w:szCs w:val="20"/>
        </w:rPr>
        <w:t xml:space="preserve"> Tersedia di: </w:t>
      </w:r>
      <w:hyperlink w:history="1" r:id="rIdhfz3zd6e3fwjf04-wsdsz">
        <w:r>
          <w:rPr>
            <w:rFonts w:ascii="Calibri" w:cs="Calibri" w:eastAsia="Calibri" w:hAnsi="Calibri"/>
            <w:color w:val="1A5276"/>
            <w:sz w:val="20"/>
            <w:szCs w:val="20"/>
            <w:u w:val="single"/>
          </w:rPr>
          <w:t xml:space="preserve">acog.org – Bleeding Disorders in Adolescents</w:t>
        </w:r>
      </w:hyperlink>
    </w:p>
    <w:p>
      <w:pPr>
        <w:spacing w:after="100" w:line="264"/>
        <w:ind w:left="360" w:hanging="360"/>
      </w:pPr>
      <w:r>
        <w:rPr>
          <w:rFonts w:ascii="Calibri" w:cs="Calibri" w:eastAsia="Calibri" w:hAnsi="Calibri"/>
          <w:b/>
          <w:bCs/>
          <w:color w:val="7A1F3D"/>
          <w:sz w:val="20"/>
          <w:szCs w:val="20"/>
        </w:rPr>
        <w:t xml:space="preserve">5. </w:t>
      </w:r>
      <w:r>
        <w:rPr>
          <w:rFonts w:ascii="Calibri" w:cs="Calibri" w:eastAsia="Calibri" w:hAnsi="Calibri"/>
          <w:color w:val="2B2B2B"/>
          <w:sz w:val="20"/>
          <w:szCs w:val="20"/>
        </w:rPr>
        <w:t xml:space="preserve">ACOG, Committee on Adolescent Health Care. Committee Opinion No. 735: Adolescents and Long-Acting Reversible Contraception: Implants and Intrauterine Devices. Obstet Gynecol. 2018;131:e130–e139.</w:t>
      </w:r>
      <w:r>
        <w:rPr>
          <w:rFonts w:ascii="Calibri" w:cs="Calibri" w:eastAsia="Calibri" w:hAnsi="Calibri"/>
          <w:color w:val="2B2B2B"/>
          <w:sz w:val="20"/>
          <w:szCs w:val="20"/>
        </w:rPr>
        <w:t xml:space="preserve"> Tersedia di: </w:t>
      </w:r>
      <w:hyperlink w:history="1" r:id="rIdv8ouuhc3qnodkxvpshdkd">
        <w:r>
          <w:rPr>
            <w:rFonts w:ascii="Calibri" w:cs="Calibri" w:eastAsia="Calibri" w:hAnsi="Calibri"/>
            <w:color w:val="1A5276"/>
            <w:sz w:val="20"/>
            <w:szCs w:val="20"/>
            <w:u w:val="single"/>
          </w:rPr>
          <w:t xml:space="preserve">acog.org – LARC in Adolescents</w:t>
        </w:r>
      </w:hyperlink>
    </w:p>
    <w:p>
      <w:pPr>
        <w:spacing w:after="100" w:line="264"/>
        <w:ind w:left="360" w:hanging="360"/>
      </w:pPr>
      <w:r>
        <w:rPr>
          <w:rFonts w:ascii="Calibri" w:cs="Calibri" w:eastAsia="Calibri" w:hAnsi="Calibri"/>
          <w:b/>
          <w:bCs/>
          <w:color w:val="7A1F3D"/>
          <w:sz w:val="20"/>
          <w:szCs w:val="20"/>
        </w:rPr>
        <w:t xml:space="preserve">6. </w:t>
      </w:r>
      <w:r>
        <w:rPr>
          <w:rFonts w:ascii="Calibri" w:cs="Calibri" w:eastAsia="Calibri" w:hAnsi="Calibri"/>
          <w:color w:val="2B2B2B"/>
          <w:sz w:val="20"/>
          <w:szCs w:val="20"/>
        </w:rPr>
        <w:t xml:space="preserve">Braverman PK, Breech L; American Academy of Pediatrics Committee on Adolescence. Clinical Report—Gynecologic Examination for Adolescents in the Pediatric Office Setting. Pediatrics. 2010;126(3):583–590.</w:t>
      </w:r>
      <w:r>
        <w:rPr>
          <w:rFonts w:ascii="Calibri" w:cs="Calibri" w:eastAsia="Calibri" w:hAnsi="Calibri"/>
          <w:color w:val="2B2B2B"/>
          <w:sz w:val="20"/>
          <w:szCs w:val="20"/>
        </w:rPr>
        <w:t xml:space="preserve"> Tersedia di: </w:t>
      </w:r>
      <w:hyperlink w:history="1" r:id="rIdr3zmtadamw6p9qnvxqhr_">
        <w:r>
          <w:rPr>
            <w:rFonts w:ascii="Calibri" w:cs="Calibri" w:eastAsia="Calibri" w:hAnsi="Calibri"/>
            <w:color w:val="1A5276"/>
            <w:sz w:val="20"/>
            <w:szCs w:val="20"/>
            <w:u w:val="single"/>
          </w:rPr>
          <w:t xml:space="preserve">pubmed.ncbi.nlm.nih.gov/20805151</w:t>
        </w:r>
      </w:hyperlink>
    </w:p>
    <w:p>
      <w:pPr>
        <w:spacing w:after="100" w:line="264"/>
        <w:ind w:left="360" w:hanging="360"/>
      </w:pPr>
      <w:r>
        <w:rPr>
          <w:rFonts w:ascii="Calibri" w:cs="Calibri" w:eastAsia="Calibri" w:hAnsi="Calibri"/>
          <w:b/>
          <w:bCs/>
          <w:color w:val="7A1F3D"/>
          <w:sz w:val="20"/>
          <w:szCs w:val="20"/>
        </w:rPr>
        <w:t xml:space="preserve">7. </w:t>
      </w:r>
      <w:r>
        <w:rPr>
          <w:rFonts w:ascii="Calibri" w:cs="Calibri" w:eastAsia="Calibri" w:hAnsi="Calibri"/>
          <w:color w:val="2B2B2B"/>
          <w:sz w:val="20"/>
          <w:szCs w:val="20"/>
        </w:rPr>
        <w:t xml:space="preserve">Koch AR, et al., International Federation of Gynecology and Obstetrics (FIGO). FIGO position statement on comprehensive sexuality education. Int J Gynecol Obstet. 2024.</w:t>
      </w:r>
      <w:r>
        <w:rPr>
          <w:rFonts w:ascii="Calibri" w:cs="Calibri" w:eastAsia="Calibri" w:hAnsi="Calibri"/>
          <w:color w:val="2B2B2B"/>
          <w:sz w:val="20"/>
          <w:szCs w:val="20"/>
        </w:rPr>
        <w:t xml:space="preserve"> Tersedia di: </w:t>
      </w:r>
      <w:hyperlink w:history="1" r:id="rIdmy5tyzpxshm9uoh0pn_zx">
        <w:r>
          <w:rPr>
            <w:rFonts w:ascii="Calibri" w:cs="Calibri" w:eastAsia="Calibri" w:hAnsi="Calibri"/>
            <w:color w:val="1A5276"/>
            <w:sz w:val="20"/>
            <w:szCs w:val="20"/>
            <w:u w:val="single"/>
          </w:rPr>
          <w:t xml:space="preserve">pubmed.ncbi.nlm.nih.gov/38219018</w:t>
        </w:r>
      </w:hyperlink>
    </w:p>
    <w:p>
      <w:pPr>
        <w:spacing w:after="100" w:line="264"/>
        <w:ind w:left="360" w:hanging="360"/>
      </w:pPr>
      <w:r>
        <w:rPr>
          <w:rFonts w:ascii="Calibri" w:cs="Calibri" w:eastAsia="Calibri" w:hAnsi="Calibri"/>
          <w:b/>
          <w:bCs/>
          <w:color w:val="7A1F3D"/>
          <w:sz w:val="20"/>
          <w:szCs w:val="20"/>
        </w:rPr>
        <w:t xml:space="preserve">8. </w:t>
      </w:r>
      <w:r>
        <w:rPr>
          <w:rFonts w:ascii="Calibri" w:cs="Calibri" w:eastAsia="Calibri" w:hAnsi="Calibri"/>
          <w:color w:val="2B2B2B"/>
          <w:sz w:val="20"/>
          <w:szCs w:val="20"/>
        </w:rPr>
        <w:t xml:space="preserve">Workowski KA, Bachmann LH, Chan PA, et al. Sexually Transmitted Infections Treatment Guidelines, 2021. MMWR Recomm Rep. 2021;70(4):1–187.</w:t>
      </w:r>
      <w:r>
        <w:rPr>
          <w:rFonts w:ascii="Calibri" w:cs="Calibri" w:eastAsia="Calibri" w:hAnsi="Calibri"/>
          <w:color w:val="2B2B2B"/>
          <w:sz w:val="20"/>
          <w:szCs w:val="20"/>
        </w:rPr>
        <w:t xml:space="preserve"> Tersedia di: </w:t>
      </w:r>
      <w:hyperlink w:history="1" r:id="rIddw4f2zwls5uai0qobnrpo">
        <w:r>
          <w:rPr>
            <w:rFonts w:ascii="Calibri" w:cs="Calibri" w:eastAsia="Calibri" w:hAnsi="Calibri"/>
            <w:color w:val="1A5276"/>
            <w:sz w:val="20"/>
            <w:szCs w:val="20"/>
            <w:u w:val="single"/>
          </w:rPr>
          <w:t xml:space="preserve">cdc.gov/std/treatment-guidelines</w:t>
        </w:r>
      </w:hyperlink>
    </w:p>
    <w:p>
      <w:pPr>
        <w:spacing w:after="100" w:line="264"/>
        <w:ind w:left="360" w:hanging="360"/>
      </w:pPr>
      <w:r>
        <w:rPr>
          <w:rFonts w:ascii="Calibri" w:cs="Calibri" w:eastAsia="Calibri" w:hAnsi="Calibri"/>
          <w:b/>
          <w:bCs/>
          <w:color w:val="7A1F3D"/>
          <w:sz w:val="20"/>
          <w:szCs w:val="20"/>
        </w:rPr>
        <w:t xml:space="preserve">9. </w:t>
      </w:r>
      <w:r>
        <w:rPr>
          <w:rFonts w:ascii="Calibri" w:cs="Calibri" w:eastAsia="Calibri" w:hAnsi="Calibri"/>
          <w:color w:val="2B2B2B"/>
          <w:sz w:val="20"/>
          <w:szCs w:val="20"/>
        </w:rPr>
        <w:t xml:space="preserve">Kementerian Kesehatan RI. Pedoman Nasional Penanganan Infeksi Menular Seksual. Jakarta: Kemenkes RI; 2016.</w:t>
      </w:r>
      <w:r>
        <w:rPr>
          <w:rFonts w:ascii="Calibri" w:cs="Calibri" w:eastAsia="Calibri" w:hAnsi="Calibri"/>
          <w:color w:val="2B2B2B"/>
          <w:sz w:val="20"/>
          <w:szCs w:val="20"/>
        </w:rPr>
        <w:t xml:space="preserve"> Tersedia di: </w:t>
      </w:r>
      <w:hyperlink w:history="1" r:id="rIday63ctkyboguau1qswts7">
        <w:r>
          <w:rPr>
            <w:rFonts w:ascii="Calibri" w:cs="Calibri" w:eastAsia="Calibri" w:hAnsi="Calibri"/>
            <w:color w:val="1A5276"/>
            <w:sz w:val="20"/>
            <w:szCs w:val="20"/>
            <w:u w:val="single"/>
          </w:rPr>
          <w:t xml:space="preserve">repository.kemkes.go.id/book/467</w:t>
        </w:r>
      </w:hyperlink>
    </w:p>
    <w:p>
      <w:pPr>
        <w:spacing w:after="100" w:line="264"/>
        <w:ind w:left="360" w:hanging="360"/>
      </w:pPr>
      <w:r>
        <w:rPr>
          <w:rFonts w:ascii="Calibri" w:cs="Calibri" w:eastAsia="Calibri" w:hAnsi="Calibri"/>
          <w:b/>
          <w:bCs/>
          <w:color w:val="7A1F3D"/>
          <w:sz w:val="20"/>
          <w:szCs w:val="20"/>
        </w:rPr>
        <w:t xml:space="preserve">10. </w:t>
      </w:r>
      <w:r>
        <w:rPr>
          <w:rFonts w:ascii="Calibri" w:cs="Calibri" w:eastAsia="Calibri" w:hAnsi="Calibri"/>
          <w:color w:val="2B2B2B"/>
          <w:sz w:val="20"/>
          <w:szCs w:val="20"/>
        </w:rPr>
        <w:t xml:space="preserve">Republik Indonesia. Undang-Undang Nomor 17 Tahun 2023 tentang Kesehatan (Lembaran Negara RI Tahun 2023 Nomor 105, Tambahan Lembaran Negara RI Nomor 6887).</w:t>
      </w:r>
      <w:r>
        <w:rPr>
          <w:rFonts w:ascii="Calibri" w:cs="Calibri" w:eastAsia="Calibri" w:hAnsi="Calibri"/>
          <w:color w:val="2B2B2B"/>
          <w:sz w:val="20"/>
          <w:szCs w:val="20"/>
        </w:rPr>
        <w:t xml:space="preserve"> Tersedia di: </w:t>
      </w:r>
      <w:hyperlink w:history="1" r:id="rIdwhtl9m-p3i4qyttlvg11h">
        <w:r>
          <w:rPr>
            <w:rFonts w:ascii="Calibri" w:cs="Calibri" w:eastAsia="Calibri" w:hAnsi="Calibri"/>
            <w:color w:val="1A5276"/>
            <w:sz w:val="20"/>
            <w:szCs w:val="20"/>
            <w:u w:val="single"/>
          </w:rPr>
          <w:t xml:space="preserve">peraturan.go.id/id/uu-no-17-tahun-2023</w:t>
        </w:r>
      </w:hyperlink>
    </w:p>
    <w:p>
      <w:pPr>
        <w:spacing w:after="100" w:line="264"/>
        <w:ind w:left="360" w:hanging="360"/>
      </w:pPr>
      <w:r>
        <w:rPr>
          <w:rFonts w:ascii="Calibri" w:cs="Calibri" w:eastAsia="Calibri" w:hAnsi="Calibri"/>
          <w:b/>
          <w:bCs/>
          <w:color w:val="7A1F3D"/>
          <w:sz w:val="20"/>
          <w:szCs w:val="20"/>
        </w:rPr>
        <w:t xml:space="preserve">11. </w:t>
      </w:r>
      <w:r>
        <w:rPr>
          <w:rFonts w:ascii="Calibri" w:cs="Calibri" w:eastAsia="Calibri" w:hAnsi="Calibri"/>
          <w:color w:val="2B2B2B"/>
          <w:sz w:val="20"/>
          <w:szCs w:val="20"/>
        </w:rPr>
        <w:t xml:space="preserve">Republik Indonesia. Peraturan Pemerintah Nomor 28 Tahun 2024 tentang Peraturan Pelaksanaan Undang-Undang Nomor 17 Tahun 2023 tentang Kesehatan.</w:t>
      </w:r>
      <w:r>
        <w:rPr>
          <w:rFonts w:ascii="Calibri" w:cs="Calibri" w:eastAsia="Calibri" w:hAnsi="Calibri"/>
          <w:color w:val="2B2B2B"/>
          <w:sz w:val="20"/>
          <w:szCs w:val="20"/>
        </w:rPr>
        <w:t xml:space="preserve"> Tersedia di: </w:t>
      </w:r>
      <w:hyperlink w:history="1" r:id="rIduuq26upaueuwx-ox3qbsg">
        <w:r>
          <w:rPr>
            <w:rFonts w:ascii="Calibri" w:cs="Calibri" w:eastAsia="Calibri" w:hAnsi="Calibri"/>
            <w:color w:val="1A5276"/>
            <w:sz w:val="20"/>
            <w:szCs w:val="20"/>
            <w:u w:val="single"/>
          </w:rPr>
          <w:t xml:space="preserve">peraturan.go.id/id/pp-no-28-tahun-2024</w:t>
        </w:r>
      </w:hyperlink>
    </w:p>
    <w:p>
      <w:pPr>
        <w:spacing w:after="100" w:line="264"/>
        <w:ind w:left="360" w:hanging="360"/>
      </w:pPr>
      <w:r>
        <w:rPr>
          <w:rFonts w:ascii="Calibri" w:cs="Calibri" w:eastAsia="Calibri" w:hAnsi="Calibri"/>
          <w:b/>
          <w:bCs/>
          <w:color w:val="7A1F3D"/>
          <w:sz w:val="20"/>
          <w:szCs w:val="20"/>
        </w:rPr>
        <w:t xml:space="preserve">12. </w:t>
      </w:r>
      <w:r>
        <w:rPr>
          <w:rFonts w:ascii="Calibri" w:cs="Calibri" w:eastAsia="Calibri" w:hAnsi="Calibri"/>
          <w:color w:val="2B2B2B"/>
          <w:sz w:val="20"/>
          <w:szCs w:val="20"/>
        </w:rPr>
        <w:t xml:space="preserve">Republik Indonesia. Undang-Undang Nomor 1 Tahun 2023 tentang Kitab Undang-Undang Hukum Pidana, berlaku sejak 2 Januari 2026, sebagaimana disesuaikan dengan Undang-Undang Nomor 1 Tahun 2026 tentang Penyesuaian Pidana.</w:t>
      </w:r>
      <w:r>
        <w:rPr>
          <w:rFonts w:ascii="Calibri" w:cs="Calibri" w:eastAsia="Calibri" w:hAnsi="Calibri"/>
          <w:color w:val="2B2B2B"/>
          <w:sz w:val="20"/>
          <w:szCs w:val="20"/>
        </w:rPr>
        <w:t xml:space="preserve"> Tersedia di: </w:t>
      </w:r>
      <w:hyperlink w:history="1" r:id="rIdtnm5ofteuzkqqpbssilti">
        <w:r>
          <w:rPr>
            <w:rFonts w:ascii="Calibri" w:cs="Calibri" w:eastAsia="Calibri" w:hAnsi="Calibri"/>
            <w:color w:val="1A5276"/>
            <w:sz w:val="20"/>
            <w:szCs w:val="20"/>
            <w:u w:val="single"/>
          </w:rPr>
          <w:t xml:space="preserve">peraturan.go.id/id/uu-no-1-tahun-2023</w:t>
        </w:r>
      </w:hyperlink>
    </w:p>
    <w:p>
      <w:pPr>
        <w:spacing w:after="100" w:line="264"/>
        <w:ind w:left="360" w:hanging="360"/>
      </w:pPr>
      <w:r>
        <w:rPr>
          <w:rFonts w:ascii="Calibri" w:cs="Calibri" w:eastAsia="Calibri" w:hAnsi="Calibri"/>
          <w:b/>
          <w:bCs/>
          <w:color w:val="7A1F3D"/>
          <w:sz w:val="20"/>
          <w:szCs w:val="20"/>
        </w:rPr>
        <w:t xml:space="preserve">13. </w:t>
      </w:r>
      <w:r>
        <w:rPr>
          <w:rFonts w:ascii="Calibri" w:cs="Calibri" w:eastAsia="Calibri" w:hAnsi="Calibri"/>
          <w:color w:val="2B2B2B"/>
          <w:sz w:val="20"/>
          <w:szCs w:val="20"/>
        </w:rPr>
        <w:t xml:space="preserve">Republik Indonesia. Undang-Undang Nomor 12 Tahun 2022 tentang Tindak Pidana Kekerasan Seksual (UU TPKS).</w:t>
      </w:r>
      <w:r>
        <w:rPr>
          <w:rFonts w:ascii="Calibri" w:cs="Calibri" w:eastAsia="Calibri" w:hAnsi="Calibri"/>
          <w:color w:val="2B2B2B"/>
          <w:sz w:val="20"/>
          <w:szCs w:val="20"/>
        </w:rPr>
        <w:t xml:space="preserve"> Tersedia di: </w:t>
      </w:r>
      <w:hyperlink w:history="1" r:id="rIdp8dblp_zduoh54ce0_eps">
        <w:r>
          <w:rPr>
            <w:rFonts w:ascii="Calibri" w:cs="Calibri" w:eastAsia="Calibri" w:hAnsi="Calibri"/>
            <w:color w:val="1A5276"/>
            <w:sz w:val="20"/>
            <w:szCs w:val="20"/>
            <w:u w:val="single"/>
          </w:rPr>
          <w:t xml:space="preserve">jdih.kemenpppa.go.id – UU TPKS</w:t>
        </w:r>
      </w:hyperlink>
    </w:p>
    <w:p>
      <w:pPr>
        <w:spacing w:after="100" w:line="264"/>
        <w:ind w:left="360" w:hanging="360"/>
      </w:pPr>
      <w:r>
        <w:rPr>
          <w:rFonts w:ascii="Calibri" w:cs="Calibri" w:eastAsia="Calibri" w:hAnsi="Calibri"/>
          <w:b/>
          <w:bCs/>
          <w:color w:val="7A1F3D"/>
          <w:sz w:val="20"/>
          <w:szCs w:val="20"/>
        </w:rPr>
        <w:t xml:space="preserve">14. </w:t>
      </w:r>
      <w:r>
        <w:rPr>
          <w:rFonts w:ascii="Calibri" w:cs="Calibri" w:eastAsia="Calibri" w:hAnsi="Calibri"/>
          <w:color w:val="2B2B2B"/>
          <w:sz w:val="20"/>
          <w:szCs w:val="20"/>
        </w:rPr>
        <w:t xml:space="preserve">Republik Indonesia. Undang-Undang Nomor 23 Tahun 2004 tentang Penghapusan Kekerasan dalam Rumah Tangga.  [Tautan resmi belum diverifikasi secara langsung oleh penyusun — nomor dan judul UU sudah dikonfirmasi, mohon konfirmasi/tautan tambahan dari pengguna bila diperlukan untuk hyperlink final.]</w:t>
      </w:r>
    </w:p>
    <w:p>
      <w:pPr>
        <w:spacing w:after="100" w:line="264"/>
        <w:ind w:left="360" w:hanging="360"/>
      </w:pPr>
      <w:r>
        <w:rPr>
          <w:rFonts w:ascii="Calibri" w:cs="Calibri" w:eastAsia="Calibri" w:hAnsi="Calibri"/>
          <w:b/>
          <w:bCs/>
          <w:color w:val="7A1F3D"/>
          <w:sz w:val="20"/>
          <w:szCs w:val="20"/>
        </w:rPr>
        <w:t xml:space="preserve">15. </w:t>
      </w:r>
      <w:r>
        <w:rPr>
          <w:rFonts w:ascii="Calibri" w:cs="Calibri" w:eastAsia="Calibri" w:hAnsi="Calibri"/>
          <w:color w:val="2B2B2B"/>
          <w:sz w:val="20"/>
          <w:szCs w:val="20"/>
        </w:rPr>
        <w:t xml:space="preserve">Republik Indonesia. Undang-Undang Nomor 27 Tahun 2022 tentang Pelindungan Data Pribadi. [Tautan resmi belum diverifikasi secara langsung oleh penyusun — nomor dan judul UU sudah dikonfirmasi, mohon konfirmasi/tautan tambahan dari pengguna bila diperlukan untuk hyperlink final.]</w:t>
      </w:r>
    </w:p>
    <w:p>
      <w:pPr>
        <w:spacing w:after="100" w:line="264"/>
        <w:ind w:left="360" w:hanging="360"/>
      </w:pPr>
      <w:r>
        <w:rPr>
          <w:rFonts w:ascii="Calibri" w:cs="Calibri" w:eastAsia="Calibri" w:hAnsi="Calibri"/>
          <w:b/>
          <w:bCs/>
          <w:color w:val="7A1F3D"/>
          <w:sz w:val="20"/>
          <w:szCs w:val="20"/>
        </w:rPr>
        <w:t xml:space="preserve">16. </w:t>
      </w:r>
      <w:r>
        <w:rPr>
          <w:rFonts w:ascii="Calibri" w:cs="Calibri" w:eastAsia="Calibri" w:hAnsi="Calibri"/>
          <w:color w:val="2B2B2B"/>
          <w:sz w:val="20"/>
          <w:szCs w:val="20"/>
        </w:rPr>
        <w:t xml:space="preserve">Konsil Kesehatan Indonesia. Keputusan Ketua Konsil Kesehatan Indonesia Nomor HK.01.02/KKI/1318/2026 tentang Standar Kompetensi Dokter Spesialis dan Subspesialis Bidang Obstetri dan Ginekologi. Ditetapkan di Jakarta, 7 Mei 2026. (Dokumen sumber diunggah pengguna).</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E7A85"/>
        <w:sz w:val="16"/>
        <w:szCs w:val="16"/>
      </w:rPr>
      <w:t xml:space="preserve">Halaman </w:t>
    </w:r>
    <w:r>
      <w:rPr>
        <w:rFonts w:ascii="Calibri" w:cs="Calibri" w:eastAsia="Calibri" w:hAnsi="Calibri"/>
        <w:color w:val="9E7A85"/>
        <w:sz w:val="16"/>
        <w:szCs w:val="16"/>
      </w:rPr>
      <w:fldChar w:fldCharType="begin"/>
      <w:instrText xml:space="preserve">PAGE</w:instrText>
      <w:fldChar w:fldCharType="separate"/>
      <w:fldChar w:fldCharType="end"/>
    </w:r>
    <w:r>
      <w:rPr>
        <w:rFonts w:ascii="Calibri" w:cs="Calibri" w:eastAsia="Calibri" w:hAnsi="Calibri"/>
        <w:color w:val="9E7A85"/>
        <w:sz w:val="16"/>
        <w:szCs w:val="16"/>
      </w:rPr>
      <w:t xml:space="preserve"> dari </w:t>
    </w:r>
    <w:r>
      <w:rPr>
        <w:rFonts w:ascii="Calibri" w:cs="Calibri" w:eastAsia="Calibri" w:hAnsi="Calibri"/>
        <w:color w:val="9E7A8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9E7A85"/>
        <w:sz w:val="15"/>
        <w:szCs w:val="15"/>
      </w:rPr>
      <w:t xml:space="preserve">PPK – Kesehatan Reproduksi dan Seksual Remaja (Klinis) — Edisi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bk7mxx0iry8sffkikxoyx" Type="http://schemas.openxmlformats.org/officeDocument/2006/relationships/hyperlink" Target="https://www.who.int/publications/i/item/9789240114012" TargetMode="External"/><Relationship Id="rIdn15vnxji2x-uaqnlv6yrf" Type="http://schemas.openxmlformats.org/officeDocument/2006/relationships/hyperlink" Target="https://www.who.int/publications/i/item/9789240115583" TargetMode="External"/><Relationship Id="rIdipe5hsl_eywfwwv6wdyq0" Type="http://schemas.openxmlformats.org/officeDocument/2006/relationships/hyperlink" Target="https://www.acog.org/clinical/clinical-guidance/committee-opinion/articles/2020/10/the-initial-reproductive-health-visit" TargetMode="External"/><Relationship Id="rIdhfz3zd6e3fwjf04-wsdsz" Type="http://schemas.openxmlformats.org/officeDocument/2006/relationships/hyperlink" Target="https://www.acog.org/clinical/clinical-guidance/committee-opinion/articles/2019/09/screening-and-management-of-bleeding-disorders-in-adolescents-with-heavy-menstrual-bleeding" TargetMode="External"/><Relationship Id="rIdv8ouuhc3qnodkxvpshdkd" Type="http://schemas.openxmlformats.org/officeDocument/2006/relationships/hyperlink" Target="https://www.acog.org/clinical/clinical-guidance/committee-opinion/articles/2018/05/adolescents-and-long-acting-reversible-contraception-implants-and-intrauterine-devices" TargetMode="External"/><Relationship Id="rIdr3zmtadamw6p9qnvxqhr_" Type="http://schemas.openxmlformats.org/officeDocument/2006/relationships/hyperlink" Target="https://pubmed.ncbi.nlm.nih.gov/20805151/" TargetMode="External"/><Relationship Id="rIdmy5tyzpxshm9uoh0pn_zx" Type="http://schemas.openxmlformats.org/officeDocument/2006/relationships/hyperlink" Target="https://pubmed.ncbi.nlm.nih.gov/38219018/" TargetMode="External"/><Relationship Id="rIddw4f2zwls5uai0qobnrpo" Type="http://schemas.openxmlformats.org/officeDocument/2006/relationships/hyperlink" Target="https://www.cdc.gov/std/treatment-guidelines" TargetMode="External"/><Relationship Id="rIday63ctkyboguau1qswts7" Type="http://schemas.openxmlformats.org/officeDocument/2006/relationships/hyperlink" Target="https://repository.kemkes.go.id/book/467" TargetMode="External"/><Relationship Id="rIdwhtl9m-p3i4qyttlvg11h" Type="http://schemas.openxmlformats.org/officeDocument/2006/relationships/hyperlink" Target="https://peraturan.go.id/id/uu-no-17-tahun-2023" TargetMode="External"/><Relationship Id="rIduuq26upaueuwx-ox3qbsg" Type="http://schemas.openxmlformats.org/officeDocument/2006/relationships/hyperlink" Target="https://www.peraturan.go.id/id/pp-no-28-tahun-2024" TargetMode="External"/><Relationship Id="rIdtnm5ofteuzkqqpbssilti" Type="http://schemas.openxmlformats.org/officeDocument/2006/relationships/hyperlink" Target="https://peraturan.go.id/id/uu-no-1-tahun-2023" TargetMode="External"/><Relationship Id="rIdp8dblp_zduoh54ce0_eps" Type="http://schemas.openxmlformats.org/officeDocument/2006/relationships/hyperlink" Target="https://jdih.kemenpppa.go.id/dokumen-hukum/produk-hukum/undang-undang-nomor-12-tahun-2022--uu-tpks" TargetMode="External"/><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2026-08-01T05:35:19.017Z</dcterms:created>
  <dcterms:modified xsi:type="dcterms:W3CDTF">2026-08-01T05:35:19.036Z</dcterms:modified>
</cp:coreProperties>
</file>

<file path=docProps/custom.xml><?xml version="1.0" encoding="utf-8"?>
<Properties xmlns="http://schemas.openxmlformats.org/officeDocument/2006/custom-properties" xmlns:vt="http://schemas.openxmlformats.org/officeDocument/2006/docPropsVTypes"/>
</file>