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pct" w:w="100%"/>
        <w:tblBorders>
          <w:top w:val="single" w:color="7A1F3D" w:sz="6"/>
          <w:left w:val="single" w:color="7A1F3D" w:sz="6"/>
          <w:bottom w:val="single" w:color="7A1F3D" w:sz="6"/>
          <w:right w:val="single" w:color="7A1F3D" w:sz="6"/>
          <w:insideH w:val="single" w:color="auto" w:sz="4"/>
          <w:insideV w:val="single" w:color="auto" w:sz="4"/>
        </w:tblBorders>
      </w:tblPr>
      <w:tblGrid>
        <w:gridCol w:w="100"/>
      </w:tblGrid>
      <w:tr>
        <w:tc>
          <w:tcPr>
            <w:shd w:fill="7A1F3D" w:color="auto" w:val="clear"/>
            <w:tcMar>
              <w:top w:type="dxa" w:w="260"/>
              <w:left w:type="dxa" w:w="300"/>
              <w:bottom w:type="dxa" w:w="260"/>
              <w:right w:type="dxa" w:w="300"/>
            </w:tcMar>
          </w:tcPr>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gridCol w:w="100"/>
            </w:tblGrid>
            <w:tr>
              <w:tc>
                <w:tcPr>
                  <w:tcBorders>
                    <w:top w:val="single" w:color="FFFFFF" w:sz="4"/>
                    <w:left w:val="single" w:color="FFFFFF" w:sz="4"/>
                    <w:bottom w:val="single" w:color="FFFFFF" w:sz="4"/>
                    <w:right w:val="single" w:color="FFFFFF" w:sz="4"/>
                  </w:tcBorders>
                  <w:shd w:fill="FFFFFF" w:color="auto" w:val="clear"/>
                  <w:tcMar>
                    <w:top w:type="dxa" w:w="80"/>
                    <w:left w:type="dxa" w:w="160"/>
                    <w:bottom w:type="dxa" w:w="80"/>
                    <w:right w:type="dxa" w:w="160"/>
                  </w:tcMar>
                  <w:vAlign w:val="center"/>
                </w:tcPr>
                <w:p>
                  <w:pPr>
                    <w:jc w:val="center"/>
                  </w:pPr>
                  <w:r>
                    <w:rPr>
                      <w:b/>
                      <w:bCs/>
                      <w:color w:val="7A1F3D"/>
                      <w:sz w:val="16"/>
                      <w:szCs w:val="16"/>
                    </w:rPr>
                    <w:t xml:space="preserve">PPK</w:t>
                  </w:r>
                </w:p>
              </w:tc>
              <w:tc>
                <w:tcPr>
                  <w:tcBorders>
                    <w:top w:val="single" w:color="FFFFFF" w:sz="4"/>
                    <w:left w:val="single" w:color="FFFFFF" w:sz="4"/>
                    <w:bottom w:val="single" w:color="FFFFFF" w:sz="4"/>
                    <w:right w:val="single" w:color="FFFFFF" w:sz="4"/>
                  </w:tcBorders>
                  <w:shd w:fill="FFFFFF" w:color="auto" w:val="clear"/>
                  <w:tcMar>
                    <w:top w:type="dxa" w:w="80"/>
                    <w:left w:type="dxa" w:w="160"/>
                    <w:bottom w:type="dxa" w:w="80"/>
                    <w:right w:type="dxa" w:w="160"/>
                  </w:tcMar>
                  <w:vAlign w:val="center"/>
                </w:tcPr>
                <w:p>
                  <w:pPr>
                    <w:jc w:val="center"/>
                  </w:pPr>
                  <w:r>
                    <w:rPr>
                      <w:b/>
                      <w:bCs/>
                      <w:color w:val="7A1F3D"/>
                      <w:sz w:val="16"/>
                      <w:szCs w:val="16"/>
                    </w:rPr>
                    <w:t xml:space="preserve">SERI OBSTETRI GINEKOLOGI SOSIAL — BUKU 6</w:t>
                  </w:r>
                </w:p>
              </w:tc>
            </w:tr>
          </w:tbl>
          <w:p>
            <w:pPr>
              <w:spacing w:before="200"/>
            </w:pPr>
          </w:p>
          <w:p>
            <w:r>
              <w:rPr>
                <w:b/>
                <w:bCs/>
                <w:color w:val="FFFFFF"/>
                <w:sz w:val="30"/>
                <w:szCs w:val="30"/>
              </w:rPr>
              <w:t xml:space="preserve">PANDUAN PRAKTIK KLINIS</w:t>
            </w:r>
          </w:p>
          <w:p>
            <w:pPr>
              <w:spacing w:before="40"/>
            </w:pPr>
            <w:r>
              <w:rPr>
                <w:b/>
                <w:bCs/>
                <w:color w:val="FFFFFF"/>
                <w:sz w:val="26"/>
                <w:szCs w:val="26"/>
              </w:rPr>
              <w:t xml:space="preserve">Kasus Etik Medikolegal pada Pelayanan Reproduksi</w:t>
            </w:r>
          </w:p>
          <w:p>
            <w:pPr>
              <w:spacing w:before="200"/>
            </w:pPr>
            <w:r>
              <w:rPr>
                <w:color w:val="F4E3E9"/>
                <w:sz w:val="18"/>
                <w:szCs w:val="18"/>
              </w:rPr>
              <w:t xml:space="preserve">[Nomor Dokumen]:  ____________</w:t>
            </w:r>
          </w:p>
          <w:p>
            <w:r>
              <w:rPr>
                <w:color w:val="F4E3E9"/>
                <w:sz w:val="18"/>
                <w:szCs w:val="18"/>
              </w:rPr>
              <w:t xml:space="preserve">[Tanggal Berlaku / Tinjau Ulang]:  ____________</w:t>
            </w:r>
          </w:p>
          <w:p>
            <w:pPr>
              <w:spacing w:before="200"/>
            </w:pPr>
            <w:r>
              <w:rPr>
                <w:color w:val="F4E3E9"/>
                <w:sz w:val="16"/>
                <w:szCs w:val="16"/>
              </w:rPr>
              <w:t xml:space="preserve">Penulis/Penyusun: Dr.dr. Budi Siswanto, Sp.OG., Subsp.Obginsos., SH., S.Kom.</w:t>
            </w:r>
          </w:p>
          <w:p>
            <w:r>
              <w:rPr>
                <w:color w:val="F4E3E9"/>
                <w:sz w:val="16"/>
                <w:szCs w:val="16"/>
              </w:rPr>
              <w:t xml:space="preserve">Penerbit: Perpustakaan ABBA  —  Alamat Penerbit: Jl Danau Kerinci No 9 Malang</w:t>
            </w:r>
          </w:p>
        </w:tc>
      </w:tr>
    </w:tbl>
    <w:p>
      <w:pPr>
        <w:spacing w:before="200"/>
      </w:pPr>
    </w:p>
    <w:p>
      <w:pPr>
        <w:pBdr>
          <w:bottom w:val="single" w:color="7A1F3D" w:sz="2"/>
        </w:pBdr>
        <w:shd w:fill="7A1F3D" w:color="auto" w:val="clear"/>
        <w:spacing w:after="0" w:before="320"/>
      </w:pPr>
      <w:r>
        <w:rPr>
          <w:rFonts w:ascii="Calibri" w:cs="Calibri" w:eastAsia="Calibri" w:hAnsi="Calibri"/>
          <w:b/>
          <w:bCs/>
          <w:color w:val="FFFFFF"/>
          <w:sz w:val="24"/>
          <w:szCs w:val="24"/>
        </w:rPr>
        <w:t xml:space="preserve">1.  Pengertian (Definisi)</w:t>
      </w:r>
    </w:p>
    <w:p>
      <w:pPr>
        <w:spacing w:after="100"/>
      </w:pPr>
      <w:r>
        <w:rPr>
          <w:color w:val="262626"/>
          <w:sz w:val="20"/>
          <w:szCs w:val="20"/>
        </w:rPr>
        <w:t xml:space="preserve">Kasus etik medikolegal pada pelayanan reproduksi adalah setiap kondisi klinis obstetri-ginekologi yang irisan penatalaksanaannya bersinggungan langsung dengan kewajiban hukum dan kaidah etika profesi, sehingga keputusan klinis tidak dapat diambil semata berdasarkan indikasi medis, melainkan wajib disertai penilaian etik-legal yang terdokumentasi.</w:t>
      </w:r>
    </w:p>
    <w:p>
      <w:pPr>
        <w:spacing w:after="100"/>
      </w:pPr>
      <w:r>
        <w:rPr>
          <w:color w:val="262626"/>
          <w:sz w:val="20"/>
          <w:szCs w:val="20"/>
        </w:rPr>
        <w:t xml:space="preserve">Cakupan kasus dalam PPK ini meliputi:</w:t>
      </w:r>
    </w:p>
    <w:p>
      <w:pPr>
        <w:pStyle w:val="ListParagraph"/>
        <w:numPr>
          <w:ilvl w:val="0"/>
          <w:numId w:val="2"/>
        </w:numPr>
        <w:spacing w:after="60"/>
      </w:pPr>
      <w:r>
        <w:rPr>
          <w:b/>
          <w:bCs/>
          <w:color w:val="262626"/>
          <w:sz w:val="20"/>
          <w:szCs w:val="20"/>
        </w:rPr>
        <w:t xml:space="preserve">Aborsi/terminasi kehamilan: </w:t>
      </w:r>
      <w:r>
        <w:rPr>
          <w:color w:val="262626"/>
          <w:sz w:val="20"/>
          <w:szCs w:val="20"/>
        </w:rPr>
        <w:t xml:space="preserve">baik atas indikasi kedaruratan medis maupun pada korban kekerasan seksual, sesuai batasan pengecualian dalam regulasi nasional.</w:t>
      </w:r>
    </w:p>
    <w:p>
      <w:pPr>
        <w:pStyle w:val="ListParagraph"/>
        <w:numPr>
          <w:ilvl w:val="0"/>
          <w:numId w:val="2"/>
        </w:numPr>
        <w:spacing w:after="60"/>
      </w:pPr>
      <w:r>
        <w:rPr>
          <w:b/>
          <w:bCs/>
          <w:color w:val="262626"/>
          <w:sz w:val="20"/>
          <w:szCs w:val="20"/>
        </w:rPr>
        <w:t xml:space="preserve">Kehamilan Tidak Diinginkan (KTD): </w:t>
      </w:r>
      <w:r>
        <w:rPr>
          <w:color w:val="262626"/>
          <w:sz w:val="20"/>
          <w:szCs w:val="20"/>
        </w:rPr>
        <w:t xml:space="preserve">akibat perkosaan, inses, kegagalan kontrasepsi, atau relasi kuasa yang tidak setara.</w:t>
      </w:r>
    </w:p>
    <w:p>
      <w:pPr>
        <w:pStyle w:val="ListParagraph"/>
        <w:numPr>
          <w:ilvl w:val="0"/>
          <w:numId w:val="2"/>
        </w:numPr>
        <w:spacing w:after="60"/>
      </w:pPr>
      <w:r>
        <w:rPr>
          <w:b/>
          <w:bCs/>
          <w:color w:val="262626"/>
          <w:sz w:val="20"/>
          <w:szCs w:val="20"/>
        </w:rPr>
        <w:t xml:space="preserve">KIPI (Kejadian Ikutan Pasca Imunisasi) pada ibu hamil/pascasalin: </w:t>
      </w:r>
      <w:r>
        <w:rPr>
          <w:color w:val="262626"/>
          <w:sz w:val="20"/>
          <w:szCs w:val="20"/>
        </w:rPr>
        <w:t xml:space="preserve">reaksi simpang pasca vaksinasi maternal (mis. Tdap, influenza, COVID-19) yang berpotensi menimbulkan tuntutan medikolegal.</w:t>
      </w:r>
    </w:p>
    <w:p>
      <w:pPr>
        <w:pStyle w:val="ListParagraph"/>
        <w:numPr>
          <w:ilvl w:val="0"/>
          <w:numId w:val="2"/>
        </w:numPr>
        <w:spacing w:after="60"/>
      </w:pPr>
      <w:r>
        <w:rPr>
          <w:b/>
          <w:bCs/>
          <w:color w:val="262626"/>
          <w:sz w:val="20"/>
          <w:szCs w:val="20"/>
        </w:rPr>
        <w:t xml:space="preserve">Dugaan malpraktik obstetri-ginekologi: </w:t>
      </w:r>
      <w:r>
        <w:rPr>
          <w:color w:val="262626"/>
          <w:sz w:val="20"/>
          <w:szCs w:val="20"/>
        </w:rPr>
        <w:t xml:space="preserve">komplikasi atau luaran buruk yang dipersepsikan pasien/keluarga sebagai kelalaian medis.</w:t>
      </w:r>
    </w:p>
    <w:p>
      <w:pPr>
        <w:pStyle w:val="ListParagraph"/>
        <w:numPr>
          <w:ilvl w:val="0"/>
          <w:numId w:val="2"/>
        </w:numPr>
        <w:spacing w:after="60"/>
      </w:pPr>
      <w:r>
        <w:rPr>
          <w:b/>
          <w:bCs/>
          <w:color w:val="262626"/>
          <w:sz w:val="20"/>
          <w:szCs w:val="20"/>
        </w:rPr>
        <w:t xml:space="preserve">Kasus lain berdimensi etik-hukum: </w:t>
      </w:r>
      <w:r>
        <w:rPr>
          <w:color w:val="262626"/>
          <w:sz w:val="20"/>
          <w:szCs w:val="20"/>
        </w:rPr>
        <w:t xml:space="preserve">mis. penolakan tindakan yang mengancam nyawa, konflik hak ibu vs janin, permintaan sterilisasi/kontrasepsi permanen pada kondisi rentan.</w:t>
      </w:r>
    </w:p>
    <w:p>
      <w:pPr>
        <w:spacing w:after="100"/>
      </w:pPr>
      <w:r>
        <w:rPr>
          <w:color w:val="262626"/>
          <w:sz w:val="20"/>
          <w:szCs w:val="20"/>
        </w:rPr>
        <w:t xml:space="preserve">Setiap kasus dalam kategori di atas WAJIB dianalisis secara eksplisit menggunakan 4 kaidah dasar bioetik — autonomi (autonomy), berbuat baik (beneficence), tidak merugikan (non-maleficence), dan keadilan (justice) — dan didokumentasikan lengkap dalam rekam medis serta notulen telaah etik.</w:t>
      </w:r>
    </w:p>
    <w:p>
      <w:pPr>
        <w:pBdr>
          <w:bottom w:val="single" w:color="7A1F3D" w:sz="2"/>
        </w:pBdr>
        <w:shd w:fill="7A1F3D" w:color="auto" w:val="clear"/>
        <w:spacing w:after="0" w:before="320"/>
      </w:pPr>
      <w:r>
        <w:rPr>
          <w:rFonts w:ascii="Calibri" w:cs="Calibri" w:eastAsia="Calibri" w:hAnsi="Calibri"/>
          <w:b/>
          <w:bCs/>
          <w:color w:val="FFFFFF"/>
          <w:sz w:val="24"/>
          <w:szCs w:val="24"/>
        </w:rPr>
        <w:t xml:space="preserve">2.  Anamnesis</w:t>
      </w:r>
    </w:p>
    <w:p>
      <w:pPr>
        <w:shd w:fill="F4E3E9" w:color="auto" w:val="clear"/>
        <w:spacing w:after="100" w:before="200"/>
      </w:pPr>
      <w:r>
        <w:rPr>
          <w:rFonts w:ascii="Calibri" w:cs="Calibri" w:eastAsia="Calibri" w:hAnsi="Calibri"/>
          <w:b/>
          <w:bCs/>
          <w:color w:val="7A1F3D"/>
          <w:sz w:val="21"/>
          <w:szCs w:val="21"/>
        </w:rPr>
        <w:t xml:space="preserve">Anamnesis Umum</w:t>
      </w:r>
    </w:p>
    <w:p>
      <w:pPr>
        <w:pStyle w:val="ListParagraph"/>
        <w:numPr>
          <w:ilvl w:val="0"/>
          <w:numId w:val="2"/>
        </w:numPr>
        <w:spacing w:after="60"/>
      </w:pPr>
      <w:r>
        <w:rPr>
          <w:color w:val="262626"/>
          <w:sz w:val="20"/>
          <w:szCs w:val="20"/>
        </w:rPr>
        <w:t xml:space="preserve">Identitas pasien dijaga kerahasiaannya; gunakan kode/inisial pada dokumen non-rekam medis.</w:t>
      </w:r>
    </w:p>
    <w:p>
      <w:pPr>
        <w:pStyle w:val="ListParagraph"/>
        <w:numPr>
          <w:ilvl w:val="0"/>
          <w:numId w:val="2"/>
        </w:numPr>
        <w:spacing w:after="60"/>
      </w:pPr>
      <w:r>
        <w:rPr>
          <w:color w:val="262626"/>
          <w:sz w:val="20"/>
          <w:szCs w:val="20"/>
        </w:rPr>
        <w:t xml:space="preserve">Kronologi kejadian secara sistematis, dengan bahasa nonjudgmental dan tanpa mengulang pertanyaan yang traumatis.</w:t>
      </w:r>
    </w:p>
    <w:p>
      <w:pPr>
        <w:pStyle w:val="ListParagraph"/>
        <w:numPr>
          <w:ilvl w:val="0"/>
          <w:numId w:val="2"/>
        </w:numPr>
        <w:spacing w:after="60"/>
      </w:pPr>
      <w:r>
        <w:rPr>
          <w:color w:val="262626"/>
          <w:sz w:val="20"/>
          <w:szCs w:val="20"/>
        </w:rPr>
        <w:t xml:space="preserve">Riwayat obstetri: HPHT, usia kehamilan, jumlah gestasi/paritas, riwayat ANC.</w:t>
      </w:r>
    </w:p>
    <w:p>
      <w:pPr>
        <w:pStyle w:val="ListParagraph"/>
        <w:numPr>
          <w:ilvl w:val="0"/>
          <w:numId w:val="2"/>
        </w:numPr>
        <w:spacing w:after="60"/>
      </w:pPr>
      <w:r>
        <w:rPr>
          <w:color w:val="262626"/>
          <w:sz w:val="20"/>
          <w:szCs w:val="20"/>
        </w:rPr>
        <w:t xml:space="preserve">Riwayat kontrasepsi dan riwayat tindakan medis reproduksi sebelumnya.</w:t>
      </w:r>
    </w:p>
    <w:p>
      <w:pPr>
        <w:pStyle w:val="ListParagraph"/>
        <w:numPr>
          <w:ilvl w:val="0"/>
          <w:numId w:val="2"/>
        </w:numPr>
        <w:spacing w:after="60"/>
      </w:pPr>
      <w:r>
        <w:rPr>
          <w:color w:val="262626"/>
          <w:sz w:val="20"/>
          <w:szCs w:val="20"/>
        </w:rPr>
        <w:t xml:space="preserve">Status psikologis, ide bunuh diri/self-harm, dan dukungan sosial-keluarga yang tersedia.</w:t>
      </w:r>
    </w:p>
    <w:p>
      <w:pPr>
        <w:shd w:fill="F4E3E9" w:color="auto" w:val="clear"/>
        <w:spacing w:after="100" w:before="200"/>
      </w:pPr>
      <w:r>
        <w:rPr>
          <w:rFonts w:ascii="Calibri" w:cs="Calibri" w:eastAsia="Calibri" w:hAnsi="Calibri"/>
          <w:b/>
          <w:bCs/>
          <w:color w:val="7A1F3D"/>
          <w:sz w:val="21"/>
          <w:szCs w:val="21"/>
        </w:rPr>
        <w:t xml:space="preserve">Anamnesis Terarah per Kategori Kasus</w:t>
      </w:r>
    </w:p>
    <w:p>
      <w:pPr>
        <w:pStyle w:val="ListParagraph"/>
        <w:numPr>
          <w:ilvl w:val="0"/>
          <w:numId w:val="2"/>
        </w:numPr>
        <w:spacing w:after="60"/>
      </w:pPr>
      <w:r>
        <w:rPr>
          <w:b/>
          <w:bCs/>
          <w:color w:val="262626"/>
          <w:sz w:val="20"/>
          <w:szCs w:val="20"/>
        </w:rPr>
        <w:t xml:space="preserve">Kekerasan seksual/KTD akibat perkosaan: </w:t>
      </w:r>
      <w:r>
        <w:rPr>
          <w:color w:val="262626"/>
          <w:sz w:val="20"/>
          <w:szCs w:val="20"/>
        </w:rPr>
        <w:t xml:space="preserve">waktu kejadian, hubungan dengan pelaku, ada/tidaknya laporan polisi atau pendampingan (P2TP2A/UPTD PPA), riwayat pemeriksaan sebelumnya.</w:t>
      </w:r>
    </w:p>
    <w:p>
      <w:pPr>
        <w:pStyle w:val="ListParagraph"/>
        <w:numPr>
          <w:ilvl w:val="0"/>
          <w:numId w:val="2"/>
        </w:numPr>
        <w:spacing w:after="60"/>
      </w:pPr>
      <w:r>
        <w:rPr>
          <w:b/>
          <w:bCs/>
          <w:color w:val="262626"/>
          <w:sz w:val="20"/>
          <w:szCs w:val="20"/>
        </w:rPr>
        <w:t xml:space="preserve">Kedaruratan medis (indikasi aborsi): </w:t>
      </w:r>
      <w:r>
        <w:rPr>
          <w:color w:val="262626"/>
          <w:sz w:val="20"/>
          <w:szCs w:val="20"/>
        </w:rPr>
        <w:t xml:space="preserve">diagnosis penyakit ibu, tingkat keparahan, rekomendasi tim medis multidisiplin sebelumnya.</w:t>
      </w:r>
    </w:p>
    <w:p>
      <w:pPr>
        <w:pStyle w:val="ListParagraph"/>
        <w:numPr>
          <w:ilvl w:val="0"/>
          <w:numId w:val="2"/>
        </w:numPr>
        <w:spacing w:after="60"/>
      </w:pPr>
      <w:r>
        <w:rPr>
          <w:b/>
          <w:bCs/>
          <w:color w:val="262626"/>
          <w:sz w:val="20"/>
          <w:szCs w:val="20"/>
        </w:rPr>
        <w:t xml:space="preserve">KIPI: </w:t>
      </w:r>
      <w:r>
        <w:rPr>
          <w:color w:val="262626"/>
          <w:sz w:val="20"/>
          <w:szCs w:val="20"/>
        </w:rPr>
        <w:t xml:space="preserve">jenis vaksin, nomor batch, waktu pemberian, onset gejala, riwayat alergi/komorbid.</w:t>
      </w:r>
    </w:p>
    <w:p>
      <w:pPr>
        <w:pStyle w:val="ListParagraph"/>
        <w:numPr>
          <w:ilvl w:val="0"/>
          <w:numId w:val="2"/>
        </w:numPr>
        <w:spacing w:after="60"/>
      </w:pPr>
      <w:r>
        <w:rPr>
          <w:b/>
          <w:bCs/>
          <w:color w:val="262626"/>
          <w:sz w:val="20"/>
          <w:szCs w:val="20"/>
        </w:rPr>
        <w:t xml:space="preserve">Dugaan malpraktik: </w:t>
      </w:r>
      <w:r>
        <w:rPr>
          <w:color w:val="262626"/>
          <w:sz w:val="20"/>
          <w:szCs w:val="20"/>
        </w:rPr>
        <w:t xml:space="preserve">kronologi tindakan medis sebelumnya, komunikasi informed consent yang telah diberikan, keluhan spesifik pasien/keluarga.</w:t>
      </w:r>
    </w:p>
    <w:p>
      <w:pPr>
        <w:pBdr>
          <w:bottom w:val="single" w:color="7A1F3D" w:sz="2"/>
        </w:pBdr>
        <w:shd w:fill="7A1F3D" w:color="auto" w:val="clear"/>
        <w:spacing w:after="0" w:before="320"/>
      </w:pPr>
      <w:r>
        <w:rPr>
          <w:rFonts w:ascii="Calibri" w:cs="Calibri" w:eastAsia="Calibri" w:hAnsi="Calibri"/>
          <w:b/>
          <w:bCs/>
          <w:color w:val="FFFFFF"/>
          <w:sz w:val="24"/>
          <w:szCs w:val="24"/>
        </w:rPr>
        <w:t xml:space="preserve">3.  Pemeriksaan Fisik</w:t>
      </w:r>
    </w:p>
    <w:p>
      <w:pPr>
        <w:pStyle w:val="ListParagraph"/>
        <w:numPr>
          <w:ilvl w:val="0"/>
          <w:numId w:val="2"/>
        </w:numPr>
        <w:spacing w:after="60"/>
      </w:pPr>
      <w:r>
        <w:rPr>
          <w:color w:val="262626"/>
          <w:sz w:val="20"/>
          <w:szCs w:val="20"/>
        </w:rPr>
        <w:t xml:space="preserve">Tanda vital lengkap dan status generalis; nilai tanda syok pada kecurigaan KIPI berat atau perdarahan.</w:t>
      </w:r>
    </w:p>
    <w:p>
      <w:pPr>
        <w:pStyle w:val="ListParagraph"/>
        <w:numPr>
          <w:ilvl w:val="0"/>
          <w:numId w:val="2"/>
        </w:numPr>
        <w:spacing w:after="60"/>
      </w:pPr>
      <w:r>
        <w:rPr>
          <w:color w:val="262626"/>
          <w:sz w:val="20"/>
          <w:szCs w:val="20"/>
        </w:rPr>
        <w:t xml:space="preserve">Pemeriksaan genitalia/ginekologi dilakukan dengan chaperone dan persetujuan eksplisit; hindari pengulangan pemeriksaan invasif yang tidak perlu.</w:t>
      </w:r>
    </w:p>
    <w:p>
      <w:pPr>
        <w:pStyle w:val="ListParagraph"/>
        <w:numPr>
          <w:ilvl w:val="0"/>
          <w:numId w:val="2"/>
        </w:numPr>
        <w:spacing w:after="60"/>
      </w:pPr>
      <w:r>
        <w:rPr>
          <w:color w:val="262626"/>
          <w:sz w:val="20"/>
          <w:szCs w:val="20"/>
        </w:rPr>
        <w:t xml:space="preserve">Dokumentasi tanda-tanda kekerasan fisik (memar, laserasi, tanda jerat) dengan body-map dan fotografi forensik ber-inform-consent, sesuai standar visum et repertum.</w:t>
      </w:r>
    </w:p>
    <w:p>
      <w:pPr>
        <w:pStyle w:val="ListParagraph"/>
        <w:numPr>
          <w:ilvl w:val="0"/>
          <w:numId w:val="2"/>
        </w:numPr>
        <w:spacing w:after="60"/>
      </w:pPr>
      <w:r>
        <w:rPr>
          <w:color w:val="262626"/>
          <w:sz w:val="20"/>
          <w:szCs w:val="20"/>
        </w:rPr>
        <w:t xml:space="preserve">Pemeriksaan status obstetri: tinggi fundus, denyut jantung janin, tanda inpartu bila relevan.</w:t>
      </w:r>
    </w:p>
    <w:p>
      <w:pPr>
        <w:pStyle w:val="ListParagraph"/>
        <w:numPr>
          <w:ilvl w:val="0"/>
          <w:numId w:val="2"/>
        </w:numPr>
        <w:spacing w:after="60"/>
      </w:pPr>
      <w:r>
        <w:rPr>
          <w:color w:val="262626"/>
          <w:sz w:val="20"/>
          <w:szCs w:val="20"/>
        </w:rPr>
        <w:t xml:space="preserve">Pemeriksaan lokasi injeksi dan reaksi lokal pada kasus KIPI (eritema, indurasi, abses).</w:t>
      </w:r>
    </w:p>
    <w:p>
      <w:pPr>
        <w:pStyle w:val="ListParagraph"/>
        <w:numPr>
          <w:ilvl w:val="0"/>
          <w:numId w:val="2"/>
        </w:numPr>
        <w:spacing w:after="60"/>
      </w:pPr>
      <w:r>
        <w:rPr>
          <w:color w:val="262626"/>
          <w:sz w:val="20"/>
          <w:szCs w:val="20"/>
        </w:rPr>
        <w:t xml:space="preserve">Pada dugaan malpraktik: dokumentasikan temuan fisik objektif yang relevan dengan keluhan, hindari opini prematur tentang ada/tidaknya kelalaian.</w:t>
      </w:r>
    </w:p>
    <w:p>
      <w:pPr>
        <w:pBdr>
          <w:bottom w:val="single" w:color="7A1F3D" w:sz="2"/>
        </w:pBdr>
        <w:shd w:fill="7A1F3D" w:color="auto" w:val="clear"/>
        <w:spacing w:after="0" w:before="320"/>
      </w:pPr>
      <w:r>
        <w:rPr>
          <w:rFonts w:ascii="Calibri" w:cs="Calibri" w:eastAsia="Calibri" w:hAnsi="Calibri"/>
          <w:b/>
          <w:bCs/>
          <w:color w:val="FFFFFF"/>
          <w:sz w:val="24"/>
          <w:szCs w:val="24"/>
        </w:rPr>
        <w:t xml:space="preserve">4.  Kriteria Diagnosis</w:t>
      </w:r>
    </w:p>
    <w:p>
      <w:pPr>
        <w:spacing w:after="100"/>
      </w:pPr>
      <w:r>
        <w:rPr>
          <w:color w:val="262626"/>
          <w:sz w:val="20"/>
          <w:szCs w:val="20"/>
        </w:rPr>
        <w:t xml:space="preserve">Kategori kasus ditentukan berdasarkan kriteria berikut, dan setiap kasus WAJIB diberi skor urgensi etikolegal untuk menentukan jalur eskalasi:</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500"/>
        <w:gridCol w:w="4300"/>
        <w:gridCol w:w="2200"/>
      </w:tblGrid>
      <w:tr>
        <w:trPr>
          <w:tblHeader/>
        </w:trPr>
        <w:tc>
          <w:tcPr>
            <w:tcW w:type="dxa" w:w="2500"/>
            <w:shd w:fill="7A1F3D" w:color="auto" w:val="clear"/>
            <w:tcMar>
              <w:top w:type="dxa" w:w="100"/>
              <w:left w:type="dxa" w:w="120"/>
              <w:bottom w:type="dxa" w:w="100"/>
              <w:right w:type="dxa" w:w="120"/>
            </w:tcMar>
            <w:vAlign w:val="center"/>
          </w:tcPr>
          <w:p>
            <w:r>
              <w:rPr>
                <w:b/>
                <w:bCs/>
                <w:color w:val="FFFFFF"/>
                <w:sz w:val="18"/>
                <w:szCs w:val="18"/>
              </w:rPr>
              <w:t xml:space="preserve">Kategori</w:t>
            </w:r>
          </w:p>
        </w:tc>
        <w:tc>
          <w:tcPr>
            <w:tcW w:type="dxa" w:w="4300"/>
            <w:shd w:fill="7A1F3D" w:color="auto" w:val="clear"/>
            <w:tcMar>
              <w:top w:type="dxa" w:w="100"/>
              <w:left w:type="dxa" w:w="120"/>
              <w:bottom w:type="dxa" w:w="100"/>
              <w:right w:type="dxa" w:w="120"/>
            </w:tcMar>
            <w:vAlign w:val="center"/>
          </w:tcPr>
          <w:p>
            <w:r>
              <w:rPr>
                <w:b/>
                <w:bCs/>
                <w:color w:val="FFFFFF"/>
                <w:sz w:val="18"/>
                <w:szCs w:val="18"/>
              </w:rPr>
              <w:t xml:space="preserve">Kriteria Diagnosis Utama</w:t>
            </w:r>
          </w:p>
        </w:tc>
        <w:tc>
          <w:tcPr>
            <w:tcW w:type="dxa" w:w="2200"/>
            <w:shd w:fill="7A1F3D" w:color="auto" w:val="clear"/>
            <w:tcMar>
              <w:top w:type="dxa" w:w="100"/>
              <w:left w:type="dxa" w:w="120"/>
              <w:bottom w:type="dxa" w:w="100"/>
              <w:right w:type="dxa" w:w="120"/>
            </w:tcMar>
            <w:vAlign w:val="center"/>
          </w:tcPr>
          <w:p>
            <w:r>
              <w:rPr>
                <w:b/>
                <w:bCs/>
                <w:color w:val="FFFFFF"/>
                <w:sz w:val="18"/>
                <w:szCs w:val="18"/>
              </w:rPr>
              <w:t xml:space="preserve">Dasar Hukum/Etik Rujukan</w:t>
            </w:r>
          </w:p>
        </w:tc>
      </w:tr>
      <w:tr>
        <w:tc>
          <w:tcPr>
            <w:tcW w:type="dxa" w:w="2500"/>
            <w:shd w:fill="FFFFFF" w:color="auto" w:val="clear"/>
            <w:tcMar>
              <w:top w:type="dxa" w:w="90"/>
              <w:left w:type="dxa" w:w="120"/>
              <w:bottom w:type="dxa" w:w="90"/>
              <w:right w:type="dxa" w:w="120"/>
            </w:tcMar>
          </w:tcPr>
          <w:p>
            <w:r>
              <w:rPr>
                <w:color w:val="262626"/>
                <w:sz w:val="18"/>
                <w:szCs w:val="18"/>
              </w:rPr>
              <w:t xml:space="preserve">Aborsi indikasi kedaruratan medis</w:t>
            </w:r>
          </w:p>
        </w:tc>
        <w:tc>
          <w:tcPr>
            <w:tcW w:type="dxa" w:w="4300"/>
            <w:shd w:fill="FFFFFF" w:color="auto" w:val="clear"/>
            <w:tcMar>
              <w:top w:type="dxa" w:w="90"/>
              <w:left w:type="dxa" w:w="120"/>
              <w:bottom w:type="dxa" w:w="90"/>
              <w:right w:type="dxa" w:w="120"/>
            </w:tcMar>
          </w:tcPr>
          <w:p>
            <w:r>
              <w:rPr>
                <w:color w:val="262626"/>
                <w:sz w:val="18"/>
                <w:szCs w:val="18"/>
              </w:rPr>
              <w:t xml:space="preserve">Kondisi mengancam nyawa ibu dan/atau janin dengan kelainan kongenital berat yang tidak dapat diperbaiki, dikonfirmasi tim medis ≥2 dokter spesialis; tanpa batas usia kehamilan tertentu selama indikasi kedaruratan terpenuhi</w:t>
            </w:r>
          </w:p>
        </w:tc>
        <w:tc>
          <w:tcPr>
            <w:tcW w:type="dxa" w:w="2200"/>
            <w:shd w:fill="FFFFFF" w:color="auto" w:val="clear"/>
            <w:tcMar>
              <w:top w:type="dxa" w:w="90"/>
              <w:left w:type="dxa" w:w="120"/>
              <w:bottom w:type="dxa" w:w="90"/>
              <w:right w:type="dxa" w:w="120"/>
            </w:tcMar>
          </w:tcPr>
          <w:p>
            <w:r>
              <w:rPr>
                <w:color w:val="262626"/>
                <w:sz w:val="18"/>
                <w:szCs w:val="18"/>
              </w:rPr>
              <w:t xml:space="preserve">UU 17/2023 Kesehatan Ps.60; UU 1/2023 KUHP Ps.463(2); PP 28/2024</w:t>
            </w:r>
          </w:p>
        </w:tc>
      </w:tr>
      <w:tr>
        <w:tc>
          <w:tcPr>
            <w:tcW w:type="dxa" w:w="2500"/>
            <w:shd w:fill="F7F1F3" w:color="auto" w:val="clear"/>
            <w:tcMar>
              <w:top w:type="dxa" w:w="90"/>
              <w:left w:type="dxa" w:w="120"/>
              <w:bottom w:type="dxa" w:w="90"/>
              <w:right w:type="dxa" w:w="120"/>
            </w:tcMar>
          </w:tcPr>
          <w:p>
            <w:r>
              <w:rPr>
                <w:color w:val="262626"/>
                <w:sz w:val="18"/>
                <w:szCs w:val="18"/>
              </w:rPr>
              <w:t xml:space="preserve">Aborsi korban kekerasan seksual</w:t>
            </w:r>
          </w:p>
        </w:tc>
        <w:tc>
          <w:tcPr>
            <w:tcW w:type="dxa" w:w="4300"/>
            <w:shd w:fill="F7F1F3" w:color="auto" w:val="clear"/>
            <w:tcMar>
              <w:top w:type="dxa" w:w="90"/>
              <w:left w:type="dxa" w:w="120"/>
              <w:bottom w:type="dxa" w:w="90"/>
              <w:right w:type="dxa" w:w="120"/>
            </w:tcMar>
          </w:tcPr>
          <w:p>
            <w:r>
              <w:rPr>
                <w:color w:val="262626"/>
                <w:sz w:val="18"/>
                <w:szCs w:val="18"/>
              </w:rPr>
              <w:t xml:space="preserve">Kehamilan akibat tindak pidana perkosaan/kekerasan seksual lain, usia kehamilan tidak melebihi 14 minggu (batas diperbarui sejak KUHP Nasional berlaku 2 Jan 2026)</w:t>
            </w:r>
          </w:p>
        </w:tc>
        <w:tc>
          <w:tcPr>
            <w:tcW w:type="dxa" w:w="2200"/>
            <w:shd w:fill="F7F1F3" w:color="auto" w:val="clear"/>
            <w:tcMar>
              <w:top w:type="dxa" w:w="90"/>
              <w:left w:type="dxa" w:w="120"/>
              <w:bottom w:type="dxa" w:w="90"/>
              <w:right w:type="dxa" w:w="120"/>
            </w:tcMar>
          </w:tcPr>
          <w:p>
            <w:r>
              <w:rPr>
                <w:color w:val="262626"/>
                <w:sz w:val="18"/>
                <w:szCs w:val="18"/>
              </w:rPr>
              <w:t xml:space="preserve">UU 17/2023 Ps.60; UU 1/2023 KUHP Ps.251 &amp; 463(2) jo. UU 1/2026 Penyesuaian Pidana; UU TPKS 12/2022</w:t>
            </w:r>
          </w:p>
        </w:tc>
      </w:tr>
      <w:tr>
        <w:tc>
          <w:tcPr>
            <w:tcW w:type="dxa" w:w="2500"/>
            <w:shd w:fill="FFFFFF" w:color="auto" w:val="clear"/>
            <w:tcMar>
              <w:top w:type="dxa" w:w="90"/>
              <w:left w:type="dxa" w:w="120"/>
              <w:bottom w:type="dxa" w:w="90"/>
              <w:right w:type="dxa" w:w="120"/>
            </w:tcMar>
          </w:tcPr>
          <w:p>
            <w:r>
              <w:rPr>
                <w:color w:val="262626"/>
                <w:sz w:val="18"/>
                <w:szCs w:val="18"/>
              </w:rPr>
              <w:t xml:space="preserve">KTD non-kekerasan</w:t>
            </w:r>
          </w:p>
        </w:tc>
        <w:tc>
          <w:tcPr>
            <w:tcW w:type="dxa" w:w="4300"/>
            <w:shd w:fill="FFFFFF" w:color="auto" w:val="clear"/>
            <w:tcMar>
              <w:top w:type="dxa" w:w="90"/>
              <w:left w:type="dxa" w:w="120"/>
              <w:bottom w:type="dxa" w:w="90"/>
              <w:right w:type="dxa" w:w="120"/>
            </w:tcMar>
          </w:tcPr>
          <w:p>
            <w:r>
              <w:rPr>
                <w:color w:val="262626"/>
                <w:sz w:val="18"/>
                <w:szCs w:val="18"/>
              </w:rPr>
              <w:t xml:space="preserve">Kehamilan tidak diinginkan tanpa unsur pidana; kegagalan kontrasepsi/relasi tidak terikat — TIDAK termasuk indikasi pengecualian pidana aborsi</w:t>
            </w:r>
          </w:p>
        </w:tc>
        <w:tc>
          <w:tcPr>
            <w:tcW w:type="dxa" w:w="2200"/>
            <w:shd w:fill="FFFFFF" w:color="auto" w:val="clear"/>
            <w:tcMar>
              <w:top w:type="dxa" w:w="90"/>
              <w:left w:type="dxa" w:w="120"/>
              <w:bottom w:type="dxa" w:w="90"/>
              <w:right w:type="dxa" w:w="120"/>
            </w:tcMar>
          </w:tcPr>
          <w:p>
            <w:r>
              <w:rPr>
                <w:color w:val="262626"/>
                <w:sz w:val="18"/>
                <w:szCs w:val="18"/>
              </w:rPr>
              <w:t xml:space="preserve">KODEKI 2012; konseling nondirektif; tidak ada dasar pengecualian pidana</w:t>
            </w:r>
          </w:p>
        </w:tc>
      </w:tr>
      <w:tr>
        <w:tc>
          <w:tcPr>
            <w:tcW w:type="dxa" w:w="2500"/>
            <w:shd w:fill="F7F1F3" w:color="auto" w:val="clear"/>
            <w:tcMar>
              <w:top w:type="dxa" w:w="90"/>
              <w:left w:type="dxa" w:w="120"/>
              <w:bottom w:type="dxa" w:w="90"/>
              <w:right w:type="dxa" w:w="120"/>
            </w:tcMar>
          </w:tcPr>
          <w:p>
            <w:r>
              <w:rPr>
                <w:color w:val="262626"/>
                <w:sz w:val="18"/>
                <w:szCs w:val="18"/>
              </w:rPr>
              <w:t xml:space="preserve">KIPI maternal</w:t>
            </w:r>
          </w:p>
        </w:tc>
        <w:tc>
          <w:tcPr>
            <w:tcW w:type="dxa" w:w="4300"/>
            <w:shd w:fill="F7F1F3" w:color="auto" w:val="clear"/>
            <w:tcMar>
              <w:top w:type="dxa" w:w="90"/>
              <w:left w:type="dxa" w:w="120"/>
              <w:bottom w:type="dxa" w:w="90"/>
              <w:right w:type="dxa" w:w="120"/>
            </w:tcMar>
          </w:tcPr>
          <w:p>
            <w:r>
              <w:rPr>
                <w:color w:val="262626"/>
                <w:sz w:val="18"/>
                <w:szCs w:val="18"/>
              </w:rPr>
              <w:t xml:space="preserve">Kejadian medis pasca-imunisasi yang dinilai kausalitasnya dengan algoritma WHO (AEFI Causality Assessment)</w:t>
            </w:r>
          </w:p>
        </w:tc>
        <w:tc>
          <w:tcPr>
            <w:tcW w:type="dxa" w:w="2200"/>
            <w:shd w:fill="F7F1F3" w:color="auto" w:val="clear"/>
            <w:tcMar>
              <w:top w:type="dxa" w:w="90"/>
              <w:left w:type="dxa" w:w="120"/>
              <w:bottom w:type="dxa" w:w="90"/>
              <w:right w:type="dxa" w:w="120"/>
            </w:tcMar>
          </w:tcPr>
          <w:p>
            <w:r>
              <w:rPr>
                <w:color w:val="262626"/>
                <w:sz w:val="18"/>
                <w:szCs w:val="18"/>
              </w:rPr>
              <w:t xml:space="preserve">Permenkes 3/2026 ttg Penanggulangan Penyakit Ps.13(e) &amp; Ps.18; WHO AEFI Manual</w:t>
            </w:r>
          </w:p>
        </w:tc>
      </w:tr>
      <w:tr>
        <w:tc>
          <w:tcPr>
            <w:tcW w:type="dxa" w:w="2500"/>
            <w:shd w:fill="FFFFFF" w:color="auto" w:val="clear"/>
            <w:tcMar>
              <w:top w:type="dxa" w:w="90"/>
              <w:left w:type="dxa" w:w="120"/>
              <w:bottom w:type="dxa" w:w="90"/>
              <w:right w:type="dxa" w:w="120"/>
            </w:tcMar>
          </w:tcPr>
          <w:p>
            <w:r>
              <w:rPr>
                <w:color w:val="262626"/>
                <w:sz w:val="18"/>
                <w:szCs w:val="18"/>
              </w:rPr>
              <w:t xml:space="preserve">Dugaan malpraktik</w:t>
            </w:r>
          </w:p>
        </w:tc>
        <w:tc>
          <w:tcPr>
            <w:tcW w:type="dxa" w:w="4300"/>
            <w:shd w:fill="FFFFFF" w:color="auto" w:val="clear"/>
            <w:tcMar>
              <w:top w:type="dxa" w:w="90"/>
              <w:left w:type="dxa" w:w="120"/>
              <w:bottom w:type="dxa" w:w="90"/>
              <w:right w:type="dxa" w:w="120"/>
            </w:tcMar>
          </w:tcPr>
          <w:p>
            <w:r>
              <w:rPr>
                <w:color w:val="262626"/>
                <w:sz w:val="18"/>
                <w:szCs w:val="18"/>
              </w:rPr>
              <w:t xml:space="preserve">Terdapat unsur duty, breach, causation, damage (4D) yang perlu dikonfirmasi telaah rekam medis</w:t>
            </w:r>
          </w:p>
        </w:tc>
        <w:tc>
          <w:tcPr>
            <w:tcW w:type="dxa" w:w="2200"/>
            <w:shd w:fill="FFFFFF" w:color="auto" w:val="clear"/>
            <w:tcMar>
              <w:top w:type="dxa" w:w="90"/>
              <w:left w:type="dxa" w:w="120"/>
              <w:bottom w:type="dxa" w:w="90"/>
              <w:right w:type="dxa" w:w="120"/>
            </w:tcMar>
          </w:tcPr>
          <w:p>
            <w:r>
              <w:rPr>
                <w:color w:val="262626"/>
                <w:sz w:val="18"/>
                <w:szCs w:val="18"/>
              </w:rPr>
              <w:t xml:space="preserve">UU 29/2004 ttg Praktik Kedokteran; KODEKI 2012</w:t>
            </w:r>
          </w:p>
        </w:tc>
      </w:tr>
    </w:tbl>
    <w:p>
      <w:pPr>
        <w:spacing w:after="100"/>
      </w:pPr>
      <w:r>
        <w:rPr>
          <w:i/>
          <w:iCs/>
          <w:color w:val="262626"/>
          <w:sz w:val="20"/>
          <w:szCs w:val="20"/>
        </w:rPr>
        <w:t xml:space="preserve">Catatan pembaruan regulasi: sejak KUHP Nasional (UU No. 1 Tahun 2023) berlaku efektif 2 Januari 2026 — sebagaimana disesuaikan oleh UU No. 1 Tahun 2026 tentang Penyesuaian Pidana — batas usia kehamilan untuk pengecualian pidana aborsi bagi korban kekerasan seksual berubah dari ketentuan lama (40 hari/6 minggu menurut PP No. 61 Tahun 2014, yang kini digantikan PP No. 28 Tahun 2024) menjadi paling lama 14 minggu. Tim PPK WAJIB memverifikasi usia kehamilan aktual pada setiap kasus terhadap batas ini.</w:t>
      </w:r>
    </w:p>
    <w:p>
      <w:pPr>
        <w:spacing w:before="200"/>
      </w:pPr>
    </w:p>
    <w:p>
      <w:pPr>
        <w:shd w:fill="F4E3E9" w:color="auto" w:val="clear"/>
        <w:spacing w:after="100" w:before="200"/>
      </w:pPr>
      <w:r>
        <w:rPr>
          <w:rFonts w:ascii="Calibri" w:cs="Calibri" w:eastAsia="Calibri" w:hAnsi="Calibri"/>
          <w:b/>
          <w:bCs/>
          <w:color w:val="7A1F3D"/>
          <w:sz w:val="21"/>
          <w:szCs w:val="21"/>
        </w:rPr>
        <w:t xml:space="preserve">Skor Urgensi Etikolegal (Triase)</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200"/>
        <w:gridCol w:w="1900"/>
        <w:gridCol w:w="1900"/>
        <w:gridCol w:w="2000"/>
      </w:tblGrid>
      <w:tr>
        <w:trPr>
          <w:tblHeader/>
        </w:trPr>
        <w:tc>
          <w:tcPr>
            <w:tcW w:type="dxa" w:w="3200"/>
            <w:shd w:fill="7A1F3D" w:color="auto" w:val="clear"/>
            <w:tcMar>
              <w:top w:type="dxa" w:w="100"/>
              <w:left w:type="dxa" w:w="120"/>
              <w:bottom w:type="dxa" w:w="100"/>
              <w:right w:type="dxa" w:w="120"/>
            </w:tcMar>
            <w:vAlign w:val="center"/>
          </w:tcPr>
          <w:p>
            <w:r>
              <w:rPr>
                <w:b/>
                <w:bCs/>
                <w:color w:val="FFFFFF"/>
                <w:sz w:val="18"/>
                <w:szCs w:val="18"/>
              </w:rPr>
              <w:t xml:space="preserve">Parameter</w:t>
            </w:r>
          </w:p>
        </w:tc>
        <w:tc>
          <w:tcPr>
            <w:tcW w:type="dxa" w:w="1900"/>
            <w:shd w:fill="7A1F3D" w:color="auto" w:val="clear"/>
            <w:tcMar>
              <w:top w:type="dxa" w:w="100"/>
              <w:left w:type="dxa" w:w="120"/>
              <w:bottom w:type="dxa" w:w="100"/>
              <w:right w:type="dxa" w:w="120"/>
            </w:tcMar>
            <w:vAlign w:val="center"/>
          </w:tcPr>
          <w:p>
            <w:r>
              <w:rPr>
                <w:b/>
                <w:bCs/>
                <w:color w:val="FFFFFF"/>
                <w:sz w:val="18"/>
                <w:szCs w:val="18"/>
              </w:rPr>
              <w:t xml:space="preserve">0 poin</w:t>
            </w:r>
          </w:p>
        </w:tc>
        <w:tc>
          <w:tcPr>
            <w:tcW w:type="dxa" w:w="1900"/>
            <w:shd w:fill="7A1F3D" w:color="auto" w:val="clear"/>
            <w:tcMar>
              <w:top w:type="dxa" w:w="100"/>
              <w:left w:type="dxa" w:w="120"/>
              <w:bottom w:type="dxa" w:w="100"/>
              <w:right w:type="dxa" w:w="120"/>
            </w:tcMar>
            <w:vAlign w:val="center"/>
          </w:tcPr>
          <w:p>
            <w:r>
              <w:rPr>
                <w:b/>
                <w:bCs/>
                <w:color w:val="FFFFFF"/>
                <w:sz w:val="18"/>
                <w:szCs w:val="18"/>
              </w:rPr>
              <w:t xml:space="preserve">1 poin</w:t>
            </w:r>
          </w:p>
        </w:tc>
        <w:tc>
          <w:tcPr>
            <w:tcW w:type="dxa" w:w="2000"/>
            <w:shd w:fill="7A1F3D" w:color="auto" w:val="clear"/>
            <w:tcMar>
              <w:top w:type="dxa" w:w="100"/>
              <w:left w:type="dxa" w:w="120"/>
              <w:bottom w:type="dxa" w:w="100"/>
              <w:right w:type="dxa" w:w="120"/>
            </w:tcMar>
            <w:vAlign w:val="center"/>
          </w:tcPr>
          <w:p>
            <w:r>
              <w:rPr>
                <w:b/>
                <w:bCs/>
                <w:color w:val="FFFFFF"/>
                <w:sz w:val="18"/>
                <w:szCs w:val="18"/>
              </w:rPr>
              <w:t xml:space="preserve">2 poin</w:t>
            </w:r>
          </w:p>
        </w:tc>
      </w:tr>
      <w:tr>
        <w:tc>
          <w:tcPr>
            <w:tcW w:type="dxa" w:w="3200"/>
            <w:shd w:fill="FFFFFF" w:color="auto" w:val="clear"/>
            <w:tcMar>
              <w:top w:type="dxa" w:w="90"/>
              <w:left w:type="dxa" w:w="120"/>
              <w:bottom w:type="dxa" w:w="90"/>
              <w:right w:type="dxa" w:w="120"/>
            </w:tcMar>
          </w:tcPr>
          <w:p>
            <w:r>
              <w:rPr>
                <w:color w:val="262626"/>
                <w:sz w:val="18"/>
                <w:szCs w:val="18"/>
              </w:rPr>
              <w:t xml:space="preserve">Ancaman nyawa/kegawatan medis</w:t>
            </w:r>
          </w:p>
        </w:tc>
        <w:tc>
          <w:tcPr>
            <w:tcW w:type="dxa" w:w="1900"/>
            <w:shd w:fill="FFFFFF" w:color="auto" w:val="clear"/>
            <w:tcMar>
              <w:top w:type="dxa" w:w="90"/>
              <w:left w:type="dxa" w:w="120"/>
              <w:bottom w:type="dxa" w:w="90"/>
              <w:right w:type="dxa" w:w="120"/>
            </w:tcMar>
          </w:tcPr>
          <w:p>
            <w:r>
              <w:rPr>
                <w:color w:val="262626"/>
                <w:sz w:val="18"/>
                <w:szCs w:val="18"/>
              </w:rPr>
              <w:t xml:space="preserve">Tidak ada</w:t>
            </w:r>
          </w:p>
        </w:tc>
        <w:tc>
          <w:tcPr>
            <w:tcW w:type="dxa" w:w="1900"/>
            <w:shd w:fill="FFFFFF" w:color="auto" w:val="clear"/>
            <w:tcMar>
              <w:top w:type="dxa" w:w="90"/>
              <w:left w:type="dxa" w:w="120"/>
              <w:bottom w:type="dxa" w:w="90"/>
              <w:right w:type="dxa" w:w="120"/>
            </w:tcMar>
          </w:tcPr>
          <w:p>
            <w:r>
              <w:rPr>
                <w:color w:val="262626"/>
                <w:sz w:val="18"/>
                <w:szCs w:val="18"/>
              </w:rPr>
              <w:t xml:space="preserve">Sedang</w:t>
            </w:r>
          </w:p>
        </w:tc>
        <w:tc>
          <w:tcPr>
            <w:tcW w:type="dxa" w:w="2000"/>
            <w:shd w:fill="FFFFFF" w:color="auto" w:val="clear"/>
            <w:tcMar>
              <w:top w:type="dxa" w:w="90"/>
              <w:left w:type="dxa" w:w="120"/>
              <w:bottom w:type="dxa" w:w="90"/>
              <w:right w:type="dxa" w:w="120"/>
            </w:tcMar>
          </w:tcPr>
          <w:p>
            <w:r>
              <w:rPr>
                <w:color w:val="262626"/>
                <w:sz w:val="18"/>
                <w:szCs w:val="18"/>
              </w:rPr>
              <w:t xml:space="preserve">Tinggi/mengancam nyawa</w:t>
            </w:r>
          </w:p>
        </w:tc>
      </w:tr>
      <w:tr>
        <w:tc>
          <w:tcPr>
            <w:tcW w:type="dxa" w:w="3200"/>
            <w:shd w:fill="F7F1F3" w:color="auto" w:val="clear"/>
            <w:tcMar>
              <w:top w:type="dxa" w:w="90"/>
              <w:left w:type="dxa" w:w="120"/>
              <w:bottom w:type="dxa" w:w="90"/>
              <w:right w:type="dxa" w:w="120"/>
            </w:tcMar>
          </w:tcPr>
          <w:p>
            <w:r>
              <w:rPr>
                <w:color w:val="262626"/>
                <w:sz w:val="18"/>
                <w:szCs w:val="18"/>
              </w:rPr>
              <w:t xml:space="preserve">Unsur pidana (kekerasan/perkosaan)</w:t>
            </w:r>
          </w:p>
        </w:tc>
        <w:tc>
          <w:tcPr>
            <w:tcW w:type="dxa" w:w="1900"/>
            <w:shd w:fill="F7F1F3" w:color="auto" w:val="clear"/>
            <w:tcMar>
              <w:top w:type="dxa" w:w="90"/>
              <w:left w:type="dxa" w:w="120"/>
              <w:bottom w:type="dxa" w:w="90"/>
              <w:right w:type="dxa" w:w="120"/>
            </w:tcMar>
          </w:tcPr>
          <w:p>
            <w:r>
              <w:rPr>
                <w:color w:val="262626"/>
                <w:sz w:val="18"/>
                <w:szCs w:val="18"/>
              </w:rPr>
              <w:t xml:space="preserve">Tidak ada</w:t>
            </w:r>
          </w:p>
        </w:tc>
        <w:tc>
          <w:tcPr>
            <w:tcW w:type="dxa" w:w="1900"/>
            <w:shd w:fill="F7F1F3" w:color="auto" w:val="clear"/>
            <w:tcMar>
              <w:top w:type="dxa" w:w="90"/>
              <w:left w:type="dxa" w:w="120"/>
              <w:bottom w:type="dxa" w:w="90"/>
              <w:right w:type="dxa" w:w="120"/>
            </w:tcMar>
          </w:tcPr>
          <w:p>
            <w:r>
              <w:rPr>
                <w:color w:val="262626"/>
                <w:sz w:val="18"/>
                <w:szCs w:val="18"/>
              </w:rPr>
              <w:t xml:space="preserve">Diduga</w:t>
            </w:r>
          </w:p>
        </w:tc>
        <w:tc>
          <w:tcPr>
            <w:tcW w:type="dxa" w:w="2000"/>
            <w:shd w:fill="F7F1F3" w:color="auto" w:val="clear"/>
            <w:tcMar>
              <w:top w:type="dxa" w:w="90"/>
              <w:left w:type="dxa" w:w="120"/>
              <w:bottom w:type="dxa" w:w="90"/>
              <w:right w:type="dxa" w:w="120"/>
            </w:tcMar>
          </w:tcPr>
          <w:p>
            <w:r>
              <w:rPr>
                <w:color w:val="262626"/>
                <w:sz w:val="18"/>
                <w:szCs w:val="18"/>
              </w:rPr>
              <w:t xml:space="preserve">Terkonfirmasi/laporan resmi</w:t>
            </w:r>
          </w:p>
        </w:tc>
      </w:tr>
      <w:tr>
        <w:tc>
          <w:tcPr>
            <w:tcW w:type="dxa" w:w="3200"/>
            <w:shd w:fill="FFFFFF" w:color="auto" w:val="clear"/>
            <w:tcMar>
              <w:top w:type="dxa" w:w="90"/>
              <w:left w:type="dxa" w:w="120"/>
              <w:bottom w:type="dxa" w:w="90"/>
              <w:right w:type="dxa" w:w="120"/>
            </w:tcMar>
          </w:tcPr>
          <w:p>
            <w:r>
              <w:rPr>
                <w:color w:val="262626"/>
                <w:sz w:val="18"/>
                <w:szCs w:val="18"/>
              </w:rPr>
              <w:t xml:space="preserve">Batas waktu hukum (usia kehamilan/tenggat)</w:t>
            </w:r>
          </w:p>
        </w:tc>
        <w:tc>
          <w:tcPr>
            <w:tcW w:type="dxa" w:w="1900"/>
            <w:shd w:fill="FFFFFF" w:color="auto" w:val="clear"/>
            <w:tcMar>
              <w:top w:type="dxa" w:w="90"/>
              <w:left w:type="dxa" w:w="120"/>
              <w:bottom w:type="dxa" w:w="90"/>
              <w:right w:type="dxa" w:w="120"/>
            </w:tcMar>
          </w:tcPr>
          <w:p>
            <w:r>
              <w:rPr>
                <w:color w:val="262626"/>
                <w:sz w:val="18"/>
                <w:szCs w:val="18"/>
              </w:rPr>
              <w:t xml:space="preserve">Longgar</w:t>
            </w:r>
          </w:p>
        </w:tc>
        <w:tc>
          <w:tcPr>
            <w:tcW w:type="dxa" w:w="1900"/>
            <w:shd w:fill="FFFFFF" w:color="auto" w:val="clear"/>
            <w:tcMar>
              <w:top w:type="dxa" w:w="90"/>
              <w:left w:type="dxa" w:w="120"/>
              <w:bottom w:type="dxa" w:w="90"/>
              <w:right w:type="dxa" w:w="120"/>
            </w:tcMar>
          </w:tcPr>
          <w:p>
            <w:r>
              <w:rPr>
                <w:color w:val="262626"/>
                <w:sz w:val="18"/>
                <w:szCs w:val="18"/>
              </w:rPr>
              <w:t xml:space="preserve">Mendekati batas</w:t>
            </w:r>
          </w:p>
        </w:tc>
        <w:tc>
          <w:tcPr>
            <w:tcW w:type="dxa" w:w="2000"/>
            <w:shd w:fill="FFFFFF" w:color="auto" w:val="clear"/>
            <w:tcMar>
              <w:top w:type="dxa" w:w="90"/>
              <w:left w:type="dxa" w:w="120"/>
              <w:bottom w:type="dxa" w:w="90"/>
              <w:right w:type="dxa" w:w="120"/>
            </w:tcMar>
          </w:tcPr>
          <w:p>
            <w:r>
              <w:rPr>
                <w:color w:val="262626"/>
                <w:sz w:val="18"/>
                <w:szCs w:val="18"/>
              </w:rPr>
              <w:t xml:space="preserve">Terlampaui/kritis</w:t>
            </w:r>
          </w:p>
        </w:tc>
      </w:tr>
      <w:tr>
        <w:tc>
          <w:tcPr>
            <w:tcW w:type="dxa" w:w="3200"/>
            <w:shd w:fill="F7F1F3" w:color="auto" w:val="clear"/>
            <w:tcMar>
              <w:top w:type="dxa" w:w="90"/>
              <w:left w:type="dxa" w:w="120"/>
              <w:bottom w:type="dxa" w:w="90"/>
              <w:right w:type="dxa" w:w="120"/>
            </w:tcMar>
          </w:tcPr>
          <w:p>
            <w:r>
              <w:rPr>
                <w:color w:val="262626"/>
                <w:sz w:val="18"/>
                <w:szCs w:val="18"/>
              </w:rPr>
              <w:t xml:space="preserve">Potensi eskalasi hukum (somasi/laporan)</w:t>
            </w:r>
          </w:p>
        </w:tc>
        <w:tc>
          <w:tcPr>
            <w:tcW w:type="dxa" w:w="1900"/>
            <w:shd w:fill="F7F1F3" w:color="auto" w:val="clear"/>
            <w:tcMar>
              <w:top w:type="dxa" w:w="90"/>
              <w:left w:type="dxa" w:w="120"/>
              <w:bottom w:type="dxa" w:w="90"/>
              <w:right w:type="dxa" w:w="120"/>
            </w:tcMar>
          </w:tcPr>
          <w:p>
            <w:r>
              <w:rPr>
                <w:color w:val="262626"/>
                <w:sz w:val="18"/>
                <w:szCs w:val="18"/>
              </w:rPr>
              <w:t xml:space="preserve">Tidak ada</w:t>
            </w:r>
          </w:p>
        </w:tc>
        <w:tc>
          <w:tcPr>
            <w:tcW w:type="dxa" w:w="1900"/>
            <w:shd w:fill="F7F1F3" w:color="auto" w:val="clear"/>
            <w:tcMar>
              <w:top w:type="dxa" w:w="90"/>
              <w:left w:type="dxa" w:w="120"/>
              <w:bottom w:type="dxa" w:w="90"/>
              <w:right w:type="dxa" w:w="120"/>
            </w:tcMar>
          </w:tcPr>
          <w:p>
            <w:r>
              <w:rPr>
                <w:color w:val="262626"/>
                <w:sz w:val="18"/>
                <w:szCs w:val="18"/>
              </w:rPr>
              <w:t xml:space="preserve">Berpotensi</w:t>
            </w:r>
          </w:p>
        </w:tc>
        <w:tc>
          <w:tcPr>
            <w:tcW w:type="dxa" w:w="2000"/>
            <w:shd w:fill="F7F1F3" w:color="auto" w:val="clear"/>
            <w:tcMar>
              <w:top w:type="dxa" w:w="90"/>
              <w:left w:type="dxa" w:w="120"/>
              <w:bottom w:type="dxa" w:w="90"/>
              <w:right w:type="dxa" w:w="120"/>
            </w:tcMar>
          </w:tcPr>
          <w:p>
            <w:r>
              <w:rPr>
                <w:color w:val="262626"/>
                <w:sz w:val="18"/>
                <w:szCs w:val="18"/>
              </w:rPr>
              <w:t xml:space="preserve">Sudah berjalan</w:t>
            </w:r>
          </w:p>
        </w:tc>
      </w:tr>
    </w:tbl>
    <w:p>
      <w:pPr>
        <w:spacing w:after="100"/>
      </w:pPr>
      <w:r>
        <w:rPr>
          <w:color w:val="262626"/>
          <w:sz w:val="20"/>
          <w:szCs w:val="20"/>
        </w:rPr>
        <w:t xml:space="preserve">Interpretasi: skor 0–2 = jalur reguler (telaah etik terjadwal); skor 3–5 = jalur prioritas (telaah etik &lt;24 jam); skor 6–8 = jalur cito (rapat tim etik-hukum darurat, maksimal 4 jam).</w:t>
      </w:r>
    </w:p>
    <w:p>
      <w:pPr>
        <w:pBdr>
          <w:bottom w:val="single" w:color="7A1F3D" w:sz="2"/>
        </w:pBdr>
        <w:shd w:fill="7A1F3D" w:color="auto" w:val="clear"/>
        <w:spacing w:after="0" w:before="320"/>
      </w:pPr>
      <w:r>
        <w:rPr>
          <w:rFonts w:ascii="Calibri" w:cs="Calibri" w:eastAsia="Calibri" w:hAnsi="Calibri"/>
          <w:b/>
          <w:bCs/>
          <w:color w:val="FFFFFF"/>
          <w:sz w:val="24"/>
          <w:szCs w:val="24"/>
        </w:rPr>
        <w:t xml:space="preserve">5.  Diagnosis Kerja</w:t>
      </w:r>
    </w:p>
    <w:p>
      <w:pPr>
        <w:spacing w:after="100"/>
      </w:pPr>
      <w:r>
        <w:rPr>
          <w:color w:val="262626"/>
          <w:sz w:val="20"/>
          <w:szCs w:val="20"/>
        </w:rPr>
        <w:t xml:space="preserve">Format baku diagnosis kerja:</w:t>
      </w:r>
    </w:p>
    <w:p>
      <w:pPr>
        <w:spacing w:after="100"/>
      </w:pPr>
      <w:r>
        <w:rPr>
          <w:i/>
          <w:iCs/>
          <w:color w:val="262626"/>
          <w:sz w:val="20"/>
          <w:szCs w:val="20"/>
        </w:rPr>
        <w:t xml:space="preserve">"G_P_A_ hamil ___ minggu dengan [kategori kasus etik-medikolegal sesuai Poin 4], skor urgensi etikolegal ___, telah/belum dilakukan telaah 4 kaidah dasar bioetik."</w:t>
      </w:r>
    </w:p>
    <w:p>
      <w:pPr>
        <w:spacing w:after="100"/>
      </w:pPr>
      <w:r>
        <w:rPr>
          <w:color w:val="262626"/>
          <w:sz w:val="20"/>
          <w:szCs w:val="20"/>
        </w:rPr>
        <w:t xml:space="preserve">Contoh: G2P1A0 hamil 9 minggu dengan kehamilan akibat kekerasan seksual (terlapor), skor urgensi etikolegal 5 (jalur prioritas), telaah 4 kaidah dasar bioetik telah dilakukan bersama Komite Etik RS.</w:t>
      </w:r>
    </w:p>
    <w:p>
      <w:pPr>
        <w:pBdr>
          <w:bottom w:val="single" w:color="7A1F3D" w:sz="2"/>
        </w:pBdr>
        <w:shd w:fill="7A1F3D" w:color="auto" w:val="clear"/>
        <w:spacing w:after="0" w:before="320"/>
      </w:pPr>
      <w:r>
        <w:rPr>
          <w:rFonts w:ascii="Calibri" w:cs="Calibri" w:eastAsia="Calibri" w:hAnsi="Calibri"/>
          <w:b/>
          <w:bCs/>
          <w:color w:val="FFFFFF"/>
          <w:sz w:val="24"/>
          <w:szCs w:val="24"/>
        </w:rPr>
        <w:t xml:space="preserve">6.  Diagnosis Banding</w:t>
      </w:r>
    </w:p>
    <w:p>
      <w:pPr>
        <w:pStyle w:val="ListParagraph"/>
        <w:numPr>
          <w:ilvl w:val="0"/>
          <w:numId w:val="2"/>
        </w:numPr>
        <w:spacing w:after="60"/>
      </w:pPr>
      <w:r>
        <w:rPr>
          <w:b/>
          <w:bCs/>
          <w:color w:val="262626"/>
          <w:sz w:val="20"/>
          <w:szCs w:val="20"/>
        </w:rPr>
        <w:t xml:space="preserve">Kedaruratan medis genuin vs elektif: </w:t>
      </w:r>
      <w:r>
        <w:rPr>
          <w:color w:val="262626"/>
          <w:sz w:val="20"/>
          <w:szCs w:val="20"/>
        </w:rPr>
        <w:t xml:space="preserve">pastikan indikasi medis darurat bukan permintaan elektif yang dibingkai sebagai kedaruratan.</w:t>
      </w:r>
    </w:p>
    <w:p>
      <w:pPr>
        <w:pStyle w:val="ListParagraph"/>
        <w:numPr>
          <w:ilvl w:val="0"/>
          <w:numId w:val="2"/>
        </w:numPr>
        <w:spacing w:after="60"/>
      </w:pPr>
      <w:r>
        <w:rPr>
          <w:b/>
          <w:bCs/>
          <w:color w:val="262626"/>
          <w:sz w:val="20"/>
          <w:szCs w:val="20"/>
        </w:rPr>
        <w:t xml:space="preserve">Kekerasan seksual terverifikasi vs sengketa relasi: </w:t>
      </w:r>
      <w:r>
        <w:rPr>
          <w:color w:val="262626"/>
          <w:sz w:val="20"/>
          <w:szCs w:val="20"/>
        </w:rPr>
        <w:t xml:space="preserve">bedakan dari konflik relasi konsensual yang kemudian disengketakan; tetap layani dengan asas praduga baik pada korban tanpa menghakimi.</w:t>
      </w:r>
    </w:p>
    <w:p>
      <w:pPr>
        <w:pStyle w:val="ListParagraph"/>
        <w:numPr>
          <w:ilvl w:val="0"/>
          <w:numId w:val="2"/>
        </w:numPr>
        <w:spacing w:after="60"/>
      </w:pPr>
      <w:r>
        <w:rPr>
          <w:b/>
          <w:bCs/>
          <w:color w:val="262626"/>
          <w:sz w:val="20"/>
          <w:szCs w:val="20"/>
        </w:rPr>
        <w:t xml:space="preserve">KIPI genuin vs kejadian koinsiden: </w:t>
      </w:r>
      <w:r>
        <w:rPr>
          <w:color w:val="262626"/>
          <w:sz w:val="20"/>
          <w:szCs w:val="20"/>
        </w:rPr>
        <w:t xml:space="preserve">gunakan algoritma kausalitas WHO (konsisten waktu, bukti biologis, dan eksklusi penyebab lain) untuk membedakan reaksi vaksin sejati dari kejadian yang kebetulan bersamaan waktu.</w:t>
      </w:r>
    </w:p>
    <w:p>
      <w:pPr>
        <w:pStyle w:val="ListParagraph"/>
        <w:numPr>
          <w:ilvl w:val="0"/>
          <w:numId w:val="2"/>
        </w:numPr>
        <w:spacing w:after="60"/>
      </w:pPr>
      <w:r>
        <w:rPr>
          <w:b/>
          <w:bCs/>
          <w:color w:val="262626"/>
          <w:sz w:val="20"/>
          <w:szCs w:val="20"/>
        </w:rPr>
        <w:t xml:space="preserve">Malpraktik vs komplikasi yang diketahui (known risk): </w:t>
      </w:r>
      <w:r>
        <w:rPr>
          <w:color w:val="262626"/>
          <w:sz w:val="20"/>
          <w:szCs w:val="20"/>
        </w:rPr>
        <w:t xml:space="preserve">bedakan kelalaian (breach of duty) dari komplikasi inheren yang telah diinformasikan dan disetujui dalam informed consent.</w:t>
      </w:r>
    </w:p>
    <w:p>
      <w:pPr>
        <w:pBdr>
          <w:bottom w:val="single" w:color="7A1F3D" w:sz="2"/>
        </w:pBdr>
        <w:shd w:fill="7A1F3D" w:color="auto" w:val="clear"/>
        <w:spacing w:after="0" w:before="320"/>
      </w:pPr>
      <w:r>
        <w:rPr>
          <w:rFonts w:ascii="Calibri" w:cs="Calibri" w:eastAsia="Calibri" w:hAnsi="Calibri"/>
          <w:b/>
          <w:bCs/>
          <w:color w:val="FFFFFF"/>
          <w:sz w:val="24"/>
          <w:szCs w:val="24"/>
        </w:rPr>
        <w:t xml:space="preserve">7.  Pemeriksaan Penunjang</w:t>
      </w:r>
    </w:p>
    <w:p>
      <w:pPr>
        <w:pStyle w:val="ListParagraph"/>
        <w:numPr>
          <w:ilvl w:val="0"/>
          <w:numId w:val="2"/>
        </w:numPr>
        <w:spacing w:after="60"/>
      </w:pPr>
      <w:r>
        <w:rPr>
          <w:color w:val="262626"/>
          <w:sz w:val="20"/>
          <w:szCs w:val="20"/>
        </w:rPr>
        <w:t xml:space="preserve">USG obstetri untuk konfirmasi usia kehamilan, viabilitas, dan kelainan kongenital (bila indikasi medis).</w:t>
      </w:r>
    </w:p>
    <w:p>
      <w:pPr>
        <w:pStyle w:val="ListParagraph"/>
        <w:numPr>
          <w:ilvl w:val="0"/>
          <w:numId w:val="2"/>
        </w:numPr>
        <w:spacing w:after="60"/>
      </w:pPr>
      <w:r>
        <w:rPr>
          <w:color w:val="262626"/>
          <w:sz w:val="20"/>
          <w:szCs w:val="20"/>
        </w:rPr>
        <w:t xml:space="preserve">Laboratorium: Beta-hCG kuantitatif, darah lengkap, golongan darah/Rhesus, fungsi koagulasi, dan skrining IMS pada korban kekerasan seksual.</w:t>
      </w:r>
    </w:p>
    <w:p>
      <w:pPr>
        <w:pStyle w:val="ListParagraph"/>
        <w:numPr>
          <w:ilvl w:val="0"/>
          <w:numId w:val="2"/>
        </w:numPr>
        <w:spacing w:after="60"/>
      </w:pPr>
      <w:r>
        <w:rPr>
          <w:color w:val="262626"/>
          <w:sz w:val="20"/>
          <w:szCs w:val="20"/>
        </w:rPr>
        <w:t xml:space="preserve">Pemeriksaan forensik: swab genital, kuku, pakaian sesuai protokol visum et repertum, dengan rantai bukti (chain of custody) terjaga.</w:t>
      </w:r>
    </w:p>
    <w:p>
      <w:pPr>
        <w:pStyle w:val="ListParagraph"/>
        <w:numPr>
          <w:ilvl w:val="0"/>
          <w:numId w:val="2"/>
        </w:numPr>
        <w:spacing w:after="60"/>
      </w:pPr>
      <w:r>
        <w:rPr>
          <w:color w:val="262626"/>
          <w:sz w:val="20"/>
          <w:szCs w:val="20"/>
        </w:rPr>
        <w:t xml:space="preserve">Rekam vaksinasi: nomor batch, tanggal, lokasi penyimpanan (cold chain) untuk investigasi kasus KIPI, dikoordinasikan dengan Komite Nasional KIPI, Komite KIPI Provinsi, atau Komite KIPI Kabupaten/Kota sesuai Permenkes No. 3 Tahun 2026 tentang Penanggulangan Penyakit.</w:t>
      </w:r>
    </w:p>
    <w:p>
      <w:pPr>
        <w:pStyle w:val="ListParagraph"/>
        <w:numPr>
          <w:ilvl w:val="0"/>
          <w:numId w:val="2"/>
        </w:numPr>
        <w:spacing w:after="60"/>
      </w:pPr>
      <w:r>
        <w:rPr>
          <w:color w:val="262626"/>
          <w:sz w:val="20"/>
          <w:szCs w:val="20"/>
        </w:rPr>
        <w:t xml:space="preserve">Telaah rekam medis independen (peer review) dan pendapat kedua (second opinion) pada dugaan malpraktik.</w:t>
      </w:r>
    </w:p>
    <w:p>
      <w:pPr>
        <w:pStyle w:val="ListParagraph"/>
        <w:numPr>
          <w:ilvl w:val="0"/>
          <w:numId w:val="2"/>
        </w:numPr>
        <w:spacing w:after="60"/>
      </w:pPr>
      <w:r>
        <w:rPr>
          <w:color w:val="262626"/>
          <w:sz w:val="20"/>
          <w:szCs w:val="20"/>
        </w:rPr>
        <w:t xml:space="preserve">Konsultasi psikologi klinis/psikiatri untuk penilaian kapasitas mental dan dampak psikologis.</w:t>
      </w:r>
    </w:p>
    <w:p>
      <w:pPr>
        <w:pBdr>
          <w:bottom w:val="single" w:color="7A1F3D" w:sz="2"/>
        </w:pBdr>
        <w:shd w:fill="7A1F3D" w:color="auto" w:val="clear"/>
        <w:spacing w:after="0" w:before="320"/>
      </w:pPr>
      <w:r>
        <w:rPr>
          <w:rFonts w:ascii="Calibri" w:cs="Calibri" w:eastAsia="Calibri" w:hAnsi="Calibri"/>
          <w:b/>
          <w:bCs/>
          <w:color w:val="FFFFFF"/>
          <w:sz w:val="24"/>
          <w:szCs w:val="24"/>
        </w:rPr>
        <w:t xml:space="preserve">8.  Tata Laksana (Terapi)</w:t>
      </w:r>
    </w:p>
    <w:p>
      <w:pPr>
        <w:shd w:fill="F4E3E9" w:color="auto" w:val="clear"/>
        <w:spacing w:after="100" w:before="200"/>
      </w:pPr>
      <w:r>
        <w:rPr>
          <w:rFonts w:ascii="Calibri" w:cs="Calibri" w:eastAsia="Calibri" w:hAnsi="Calibri"/>
          <w:b/>
          <w:bCs/>
          <w:color w:val="7A1F3D"/>
          <w:sz w:val="21"/>
          <w:szCs w:val="21"/>
        </w:rPr>
        <w:t xml:space="preserve">8.1 Aspek Etikolegal dan Kerahasiaan (Sub-komponen Wajib)</w:t>
      </w:r>
    </w:p>
    <w:p>
      <w:pPr>
        <w:spacing w:after="100"/>
      </w:pPr>
      <w:r>
        <w:rPr>
          <w:b/>
          <w:bCs/>
          <w:color w:val="262626"/>
          <w:sz w:val="20"/>
          <w:szCs w:val="20"/>
        </w:rPr>
        <w:t xml:space="preserve">Batasan hukum Indonesia berikut WAJIB dipertimbangkan dan didokumentasikan secara eksplisit SEBELUM penerapan rekomendasi klinis internasional (WHO/FIGO/ACOG):</w:t>
      </w:r>
    </w:p>
    <w:p>
      <w:pPr>
        <w:spacing w:after="100"/>
      </w:pPr>
      <w:r>
        <w:rPr>
          <w:b/>
          <w:bCs/>
          <w:color w:val="262626"/>
          <w:sz w:val="20"/>
          <w:szCs w:val="20"/>
        </w:rPr>
        <w:t xml:space="preserve">Sejak 2 Januari 2026, Kitab Undang-Undang Hukum Pidana lama (WvS warisan kolonial) telah digantikan sepenuhnya oleh KUHP Nasional (UU No. 1 Tahun 2023), sebagaimana disesuaikan oleh UU No. 1 Tahun 2026 tentang Penyesuaian Pidana. Seluruh rujukan hukum pidana dalam PPK ini menggunakan KUHP Nasional yang berlaku, BUKAN pasal-pasal KUHP lama.</w:t>
      </w:r>
    </w:p>
    <w:p>
      <w:pPr>
        <w:pStyle w:val="ListParagraph"/>
        <w:numPr>
          <w:ilvl w:val="0"/>
          <w:numId w:val="2"/>
        </w:numPr>
        <w:spacing w:after="60"/>
      </w:pPr>
      <w:r>
        <w:rPr>
          <w:b/>
          <w:bCs/>
          <w:color w:val="262626"/>
          <w:sz w:val="20"/>
          <w:szCs w:val="20"/>
        </w:rPr>
        <w:t xml:space="preserve">UU No. 17 Tahun 2023 tentang Kesehatan, Pasal 60: </w:t>
      </w:r>
      <w:r>
        <w:rPr>
          <w:color w:val="262626"/>
          <w:sz w:val="20"/>
          <w:szCs w:val="20"/>
        </w:rPr>
        <w:t xml:space="preserve">aborsi dikecualikan dari larangan pidana pada dua indikasi: (a) kedaruratan medis yang mengancam nyawa ibu dan/atau janin dengan kelainan kongenital berat yang tidak dapat diperbaiki, dikonfirmasi tim medis; dan (b) kehamilan akibat tindak pidana perkosaan atau kekerasan seksual lain. Ketentuan teknis pelaksanaannya diatur PP No. 28 Tahun 2024 tentang Peraturan Pelaksanaan UU No. 17 Tahun 2023 (menggantikan PP No. 61 Tahun 2014 yang merupakan aturan pelaksana UU Kesehatan lama dan kini tidak lagi menjadi rujukan utama).</w:t>
      </w:r>
    </w:p>
    <w:p>
      <w:pPr>
        <w:pStyle w:val="ListParagraph"/>
        <w:numPr>
          <w:ilvl w:val="0"/>
          <w:numId w:val="2"/>
        </w:numPr>
        <w:spacing w:after="60"/>
      </w:pPr>
      <w:r>
        <w:rPr>
          <w:b/>
          <w:bCs/>
          <w:color w:val="262626"/>
          <w:sz w:val="20"/>
          <w:szCs w:val="20"/>
        </w:rPr>
        <w:t xml:space="preserve">UU No. 1 Tahun 2023 tentang KUHP (KUHP Nasional) jo. UU No. 1 Tahun 2026 tentang Penyesuaian Pidana: </w:t>
      </w:r>
      <w:r>
        <w:rPr>
          <w:color w:val="262626"/>
          <w:sz w:val="20"/>
          <w:szCs w:val="20"/>
        </w:rPr>
        <w:t xml:space="preserve">Pasal 251 mengancam pidana penjara maksimal 4 tahun bagi pemberi obat/permintaan penggunaan obat penggugur kandungan, dengan pidana tambahan pencabutan hak profesi bagi tenaga kesehatan (ayat 2); UU No. 1/2026 menambahkan pengecualian pemidanaan Pasal 251 bagi perempuan korban perkosaan/kekerasan seksual lain dengan usia kehamilan tidak melebihi 14 minggu, atau dengan indikasi kedaruratan medis. Pasal 463 ayat (1) mengancam perempuan yang melakukan aborsi sendiri dengan pidana maksimal 4 tahun, namun ayat (2) mengecualikan ketentuan ini bagi korban perkosaan/kekerasan seksual (usia kehamilan ≤14 minggu) atau kedaruratan medis. Pasal 464 mengancam pihak lain yang melakukan aborsi — maksimal 5 tahun dengan persetujuan perempuan tersebut, atau maksimal 12 tahun tanpa persetujuan; Pasal 465 memberatkan pidana bila tindakan mengakibatkan kematian perempuan tersebut. Dokter, bidan, atau tenaga kesehatan yang melakukan aborsi sesuai indikasi kedaruratan medis atau bagi korban kekerasan seksual sesuai ketentuan di atas tidak dipidana.</w:t>
      </w:r>
    </w:p>
    <w:p>
      <w:pPr>
        <w:pStyle w:val="ListParagraph"/>
        <w:numPr>
          <w:ilvl w:val="0"/>
          <w:numId w:val="2"/>
        </w:numPr>
        <w:spacing w:after="60"/>
      </w:pPr>
      <w:r>
        <w:rPr>
          <w:b/>
          <w:bCs/>
          <w:color w:val="262626"/>
          <w:sz w:val="20"/>
          <w:szCs w:val="20"/>
        </w:rPr>
        <w:t xml:space="preserve">UU No. 12 Tahun 2022 tentang Tindak Pidana Kekerasan Seksual (UU TPKS): </w:t>
      </w:r>
      <w:r>
        <w:rPr>
          <w:color w:val="262626"/>
          <w:sz w:val="20"/>
          <w:szCs w:val="20"/>
        </w:rPr>
        <w:t xml:space="preserve">mengatur hak pendampingan, perlindungan, dan pemulihan korban; tenaga kesehatan berperan sebagai bagian dari layanan terpadu (visum, konseling, rujukan hukum) tanpa memaksa korban melapor jika tidak menghendaki, kecuali kewajiban pelaporan berbasis regulasi anak/pidana khusus berlaku.</w:t>
      </w:r>
    </w:p>
    <w:p>
      <w:pPr>
        <w:pStyle w:val="ListParagraph"/>
        <w:numPr>
          <w:ilvl w:val="0"/>
          <w:numId w:val="2"/>
        </w:numPr>
        <w:spacing w:after="60"/>
      </w:pPr>
      <w:r>
        <w:rPr>
          <w:b/>
          <w:bCs/>
          <w:color w:val="262626"/>
          <w:sz w:val="20"/>
          <w:szCs w:val="20"/>
        </w:rPr>
        <w:t xml:space="preserve">UU No. 23 Tahun 2004 tentang Penghapusan Kekerasan Dalam Rumah Tangga (PKDRT): </w:t>
      </w:r>
      <w:r>
        <w:rPr>
          <w:color w:val="262626"/>
          <w:sz w:val="20"/>
          <w:szCs w:val="20"/>
        </w:rPr>
        <w:t xml:space="preserve">relevan bila unsur kekerasan berasal dari pasangan/anggota keluarga; tenaga medis wajib memberikan pelayanan kesehatan dan dapat memberikan keterangan medis atas permintaan korban/penegak hukum sesuai prosedur. Ketentuan UU PKDRT bersifat lex specialis dan tetap berlaku berdampingan dengan KUHP Nasional.</w:t>
      </w:r>
    </w:p>
    <w:p>
      <w:pPr>
        <w:pStyle w:val="ListParagraph"/>
        <w:numPr>
          <w:ilvl w:val="0"/>
          <w:numId w:val="2"/>
        </w:numPr>
        <w:spacing w:after="60"/>
      </w:pPr>
      <w:r>
        <w:rPr>
          <w:b/>
          <w:bCs/>
          <w:color w:val="262626"/>
          <w:sz w:val="20"/>
          <w:szCs w:val="20"/>
        </w:rPr>
        <w:t xml:space="preserve">Kerahasiaan medis: </w:t>
      </w:r>
      <w:r>
        <w:rPr>
          <w:color w:val="262626"/>
          <w:sz w:val="20"/>
          <w:szCs w:val="20"/>
        </w:rPr>
        <w:t xml:space="preserve">identitas dan data korban/pasien dilindungi sesuai UU No. 29 Tahun 2004 tentang Praktik Kedokteran dan Kode Etik Kedokteran Indonesia (KODEKI); pembukaan informasi kepada pihak ketiga (penegak hukum, keluarga) hanya dengan persetujuan pasien atau atas dasar hukum yang sah (mis. permintaan resmi penyidik disertai surat).</w:t>
      </w:r>
    </w:p>
    <w:p>
      <w:pPr>
        <w:spacing w:after="100"/>
      </w:pPr>
      <w:r>
        <w:rPr>
          <w:b/>
          <w:bCs/>
          <w:color w:val="262626"/>
          <w:sz w:val="20"/>
          <w:szCs w:val="20"/>
        </w:rPr>
        <w:t xml:space="preserve">Penerapan 4 Kaidah Dasar Bioetik (didokumentasikan eksplisit pada setiap kasus):</w:t>
      </w:r>
    </w:p>
    <w:p>
      <w:pPr>
        <w:pStyle w:val="ListParagraph"/>
        <w:numPr>
          <w:ilvl w:val="0"/>
          <w:numId w:val="2"/>
        </w:numPr>
        <w:spacing w:after="60"/>
      </w:pPr>
      <w:r>
        <w:rPr>
          <w:b/>
          <w:bCs/>
          <w:color w:val="262626"/>
          <w:sz w:val="20"/>
          <w:szCs w:val="20"/>
        </w:rPr>
        <w:t xml:space="preserve">Autonomi: </w:t>
      </w:r>
      <w:r>
        <w:rPr>
          <w:color w:val="262626"/>
          <w:sz w:val="20"/>
          <w:szCs w:val="20"/>
        </w:rPr>
        <w:t xml:space="preserve">penghormatan atas keputusan pasien melalui informed consent dan konseling nondirektif, termasuk hak menolak tindakan setelah edukasi lengkap.</w:t>
      </w:r>
    </w:p>
    <w:p>
      <w:pPr>
        <w:pStyle w:val="ListParagraph"/>
        <w:numPr>
          <w:ilvl w:val="0"/>
          <w:numId w:val="2"/>
        </w:numPr>
        <w:spacing w:after="60"/>
      </w:pPr>
      <w:r>
        <w:rPr>
          <w:b/>
          <w:bCs/>
          <w:color w:val="262626"/>
          <w:sz w:val="20"/>
          <w:szCs w:val="20"/>
        </w:rPr>
        <w:t xml:space="preserve">Beneficence: </w:t>
      </w:r>
      <w:r>
        <w:rPr>
          <w:color w:val="262626"/>
          <w:sz w:val="20"/>
          <w:szCs w:val="20"/>
        </w:rPr>
        <w:t xml:space="preserve">tindakan diarahkan pada manfaat klinis dan psikososial terbaik bagi pasien, termasuk pencegahan perburukan kondisi medis/psikologis.</w:t>
      </w:r>
    </w:p>
    <w:p>
      <w:pPr>
        <w:pStyle w:val="ListParagraph"/>
        <w:numPr>
          <w:ilvl w:val="0"/>
          <w:numId w:val="2"/>
        </w:numPr>
        <w:spacing w:after="60"/>
      </w:pPr>
      <w:r>
        <w:rPr>
          <w:b/>
          <w:bCs/>
          <w:color w:val="262626"/>
          <w:sz w:val="20"/>
          <w:szCs w:val="20"/>
        </w:rPr>
        <w:t xml:space="preserve">Non-maleficence: </w:t>
      </w:r>
      <w:r>
        <w:rPr>
          <w:color w:val="262626"/>
          <w:sz w:val="20"/>
          <w:szCs w:val="20"/>
        </w:rPr>
        <w:t xml:space="preserve">menghindari tindakan yang menimbulkan cedera fisik/psikologis tambahan, termasuk menghindari pengulangan wawancara/pemeriksaan yang traumatis.</w:t>
      </w:r>
    </w:p>
    <w:p>
      <w:pPr>
        <w:pStyle w:val="ListParagraph"/>
        <w:numPr>
          <w:ilvl w:val="0"/>
          <w:numId w:val="2"/>
        </w:numPr>
        <w:spacing w:after="60"/>
      </w:pPr>
      <w:r>
        <w:rPr>
          <w:b/>
          <w:bCs/>
          <w:color w:val="262626"/>
          <w:sz w:val="20"/>
          <w:szCs w:val="20"/>
        </w:rPr>
        <w:t xml:space="preserve">Justice: </w:t>
      </w:r>
      <w:r>
        <w:rPr>
          <w:color w:val="262626"/>
          <w:sz w:val="20"/>
          <w:szCs w:val="20"/>
        </w:rPr>
        <w:t xml:space="preserve">akses layanan diberikan tanpa diskriminasi status sosial, usia, atau latar belakang kejadian, dengan alokasi sumber daya (tim etik, forensik, hukum) yang adil dan tepat waktu.</w:t>
      </w:r>
    </w:p>
    <w:p>
      <w:pPr>
        <w:spacing w:before="200"/>
      </w:pPr>
    </w:p>
    <w:p>
      <w:pPr>
        <w:shd w:fill="F4E3E9" w:color="auto" w:val="clear"/>
        <w:spacing w:after="100" w:before="200"/>
      </w:pPr>
      <w:r>
        <w:rPr>
          <w:rFonts w:ascii="Calibri" w:cs="Calibri" w:eastAsia="Calibri" w:hAnsi="Calibri"/>
          <w:b/>
          <w:bCs/>
          <w:color w:val="7A1F3D"/>
          <w:sz w:val="21"/>
          <w:szCs w:val="21"/>
        </w:rPr>
        <w:t xml:space="preserve">8.2 Alur Keputusan Klinis-Etikolegal</w:t>
      </w:r>
    </w:p>
    <w:tbl>
      <w:tblPr>
        <w:tblW w:type="pct" w:w="100%"/>
        <w:tblBorders>
          <w:top w:val="single" w:color="7A1F3D" w:sz="4"/>
          <w:left w:val="single" w:color="7A1F3D" w:sz="4"/>
          <w:bottom w:val="single" w:color="7A1F3D" w:sz="4"/>
          <w:right w:val="single" w:color="7A1F3D" w:sz="4"/>
          <w:insideH w:val="single" w:color="auto" w:sz="4"/>
          <w:insideV w:val="single" w:color="auto" w:sz="4"/>
        </w:tblBorders>
      </w:tblPr>
      <w:tblGrid>
        <w:gridCol w:w="100"/>
      </w:tblGrid>
      <w:tr>
        <w:tc>
          <w:tcPr>
            <w:shd w:fill="FBF3F5" w:color="auto" w:val="clear"/>
            <w:tcMar>
              <w:top w:type="dxa" w:w="120"/>
              <w:left w:type="dxa" w:w="200"/>
              <w:bottom w:type="dxa" w:w="120"/>
              <w:right w:type="dxa" w:w="200"/>
            </w:tcMar>
            <w:vAlign w:val="center"/>
          </w:tcPr>
          <w:p>
            <w:pPr>
              <w:jc w:val="left"/>
            </w:pPr>
            <w:r>
              <w:rPr>
                <w:color w:val="262626"/>
                <w:sz w:val="19"/>
                <w:szCs w:val="19"/>
              </w:rPr>
              <w:t xml:space="preserve">Langkah 1 — Identifikasi &amp; Triase: skrining kategori kasus (Poin 4) dan penghitungan skor urgensi etikolegal.</w:t>
            </w:r>
          </w:p>
        </w:tc>
      </w:tr>
    </w:tbl>
    <w:p>
      <w:pPr>
        <w:spacing w:after="40" w:before="40"/>
        <w:jc w:val="center"/>
      </w:pPr>
      <w:r>
        <w:rPr>
          <w:b/>
          <w:bCs/>
          <w:color w:val="7A1F3D"/>
          <w:sz w:val="22"/>
          <w:szCs w:val="22"/>
        </w:rPr>
        <w:t xml:space="preserve">▼</w:t>
      </w:r>
    </w:p>
    <w:tbl>
      <w:tblPr>
        <w:tblW w:type="pct" w:w="100%"/>
        <w:tblBorders>
          <w:top w:val="single" w:color="7A1F3D" w:sz="4"/>
          <w:left w:val="single" w:color="7A1F3D" w:sz="4"/>
          <w:bottom w:val="single" w:color="7A1F3D" w:sz="4"/>
          <w:right w:val="single" w:color="7A1F3D" w:sz="4"/>
          <w:insideH w:val="single" w:color="auto" w:sz="4"/>
          <w:insideV w:val="single" w:color="auto" w:sz="4"/>
        </w:tblBorders>
      </w:tblPr>
      <w:tblGrid>
        <w:gridCol w:w="100"/>
      </w:tblGrid>
      <w:tr>
        <w:tc>
          <w:tcPr>
            <w:shd w:fill="FBF3F5" w:color="auto" w:val="clear"/>
            <w:tcMar>
              <w:top w:type="dxa" w:w="120"/>
              <w:left w:type="dxa" w:w="200"/>
              <w:bottom w:type="dxa" w:w="120"/>
              <w:right w:type="dxa" w:w="200"/>
            </w:tcMar>
            <w:vAlign w:val="center"/>
          </w:tcPr>
          <w:p>
            <w:pPr>
              <w:jc w:val="left"/>
            </w:pPr>
            <w:r>
              <w:rPr>
                <w:color w:val="262626"/>
                <w:sz w:val="19"/>
                <w:szCs w:val="19"/>
              </w:rPr>
              <w:t xml:space="preserve">Langkah 2 — Verifikasi Multidisiplin: konfirmasi indikasi medis oleh ≥2 dokter spesialis dan/atau verifikasi unsur hukum bersama tim etik RS, bagian hukum, dan/atau penegak hukum bila relevan.</w:t>
            </w:r>
          </w:p>
        </w:tc>
      </w:tr>
    </w:tbl>
    <w:p>
      <w:pPr>
        <w:spacing w:after="40" w:before="40"/>
        <w:jc w:val="center"/>
      </w:pPr>
      <w:r>
        <w:rPr>
          <w:b/>
          <w:bCs/>
          <w:color w:val="7A1F3D"/>
          <w:sz w:val="22"/>
          <w:szCs w:val="22"/>
        </w:rPr>
        <w:t xml:space="preserve">▼</w:t>
      </w:r>
    </w:p>
    <w:tbl>
      <w:tblPr>
        <w:tblW w:type="pct" w:w="100%"/>
        <w:tblBorders>
          <w:top w:val="single" w:color="7A1F3D" w:sz="4"/>
          <w:left w:val="single" w:color="7A1F3D" w:sz="4"/>
          <w:bottom w:val="single" w:color="7A1F3D" w:sz="4"/>
          <w:right w:val="single" w:color="7A1F3D" w:sz="4"/>
          <w:insideH w:val="single" w:color="auto" w:sz="4"/>
          <w:insideV w:val="single" w:color="auto" w:sz="4"/>
        </w:tblBorders>
      </w:tblPr>
      <w:tblGrid>
        <w:gridCol w:w="100"/>
      </w:tblGrid>
      <w:tr>
        <w:tc>
          <w:tcPr>
            <w:shd w:fill="FBF3F5" w:color="auto" w:val="clear"/>
            <w:tcMar>
              <w:top w:type="dxa" w:w="120"/>
              <w:left w:type="dxa" w:w="200"/>
              <w:bottom w:type="dxa" w:w="120"/>
              <w:right w:type="dxa" w:w="200"/>
            </w:tcMar>
            <w:vAlign w:val="center"/>
          </w:tcPr>
          <w:p>
            <w:pPr>
              <w:jc w:val="left"/>
            </w:pPr>
            <w:r>
              <w:rPr>
                <w:color w:val="262626"/>
                <w:sz w:val="19"/>
                <w:szCs w:val="19"/>
              </w:rPr>
              <w:t xml:space="preserve">Langkah 3 — Konseling &amp; Informed Consent: konseling nondirektif tentang seluruh opsi (melanjutkan kehamilan, adopsi, terminasi sesuai indikasi sah), didokumentasikan tertulis.</w:t>
            </w:r>
          </w:p>
        </w:tc>
      </w:tr>
    </w:tbl>
    <w:p>
      <w:pPr>
        <w:spacing w:after="40" w:before="40"/>
        <w:jc w:val="center"/>
      </w:pPr>
      <w:r>
        <w:rPr>
          <w:b/>
          <w:bCs/>
          <w:color w:val="7A1F3D"/>
          <w:sz w:val="22"/>
          <w:szCs w:val="22"/>
        </w:rPr>
        <w:t xml:space="preserve">▼</w:t>
      </w:r>
    </w:p>
    <w:tbl>
      <w:tblPr>
        <w:tblW w:type="pct" w:w="100%"/>
        <w:tblBorders>
          <w:top w:val="single" w:color="7A1F3D" w:sz="4"/>
          <w:left w:val="single" w:color="7A1F3D" w:sz="4"/>
          <w:bottom w:val="single" w:color="7A1F3D" w:sz="4"/>
          <w:right w:val="single" w:color="7A1F3D" w:sz="4"/>
          <w:insideH w:val="single" w:color="auto" w:sz="4"/>
          <w:insideV w:val="single" w:color="auto" w:sz="4"/>
        </w:tblBorders>
      </w:tblPr>
      <w:tblGrid>
        <w:gridCol w:w="100"/>
      </w:tblGrid>
      <w:tr>
        <w:tc>
          <w:tcPr>
            <w:shd w:fill="FBF3F5" w:color="auto" w:val="clear"/>
            <w:tcMar>
              <w:top w:type="dxa" w:w="120"/>
              <w:left w:type="dxa" w:w="200"/>
              <w:bottom w:type="dxa" w:w="120"/>
              <w:right w:type="dxa" w:w="200"/>
            </w:tcMar>
            <w:vAlign w:val="center"/>
          </w:tcPr>
          <w:p>
            <w:pPr>
              <w:jc w:val="left"/>
            </w:pPr>
            <w:r>
              <w:rPr>
                <w:color w:val="262626"/>
                <w:sz w:val="19"/>
                <w:szCs w:val="19"/>
              </w:rPr>
              <w:t xml:space="preserve">Langkah 4 — Tindakan Medis Definitif: dilakukan sesuai kewenangan klinis dan koridor hukum yang berlaku, dengan dosis dan prosedur sesuai standar.</w:t>
            </w:r>
          </w:p>
        </w:tc>
      </w:tr>
    </w:tbl>
    <w:p>
      <w:pPr>
        <w:spacing w:after="40" w:before="40"/>
        <w:jc w:val="center"/>
      </w:pPr>
      <w:r>
        <w:rPr>
          <w:b/>
          <w:bCs/>
          <w:color w:val="7A1F3D"/>
          <w:sz w:val="22"/>
          <w:szCs w:val="22"/>
        </w:rPr>
        <w:t xml:space="preserve">▼</w:t>
      </w:r>
    </w:p>
    <w:tbl>
      <w:tblPr>
        <w:tblW w:type="pct" w:w="100%"/>
        <w:tblBorders>
          <w:top w:val="single" w:color="7A1F3D" w:sz="4"/>
          <w:left w:val="single" w:color="7A1F3D" w:sz="4"/>
          <w:bottom w:val="single" w:color="7A1F3D" w:sz="4"/>
          <w:right w:val="single" w:color="7A1F3D" w:sz="4"/>
          <w:insideH w:val="single" w:color="auto" w:sz="4"/>
          <w:insideV w:val="single" w:color="auto" w:sz="4"/>
        </w:tblBorders>
      </w:tblPr>
      <w:tblGrid>
        <w:gridCol w:w="100"/>
      </w:tblGrid>
      <w:tr>
        <w:tc>
          <w:tcPr>
            <w:shd w:fill="FBF3F5" w:color="auto" w:val="clear"/>
            <w:tcMar>
              <w:top w:type="dxa" w:w="120"/>
              <w:left w:type="dxa" w:w="200"/>
              <w:bottom w:type="dxa" w:w="120"/>
              <w:right w:type="dxa" w:w="200"/>
            </w:tcMar>
            <w:vAlign w:val="center"/>
          </w:tcPr>
          <w:p>
            <w:pPr>
              <w:jc w:val="left"/>
            </w:pPr>
            <w:r>
              <w:rPr>
                <w:color w:val="262626"/>
                <w:sz w:val="19"/>
                <w:szCs w:val="19"/>
              </w:rPr>
              <w:t xml:space="preserve">Langkah 5 — Dokumentasi &amp; Pelaporan: rekam medis lengkap, berkas visum (bila relevan), pelaporan internal ke Komite Etik/Komite Mutu, dan pelaporan eksternal (Komite KIPI Kab/Kota-Provinsi, Dinkes) sesuai regulasi.</w:t>
            </w:r>
          </w:p>
        </w:tc>
      </w:tr>
    </w:tbl>
    <w:p>
      <w:pPr>
        <w:spacing w:after="40" w:before="40"/>
        <w:jc w:val="center"/>
      </w:pPr>
      <w:r>
        <w:rPr>
          <w:b/>
          <w:bCs/>
          <w:color w:val="7A1F3D"/>
          <w:sz w:val="22"/>
          <w:szCs w:val="22"/>
        </w:rPr>
        <w:t xml:space="preserve">▼</w:t>
      </w:r>
    </w:p>
    <w:tbl>
      <w:tblPr>
        <w:tblW w:type="pct" w:w="100%"/>
        <w:tblBorders>
          <w:top w:val="single" w:color="7A1F3D" w:sz="4"/>
          <w:left w:val="single" w:color="7A1F3D" w:sz="4"/>
          <w:bottom w:val="single" w:color="7A1F3D" w:sz="4"/>
          <w:right w:val="single" w:color="7A1F3D" w:sz="4"/>
          <w:insideH w:val="single" w:color="auto" w:sz="4"/>
          <w:insideV w:val="single" w:color="auto" w:sz="4"/>
        </w:tblBorders>
      </w:tblPr>
      <w:tblGrid>
        <w:gridCol w:w="100"/>
      </w:tblGrid>
      <w:tr>
        <w:tc>
          <w:tcPr>
            <w:shd w:fill="FBF3F5" w:color="auto" w:val="clear"/>
            <w:tcMar>
              <w:top w:type="dxa" w:w="120"/>
              <w:left w:type="dxa" w:w="200"/>
              <w:bottom w:type="dxa" w:w="120"/>
              <w:right w:type="dxa" w:w="200"/>
            </w:tcMar>
            <w:vAlign w:val="center"/>
          </w:tcPr>
          <w:p>
            <w:pPr>
              <w:jc w:val="left"/>
            </w:pPr>
            <w:r>
              <w:rPr>
                <w:color w:val="262626"/>
                <w:sz w:val="19"/>
                <w:szCs w:val="19"/>
              </w:rPr>
              <w:t xml:space="preserve">Langkah 6 — Tindak Lanjut: pemantauan klinis, pendampingan psikososial berkelanjutan, dan evaluasi kepatuhan etikolegal pada audit berikutnya.</w:t>
            </w:r>
          </w:p>
        </w:tc>
      </w:tr>
    </w:tbl>
    <w:p>
      <w:pPr>
        <w:spacing w:before="240"/>
      </w:pPr>
    </w:p>
    <w:p>
      <w:pPr>
        <w:shd w:fill="F4E3E9" w:color="auto" w:val="clear"/>
        <w:spacing w:after="100" w:before="200"/>
      </w:pPr>
      <w:r>
        <w:rPr>
          <w:rFonts w:ascii="Calibri" w:cs="Calibri" w:eastAsia="Calibri" w:hAnsi="Calibri"/>
          <w:b/>
          <w:bCs/>
          <w:color w:val="7A1F3D"/>
          <w:sz w:val="21"/>
          <w:szCs w:val="21"/>
        </w:rPr>
        <w:t xml:space="preserve">8.3 Tata Laksana Medikamentosa (bila indikasi terminasi kehamilan sah secara hukum)</w:t>
      </w:r>
    </w:p>
    <w:p>
      <w:pPr>
        <w:spacing w:after="100"/>
      </w:pPr>
      <w:r>
        <w:rPr>
          <w:color w:val="262626"/>
          <w:sz w:val="20"/>
          <w:szCs w:val="20"/>
        </w:rPr>
        <w:t xml:space="preserve">Regimen berikut hanya diterapkan setelah Langkah 1–3 pada alur di atas terpenuhi dan indikasi hukum/medis terkonfirmasi tertulis:</w:t>
      </w:r>
    </w:p>
    <w:p>
      <w:pPr>
        <w:pStyle w:val="ListParagraph"/>
        <w:numPr>
          <w:ilvl w:val="0"/>
          <w:numId w:val="2"/>
        </w:numPr>
        <w:spacing w:after="60"/>
      </w:pPr>
      <w:r>
        <w:rPr>
          <w:b/>
          <w:bCs/>
          <w:color w:val="262626"/>
          <w:sz w:val="20"/>
          <w:szCs w:val="20"/>
        </w:rPr>
        <w:t xml:space="preserve">Regimen medikamentosa (usia kehamilan awal, sesuai rekomendasi WHO): </w:t>
      </w:r>
      <w:r>
        <w:rPr>
          <w:color w:val="262626"/>
          <w:sz w:val="20"/>
          <w:szCs w:val="20"/>
        </w:rPr>
        <w:t xml:space="preserve">Mifepristone 200 mg oral dosis tunggal, dilanjutkan Misoprostol 400–800 mcg (rute sublingual/bukal/vaginal sesuai usia kehamilan) 24–48 jam kemudian. Bila mifepristone tidak tersedia, gunakan Misoprostol saja 800 mcg per vaginam/sublingual, dapat diulang setiap 3 jam maksimal 3 dosis sesuai respons klinis.</w:t>
      </w:r>
    </w:p>
    <w:p>
      <w:pPr>
        <w:pStyle w:val="ListParagraph"/>
        <w:numPr>
          <w:ilvl w:val="0"/>
          <w:numId w:val="2"/>
        </w:numPr>
        <w:spacing w:after="60"/>
      </w:pPr>
      <w:r>
        <w:rPr>
          <w:b/>
          <w:bCs/>
          <w:color w:val="262626"/>
          <w:sz w:val="20"/>
          <w:szCs w:val="20"/>
        </w:rPr>
        <w:t xml:space="preserve">Kontraindikasi utama: </w:t>
      </w:r>
      <w:r>
        <w:rPr>
          <w:color w:val="262626"/>
          <w:sz w:val="20"/>
          <w:szCs w:val="20"/>
        </w:rPr>
        <w:t xml:space="preserve">gangguan koagulasi berat, insufisiensi adrenal kronik, kecurigaan kehamilan ektopik yang belum disingkirkan, alergi terhadap komponen obat, dan porfiria herediter.</w:t>
      </w:r>
    </w:p>
    <w:p>
      <w:pPr>
        <w:pStyle w:val="ListParagraph"/>
        <w:numPr>
          <w:ilvl w:val="0"/>
          <w:numId w:val="2"/>
        </w:numPr>
        <w:spacing w:after="60"/>
      </w:pPr>
      <w:r>
        <w:rPr>
          <w:b/>
          <w:bCs/>
          <w:color w:val="262626"/>
          <w:sz w:val="20"/>
          <w:szCs w:val="20"/>
        </w:rPr>
        <w:t xml:space="preserve">Pemantauan: </w:t>
      </w:r>
      <w:r>
        <w:rPr>
          <w:color w:val="262626"/>
          <w:sz w:val="20"/>
          <w:szCs w:val="20"/>
        </w:rPr>
        <w:t xml:space="preserve">observasi perdarahan, nyeri, tanda infeksi, serta konfirmasi keberhasilan evakuasi via USG/klinis pada kunjungan ulang 1–2 minggu.</w:t>
      </w:r>
    </w:p>
    <w:p>
      <w:pPr>
        <w:pStyle w:val="ListParagraph"/>
        <w:numPr>
          <w:ilvl w:val="0"/>
          <w:numId w:val="2"/>
        </w:numPr>
        <w:spacing w:after="60"/>
      </w:pPr>
      <w:r>
        <w:rPr>
          <w:b/>
          <w:bCs/>
          <w:color w:val="262626"/>
          <w:sz w:val="20"/>
          <w:szCs w:val="20"/>
        </w:rPr>
        <w:t xml:space="preserve">Tata laksana KIPI: </w:t>
      </w:r>
      <w:r>
        <w:rPr>
          <w:color w:val="262626"/>
          <w:sz w:val="20"/>
          <w:szCs w:val="20"/>
        </w:rPr>
        <w:t xml:space="preserve">sesuai derajat keparahan: ringan (simtomatik, edukasi, observasi mandiri), sedang-berat (rawat inap, tata laksana anafilaksis/syok bila ada, pelaporan wajib ke Komite KIPI Kabupaten/Kota atau Komite KIPI Provinsi sesuai kewenangan, sebagaimana diatur Permenkes No. 3 Tahun 2026 tentang Penanggulangan Penyakit Pasal 18).</w:t>
      </w:r>
    </w:p>
    <w:p>
      <w:pPr>
        <w:pStyle w:val="ListParagraph"/>
        <w:numPr>
          <w:ilvl w:val="0"/>
          <w:numId w:val="2"/>
        </w:numPr>
        <w:spacing w:after="60"/>
      </w:pPr>
      <w:r>
        <w:rPr>
          <w:b/>
          <w:bCs/>
          <w:color w:val="262626"/>
          <w:sz w:val="20"/>
          <w:szCs w:val="20"/>
        </w:rPr>
        <w:t xml:space="preserve">Tata laksana dugaan malpraktik: </w:t>
      </w:r>
      <w:r>
        <w:rPr>
          <w:color w:val="262626"/>
          <w:sz w:val="20"/>
          <w:szCs w:val="20"/>
        </w:rPr>
        <w:t xml:space="preserve">tidak ada terapi farmakologis; tata laksana berupa telaah rekam medis terstruktur, mediasi melalui Komite Etik &amp; Hukum RS, serta komunikasi terbuka (open disclosure) kepada pasien/keluarga sesuai prinsip non-maleficence.</w:t>
      </w:r>
    </w:p>
    <w:p>
      <w:pPr>
        <w:spacing w:before="240"/>
      </w:pPr>
    </w:p>
    <w:p>
      <w:pPr>
        <w:shd w:fill="F4E3E9" w:color="auto" w:val="clear"/>
        <w:spacing w:after="100" w:before="200"/>
      </w:pPr>
      <w:r>
        <w:rPr>
          <w:rFonts w:ascii="Calibri" w:cs="Calibri" w:eastAsia="Calibri" w:hAnsi="Calibri"/>
          <w:b/>
          <w:bCs/>
          <w:color w:val="7A1F3D"/>
          <w:sz w:val="21"/>
          <w:szCs w:val="21"/>
        </w:rPr>
        <w:t xml:space="preserve">8.4 Keselarasan Standar Kompetensi Nasional dan Internasional (Subspesialis Obginsos)</w:t>
      </w:r>
    </w:p>
    <w:p>
      <w:pPr>
        <w:spacing w:after="100"/>
      </w:pPr>
      <w:r>
        <w:rPr>
          <w:color w:val="262626"/>
          <w:sz w:val="20"/>
          <w:szCs w:val="20"/>
        </w:rPr>
        <w:t xml:space="preserve">PPK ini selaras dengan Unit Kompetensi ke-15 "Kasus etik medikolegal" dalam Keputusan Ketua Konsil Kesehatan Indonesia Nomor HK.01.02/KKI/1318/2026 tentang Standar Kompetensi Dokter Spesialis dan Subspesialis Bidang Obstetri dan Ginekologi, yang mensyaratkan subspesialis Obstetri Ginekologi Sosial mampu: mengidentifikasi kasus berdimensi etik dan hukum (aborsi, KDRT, perkosaan, KIPI, malpraktik); melakukan penilaian etik dan legal sesuai regulasi nasional; mendokumentasikan secara lengkap untuk kebutuhan visum/legal; memberikan konseling nondirektif sambil menjaga kerahasiaan dan keselamatan pasien; serta berkolaborasi dengan tim etik rumah sakit, kepolisian, lembaga hukum, dan manajemen kendali mutu, dengan target volume minimal dua kasus etik medikolegal ditangani/didiskusikan per periode kompetensi.</w:t>
      </w:r>
    </w:p>
    <w:p>
      <w:pPr>
        <w:spacing w:after="100"/>
      </w:pPr>
      <w:r>
        <w:rPr>
          <w:color w:val="262626"/>
          <w:sz w:val="20"/>
          <w:szCs w:val="20"/>
        </w:rPr>
        <w:t xml:space="preserve">Pada level internasional, kompetensi ini selaras dengan kerangka rekomendasi hukum dan kebijakan (law and policy recommendations) dalam WHO Abortion care guideline (2022), yang menekankan penghapusan hambatan regulasi terhadap akses layanan aborsi berkualitas, konseling nondirektif, dan penghormatan otonomi pasien; serta dengan kerangka kerja FIGO Committee for the Ethical Aspects of Human Reproduction and Women's Health, yang secara berkala menerbitkan rekomendasi etik terkait pelayanan reproduksi bagi organisasi anggota di seluruh dunia, termasuk Indonesia melalui Perkumpulan Obstetri dan Ginekologi Indonesia (POGI).</w:t>
      </w:r>
    </w:p>
    <w:p>
      <w:pPr>
        <w:pBdr>
          <w:bottom w:val="single" w:color="7A1F3D" w:sz="2"/>
        </w:pBdr>
        <w:shd w:fill="7A1F3D" w:color="auto" w:val="clear"/>
        <w:spacing w:after="0" w:before="320"/>
      </w:pPr>
      <w:r>
        <w:rPr>
          <w:rFonts w:ascii="Calibri" w:cs="Calibri" w:eastAsia="Calibri" w:hAnsi="Calibri"/>
          <w:b/>
          <w:bCs/>
          <w:color w:val="FFFFFF"/>
          <w:sz w:val="24"/>
          <w:szCs w:val="24"/>
        </w:rPr>
        <w:t xml:space="preserve">9.  Edukasi</w:t>
      </w:r>
    </w:p>
    <w:p>
      <w:pPr>
        <w:pStyle w:val="ListParagraph"/>
        <w:numPr>
          <w:ilvl w:val="0"/>
          <w:numId w:val="2"/>
        </w:numPr>
        <w:spacing w:after="60"/>
      </w:pPr>
      <w:r>
        <w:rPr>
          <w:color w:val="262626"/>
          <w:sz w:val="20"/>
          <w:szCs w:val="20"/>
        </w:rPr>
        <w:t xml:space="preserve">Jelaskan seluruh opsi yang tersedia secara nondirektif, tanpa tekanan atau penghakiman, dalam bahasa yang mudah dipahami.</w:t>
      </w:r>
    </w:p>
    <w:p>
      <w:pPr>
        <w:pStyle w:val="ListParagraph"/>
        <w:numPr>
          <w:ilvl w:val="0"/>
          <w:numId w:val="2"/>
        </w:numPr>
        <w:spacing w:after="60"/>
      </w:pPr>
      <w:r>
        <w:rPr>
          <w:color w:val="262626"/>
          <w:sz w:val="20"/>
          <w:szCs w:val="20"/>
        </w:rPr>
        <w:t xml:space="preserve">Informasikan hak atas kerahasiaan, pendampingan (psikolog, rohaniwan, pendamping korban dari UPTD PPA/LSM mitra), dan hak menolak/menunda keputusan.</w:t>
      </w:r>
    </w:p>
    <w:p>
      <w:pPr>
        <w:pStyle w:val="ListParagraph"/>
        <w:numPr>
          <w:ilvl w:val="0"/>
          <w:numId w:val="2"/>
        </w:numPr>
        <w:spacing w:after="60"/>
      </w:pPr>
      <w:r>
        <w:rPr>
          <w:color w:val="262626"/>
          <w:sz w:val="20"/>
          <w:szCs w:val="20"/>
        </w:rPr>
        <w:t xml:space="preserve">Edukasi tanda bahaya pascatindakan (demam, perdarahan hebat, nyeri hebat) dan kapan harus kembali ke fasilitas kesehatan.</w:t>
      </w:r>
    </w:p>
    <w:p>
      <w:pPr>
        <w:pStyle w:val="ListParagraph"/>
        <w:numPr>
          <w:ilvl w:val="0"/>
          <w:numId w:val="2"/>
        </w:numPr>
        <w:spacing w:after="60"/>
      </w:pPr>
      <w:r>
        <w:rPr>
          <w:color w:val="262626"/>
          <w:sz w:val="20"/>
          <w:szCs w:val="20"/>
        </w:rPr>
        <w:t xml:space="preserve">Edukasi kontrasepsi pascatindakan untuk mencegah KTD berulang, disesuaikan preferensi dan kondisi klinis pasien.</w:t>
      </w:r>
    </w:p>
    <w:p>
      <w:pPr>
        <w:pStyle w:val="ListParagraph"/>
        <w:numPr>
          <w:ilvl w:val="0"/>
          <w:numId w:val="2"/>
        </w:numPr>
        <w:spacing w:after="60"/>
      </w:pPr>
      <w:r>
        <w:rPr>
          <w:color w:val="262626"/>
          <w:sz w:val="20"/>
          <w:szCs w:val="20"/>
        </w:rPr>
        <w:t xml:space="preserve">Edukasi keluarga/pendamping (dengan persetujuan pasien) tentang pentingnya dukungan psikososial berkelanjutan.</w:t>
      </w:r>
    </w:p>
    <w:p>
      <w:pPr>
        <w:pBdr>
          <w:bottom w:val="single" w:color="7A1F3D" w:sz="2"/>
        </w:pBdr>
        <w:shd w:fill="7A1F3D" w:color="auto" w:val="clear"/>
        <w:spacing w:after="0" w:before="320"/>
      </w:pPr>
      <w:r>
        <w:rPr>
          <w:rFonts w:ascii="Calibri" w:cs="Calibri" w:eastAsia="Calibri" w:hAnsi="Calibri"/>
          <w:b/>
          <w:bCs/>
          <w:color w:val="FFFFFF"/>
          <w:sz w:val="24"/>
          <w:szCs w:val="24"/>
        </w:rPr>
        <w:t xml:space="preserve">10.  Prognosis</w:t>
      </w:r>
    </w:p>
    <w:p>
      <w:pPr>
        <w:pStyle w:val="ListParagraph"/>
        <w:numPr>
          <w:ilvl w:val="0"/>
          <w:numId w:val="2"/>
        </w:numPr>
        <w:spacing w:after="60"/>
      </w:pPr>
      <w:r>
        <w:rPr>
          <w:b/>
          <w:bCs/>
          <w:color w:val="262626"/>
          <w:sz w:val="20"/>
          <w:szCs w:val="20"/>
        </w:rPr>
        <w:t xml:space="preserve">Ad vitam: </w:t>
      </w:r>
      <w:r>
        <w:rPr>
          <w:color w:val="262626"/>
          <w:sz w:val="20"/>
          <w:szCs w:val="20"/>
        </w:rPr>
        <w:t xml:space="preserve">umumnya baik (dubia ad bonam) bila tata laksana medis dilakukan sesuai standar dan tepat waktu.</w:t>
      </w:r>
    </w:p>
    <w:p>
      <w:pPr>
        <w:pStyle w:val="ListParagraph"/>
        <w:numPr>
          <w:ilvl w:val="0"/>
          <w:numId w:val="2"/>
        </w:numPr>
        <w:spacing w:after="60"/>
      </w:pPr>
      <w:r>
        <w:rPr>
          <w:b/>
          <w:bCs/>
          <w:color w:val="262626"/>
          <w:sz w:val="20"/>
          <w:szCs w:val="20"/>
        </w:rPr>
        <w:t xml:space="preserve">Ad functionam: </w:t>
      </w:r>
      <w:r>
        <w:rPr>
          <w:color w:val="262626"/>
          <w:sz w:val="20"/>
          <w:szCs w:val="20"/>
        </w:rPr>
        <w:t xml:space="preserve">baik pada mayoritas kasus; risiko komplikasi reproduksi jangka panjang rendah bila prosedur sesuai standar dan tanpa penyulit infeksi.</w:t>
      </w:r>
    </w:p>
    <w:p>
      <w:pPr>
        <w:pStyle w:val="ListParagraph"/>
        <w:numPr>
          <w:ilvl w:val="0"/>
          <w:numId w:val="2"/>
        </w:numPr>
        <w:spacing w:after="60"/>
      </w:pPr>
      <w:r>
        <w:rPr>
          <w:b/>
          <w:bCs/>
          <w:color w:val="262626"/>
          <w:sz w:val="20"/>
          <w:szCs w:val="20"/>
        </w:rPr>
        <w:t xml:space="preserve">Ad sanationam: </w:t>
      </w:r>
      <w:r>
        <w:rPr>
          <w:color w:val="262626"/>
          <w:sz w:val="20"/>
          <w:szCs w:val="20"/>
        </w:rPr>
        <w:t xml:space="preserve">dubia; sangat bergantung pada keberlanjutan pendampingan psikososial, terutama pada korban kekerasan seksual dan kasus dengan potensi trauma berkepanjangan.</w:t>
      </w:r>
    </w:p>
    <w:p>
      <w:pPr>
        <w:spacing w:after="100"/>
      </w:pPr>
      <w:r>
        <w:rPr>
          <w:color w:val="262626"/>
          <w:sz w:val="20"/>
          <w:szCs w:val="20"/>
        </w:rPr>
        <w:t xml:space="preserve">Luaran medikolegal (ad legalitatem) bergantung pada kelengkapan dokumentasi telaah etik, kepatuhan regulasi, dan komunikasi terbuka dengan pasien/keluarga.</w:t>
      </w:r>
    </w:p>
    <w:p>
      <w:pPr>
        <w:pBdr>
          <w:bottom w:val="single" w:color="7A1F3D" w:sz="2"/>
        </w:pBdr>
        <w:shd w:fill="7A1F3D" w:color="auto" w:val="clear"/>
        <w:spacing w:after="0" w:before="320"/>
      </w:pPr>
      <w:r>
        <w:rPr>
          <w:rFonts w:ascii="Calibri" w:cs="Calibri" w:eastAsia="Calibri" w:hAnsi="Calibri"/>
          <w:b/>
          <w:bCs/>
          <w:color w:val="FFFFFF"/>
          <w:sz w:val="24"/>
          <w:szCs w:val="24"/>
        </w:rPr>
        <w:t xml:space="preserve">11.  Tingkat Evidens</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600"/>
        <w:gridCol w:w="2200"/>
        <w:gridCol w:w="3200"/>
      </w:tblGrid>
      <w:tr>
        <w:trPr>
          <w:tblHeader/>
        </w:trPr>
        <w:tc>
          <w:tcPr>
            <w:tcW w:type="dxa" w:w="3600"/>
            <w:shd w:fill="7A1F3D" w:color="auto" w:val="clear"/>
            <w:tcMar>
              <w:top w:type="dxa" w:w="100"/>
              <w:left w:type="dxa" w:w="120"/>
              <w:bottom w:type="dxa" w:w="100"/>
              <w:right w:type="dxa" w:w="120"/>
            </w:tcMar>
            <w:vAlign w:val="center"/>
          </w:tcPr>
          <w:p>
            <w:r>
              <w:rPr>
                <w:b/>
                <w:bCs/>
                <w:color w:val="FFFFFF"/>
                <w:sz w:val="18"/>
                <w:szCs w:val="18"/>
              </w:rPr>
              <w:t xml:space="preserve">Komponen</w:t>
            </w:r>
          </w:p>
        </w:tc>
        <w:tc>
          <w:tcPr>
            <w:tcW w:type="dxa" w:w="2200"/>
            <w:shd w:fill="7A1F3D" w:color="auto" w:val="clear"/>
            <w:tcMar>
              <w:top w:type="dxa" w:w="100"/>
              <w:left w:type="dxa" w:w="120"/>
              <w:bottom w:type="dxa" w:w="100"/>
              <w:right w:type="dxa" w:w="120"/>
            </w:tcMar>
            <w:vAlign w:val="center"/>
          </w:tcPr>
          <w:p>
            <w:r>
              <w:rPr>
                <w:b/>
                <w:bCs/>
                <w:color w:val="FFFFFF"/>
                <w:sz w:val="18"/>
                <w:szCs w:val="18"/>
              </w:rPr>
              <w:t xml:space="preserve">Tingkat Evidens</w:t>
            </w:r>
          </w:p>
        </w:tc>
        <w:tc>
          <w:tcPr>
            <w:tcW w:type="dxa" w:w="3200"/>
            <w:shd w:fill="7A1F3D" w:color="auto" w:val="clear"/>
            <w:tcMar>
              <w:top w:type="dxa" w:w="100"/>
              <w:left w:type="dxa" w:w="120"/>
              <w:bottom w:type="dxa" w:w="100"/>
              <w:right w:type="dxa" w:w="120"/>
            </w:tcMar>
            <w:vAlign w:val="center"/>
          </w:tcPr>
          <w:p>
            <w:r>
              <w:rPr>
                <w:b/>
                <w:bCs/>
                <w:color w:val="FFFFFF"/>
                <w:sz w:val="18"/>
                <w:szCs w:val="18"/>
              </w:rPr>
              <w:t xml:space="preserve">Sumber Rujukan Utama</w:t>
            </w:r>
          </w:p>
        </w:tc>
      </w:tr>
      <w:tr>
        <w:tc>
          <w:tcPr>
            <w:tcW w:type="dxa" w:w="3600"/>
            <w:shd w:fill="FFFFFF" w:color="auto" w:val="clear"/>
            <w:tcMar>
              <w:top w:type="dxa" w:w="90"/>
              <w:left w:type="dxa" w:w="120"/>
              <w:bottom w:type="dxa" w:w="90"/>
              <w:right w:type="dxa" w:w="120"/>
            </w:tcMar>
          </w:tcPr>
          <w:p>
            <w:r>
              <w:rPr>
                <w:color w:val="262626"/>
                <w:sz w:val="18"/>
                <w:szCs w:val="18"/>
              </w:rPr>
              <w:t xml:space="preserve">Indikasi &amp; regimen medikamentosa terminasi kehamilan</w:t>
            </w:r>
          </w:p>
        </w:tc>
        <w:tc>
          <w:tcPr>
            <w:tcW w:type="dxa" w:w="2200"/>
            <w:shd w:fill="FFFFFF" w:color="auto" w:val="clear"/>
            <w:tcMar>
              <w:top w:type="dxa" w:w="90"/>
              <w:left w:type="dxa" w:w="120"/>
              <w:bottom w:type="dxa" w:w="90"/>
              <w:right w:type="dxa" w:w="120"/>
            </w:tcMar>
          </w:tcPr>
          <w:p>
            <w:r>
              <w:rPr>
                <w:color w:val="262626"/>
                <w:sz w:val="18"/>
                <w:szCs w:val="18"/>
              </w:rPr>
              <w:t xml:space="preserve">I</w:t>
            </w:r>
          </w:p>
        </w:tc>
        <w:tc>
          <w:tcPr>
            <w:tcW w:type="dxa" w:w="3200"/>
            <w:shd w:fill="FFFFFF" w:color="auto" w:val="clear"/>
            <w:tcMar>
              <w:top w:type="dxa" w:w="90"/>
              <w:left w:type="dxa" w:w="120"/>
              <w:bottom w:type="dxa" w:w="90"/>
              <w:right w:type="dxa" w:w="120"/>
            </w:tcMar>
          </w:tcPr>
          <w:p>
            <w:r>
              <w:rPr>
                <w:color w:val="262626"/>
                <w:sz w:val="18"/>
                <w:szCs w:val="18"/>
              </w:rPr>
              <w:t xml:space="preserve">WHO, Abortion care guideline (Geneva, 2022)</w:t>
            </w:r>
          </w:p>
        </w:tc>
      </w:tr>
      <w:tr>
        <w:tc>
          <w:tcPr>
            <w:tcW w:type="dxa" w:w="3600"/>
            <w:shd w:fill="F7F1F3" w:color="auto" w:val="clear"/>
            <w:tcMar>
              <w:top w:type="dxa" w:w="90"/>
              <w:left w:type="dxa" w:w="120"/>
              <w:bottom w:type="dxa" w:w="90"/>
              <w:right w:type="dxa" w:w="120"/>
            </w:tcMar>
          </w:tcPr>
          <w:p>
            <w:r>
              <w:rPr>
                <w:color w:val="262626"/>
                <w:sz w:val="18"/>
                <w:szCs w:val="18"/>
              </w:rPr>
              <w:t xml:space="preserve">Algoritma kausalitas KIPI</w:t>
            </w:r>
          </w:p>
        </w:tc>
        <w:tc>
          <w:tcPr>
            <w:tcW w:type="dxa" w:w="2200"/>
            <w:shd w:fill="F7F1F3" w:color="auto" w:val="clear"/>
            <w:tcMar>
              <w:top w:type="dxa" w:w="90"/>
              <w:left w:type="dxa" w:w="120"/>
              <w:bottom w:type="dxa" w:w="90"/>
              <w:right w:type="dxa" w:w="120"/>
            </w:tcMar>
          </w:tcPr>
          <w:p>
            <w:r>
              <w:rPr>
                <w:color w:val="262626"/>
                <w:sz w:val="18"/>
                <w:szCs w:val="18"/>
              </w:rPr>
              <w:t xml:space="preserve">II-2</w:t>
            </w:r>
          </w:p>
        </w:tc>
        <w:tc>
          <w:tcPr>
            <w:tcW w:type="dxa" w:w="3200"/>
            <w:shd w:fill="F7F1F3" w:color="auto" w:val="clear"/>
            <w:tcMar>
              <w:top w:type="dxa" w:w="90"/>
              <w:left w:type="dxa" w:w="120"/>
              <w:bottom w:type="dxa" w:w="90"/>
              <w:right w:type="dxa" w:w="120"/>
            </w:tcMar>
          </w:tcPr>
          <w:p>
            <w:r>
              <w:rPr>
                <w:color w:val="262626"/>
                <w:sz w:val="18"/>
                <w:szCs w:val="18"/>
              </w:rPr>
              <w:t xml:space="preserve">WHO, Causality Assessment of an AEFI: User Manual</w:t>
            </w:r>
          </w:p>
        </w:tc>
      </w:tr>
      <w:tr>
        <w:tc>
          <w:tcPr>
            <w:tcW w:type="dxa" w:w="3600"/>
            <w:shd w:fill="FFFFFF" w:color="auto" w:val="clear"/>
            <w:tcMar>
              <w:top w:type="dxa" w:w="90"/>
              <w:left w:type="dxa" w:w="120"/>
              <w:bottom w:type="dxa" w:w="90"/>
              <w:right w:type="dxa" w:w="120"/>
            </w:tcMar>
          </w:tcPr>
          <w:p>
            <w:r>
              <w:rPr>
                <w:color w:val="262626"/>
                <w:sz w:val="18"/>
                <w:szCs w:val="18"/>
              </w:rPr>
              <w:t xml:space="preserve">Pendekatan 4 kaidah dasar bioetik</w:t>
            </w:r>
          </w:p>
        </w:tc>
        <w:tc>
          <w:tcPr>
            <w:tcW w:type="dxa" w:w="2200"/>
            <w:shd w:fill="FFFFFF" w:color="auto" w:val="clear"/>
            <w:tcMar>
              <w:top w:type="dxa" w:w="90"/>
              <w:left w:type="dxa" w:w="120"/>
              <w:bottom w:type="dxa" w:w="90"/>
              <w:right w:type="dxa" w:w="120"/>
            </w:tcMar>
          </w:tcPr>
          <w:p>
            <w:r>
              <w:rPr>
                <w:color w:val="262626"/>
                <w:sz w:val="18"/>
                <w:szCs w:val="18"/>
              </w:rPr>
              <w:t xml:space="preserve">III (konsensus pakar)</w:t>
            </w:r>
          </w:p>
        </w:tc>
        <w:tc>
          <w:tcPr>
            <w:tcW w:type="dxa" w:w="3200"/>
            <w:shd w:fill="FFFFFF" w:color="auto" w:val="clear"/>
            <w:tcMar>
              <w:top w:type="dxa" w:w="90"/>
              <w:left w:type="dxa" w:w="120"/>
              <w:bottom w:type="dxa" w:w="90"/>
              <w:right w:type="dxa" w:w="120"/>
            </w:tcMar>
          </w:tcPr>
          <w:p>
            <w:r>
              <w:rPr>
                <w:color w:val="262626"/>
                <w:sz w:val="18"/>
                <w:szCs w:val="18"/>
              </w:rPr>
              <w:t xml:space="preserve">FIGO Committee for the Ethical Aspects of Human Reproduction and Women's Health; KODEKI 2012</w:t>
            </w:r>
          </w:p>
        </w:tc>
      </w:tr>
      <w:tr>
        <w:tc>
          <w:tcPr>
            <w:tcW w:type="dxa" w:w="3600"/>
            <w:shd w:fill="F7F1F3" w:color="auto" w:val="clear"/>
            <w:tcMar>
              <w:top w:type="dxa" w:w="90"/>
              <w:left w:type="dxa" w:w="120"/>
              <w:bottom w:type="dxa" w:w="90"/>
              <w:right w:type="dxa" w:w="120"/>
            </w:tcMar>
          </w:tcPr>
          <w:p>
            <w:r>
              <w:rPr>
                <w:color w:val="262626"/>
                <w:sz w:val="18"/>
                <w:szCs w:val="18"/>
              </w:rPr>
              <w:t xml:space="preserve">Kerangka hukum nasional aborsi/kekerasan seksual</w:t>
            </w:r>
          </w:p>
        </w:tc>
        <w:tc>
          <w:tcPr>
            <w:tcW w:type="dxa" w:w="2200"/>
            <w:shd w:fill="F7F1F3" w:color="auto" w:val="clear"/>
            <w:tcMar>
              <w:top w:type="dxa" w:w="90"/>
              <w:left w:type="dxa" w:w="120"/>
              <w:bottom w:type="dxa" w:w="90"/>
              <w:right w:type="dxa" w:w="120"/>
            </w:tcMar>
          </w:tcPr>
          <w:p>
            <w:r>
              <w:rPr>
                <w:color w:val="262626"/>
                <w:sz w:val="18"/>
                <w:szCs w:val="18"/>
              </w:rPr>
              <w:t xml:space="preserve">IV (regulasi)</w:t>
            </w:r>
          </w:p>
        </w:tc>
        <w:tc>
          <w:tcPr>
            <w:tcW w:type="dxa" w:w="3200"/>
            <w:shd w:fill="F7F1F3" w:color="auto" w:val="clear"/>
            <w:tcMar>
              <w:top w:type="dxa" w:w="90"/>
              <w:left w:type="dxa" w:w="120"/>
              <w:bottom w:type="dxa" w:w="90"/>
              <w:right w:type="dxa" w:w="120"/>
            </w:tcMar>
          </w:tcPr>
          <w:p>
            <w:r>
              <w:rPr>
                <w:color w:val="262626"/>
                <w:sz w:val="18"/>
                <w:szCs w:val="18"/>
              </w:rPr>
              <w:t xml:space="preserve">UU 17/2023 jo. PP 28/2024; UU 1/2023 KUHP jo. UU 1/2026; UU TPKS 12/2022</w:t>
            </w:r>
          </w:p>
        </w:tc>
      </w:tr>
    </w:tbl>
    <w:p>
      <w:pPr>
        <w:pBdr>
          <w:bottom w:val="single" w:color="7A1F3D" w:sz="2"/>
        </w:pBdr>
        <w:shd w:fill="7A1F3D" w:color="auto" w:val="clear"/>
        <w:spacing w:after="0" w:before="320"/>
      </w:pPr>
      <w:r>
        <w:rPr>
          <w:rFonts w:ascii="Calibri" w:cs="Calibri" w:eastAsia="Calibri" w:hAnsi="Calibri"/>
          <w:b/>
          <w:bCs/>
          <w:color w:val="FFFFFF"/>
          <w:sz w:val="24"/>
          <w:szCs w:val="24"/>
        </w:rPr>
        <w:t xml:space="preserve">12.  Tingkat Rekomendasi</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4000"/>
        <w:gridCol w:w="2000"/>
        <w:gridCol w:w="3000"/>
      </w:tblGrid>
      <w:tr>
        <w:trPr>
          <w:tblHeader/>
        </w:trPr>
        <w:tc>
          <w:tcPr>
            <w:tcW w:type="dxa" w:w="4000"/>
            <w:shd w:fill="7A1F3D" w:color="auto" w:val="clear"/>
            <w:tcMar>
              <w:top w:type="dxa" w:w="100"/>
              <w:left w:type="dxa" w:w="120"/>
              <w:bottom w:type="dxa" w:w="100"/>
              <w:right w:type="dxa" w:w="120"/>
            </w:tcMar>
            <w:vAlign w:val="center"/>
          </w:tcPr>
          <w:p>
            <w:r>
              <w:rPr>
                <w:b/>
                <w:bCs/>
                <w:color w:val="FFFFFF"/>
                <w:sz w:val="18"/>
                <w:szCs w:val="18"/>
              </w:rPr>
              <w:t xml:space="preserve">Komponen</w:t>
            </w:r>
          </w:p>
        </w:tc>
        <w:tc>
          <w:tcPr>
            <w:tcW w:type="dxa" w:w="2000"/>
            <w:shd w:fill="7A1F3D" w:color="auto" w:val="clear"/>
            <w:tcMar>
              <w:top w:type="dxa" w:w="100"/>
              <w:left w:type="dxa" w:w="120"/>
              <w:bottom w:type="dxa" w:w="100"/>
              <w:right w:type="dxa" w:w="120"/>
            </w:tcMar>
            <w:vAlign w:val="center"/>
          </w:tcPr>
          <w:p>
            <w:r>
              <w:rPr>
                <w:b/>
                <w:bCs/>
                <w:color w:val="FFFFFF"/>
                <w:sz w:val="18"/>
                <w:szCs w:val="18"/>
              </w:rPr>
              <w:t xml:space="preserve">Tingkat Rekomendasi</w:t>
            </w:r>
          </w:p>
        </w:tc>
        <w:tc>
          <w:tcPr>
            <w:tcW w:type="dxa" w:w="3000"/>
            <w:shd w:fill="7A1F3D" w:color="auto" w:val="clear"/>
            <w:tcMar>
              <w:top w:type="dxa" w:w="100"/>
              <w:left w:type="dxa" w:w="120"/>
              <w:bottom w:type="dxa" w:w="100"/>
              <w:right w:type="dxa" w:w="120"/>
            </w:tcMar>
            <w:vAlign w:val="center"/>
          </w:tcPr>
          <w:p>
            <w:r>
              <w:rPr>
                <w:b/>
                <w:bCs/>
                <w:color w:val="FFFFFF"/>
                <w:sz w:val="18"/>
                <w:szCs w:val="18"/>
              </w:rPr>
              <w:t xml:space="preserve">Keterangan</w:t>
            </w:r>
          </w:p>
        </w:tc>
      </w:tr>
      <w:tr>
        <w:tc>
          <w:tcPr>
            <w:tcW w:type="dxa" w:w="4000"/>
            <w:shd w:fill="FFFFFF" w:color="auto" w:val="clear"/>
            <w:tcMar>
              <w:top w:type="dxa" w:w="90"/>
              <w:left w:type="dxa" w:w="120"/>
              <w:bottom w:type="dxa" w:w="90"/>
              <w:right w:type="dxa" w:w="120"/>
            </w:tcMar>
          </w:tcPr>
          <w:p>
            <w:r>
              <w:rPr>
                <w:color w:val="262626"/>
                <w:sz w:val="18"/>
                <w:szCs w:val="18"/>
              </w:rPr>
              <w:t xml:space="preserve">Verifikasi indikasi oleh ≥2 dokter spesialis sebelum tindakan</w:t>
            </w:r>
          </w:p>
        </w:tc>
        <w:tc>
          <w:tcPr>
            <w:tcW w:type="dxa" w:w="2000"/>
            <w:shd w:fill="FFFFFF" w:color="auto" w:val="clear"/>
            <w:tcMar>
              <w:top w:type="dxa" w:w="90"/>
              <w:left w:type="dxa" w:w="120"/>
              <w:bottom w:type="dxa" w:w="90"/>
              <w:right w:type="dxa" w:w="120"/>
            </w:tcMar>
          </w:tcPr>
          <w:p>
            <w:r>
              <w:rPr>
                <w:color w:val="262626"/>
                <w:sz w:val="18"/>
                <w:szCs w:val="18"/>
              </w:rPr>
              <w:t xml:space="preserve">A</w:t>
            </w:r>
          </w:p>
        </w:tc>
        <w:tc>
          <w:tcPr>
            <w:tcW w:type="dxa" w:w="3000"/>
            <w:shd w:fill="FFFFFF" w:color="auto" w:val="clear"/>
            <w:tcMar>
              <w:top w:type="dxa" w:w="90"/>
              <w:left w:type="dxa" w:w="120"/>
              <w:bottom w:type="dxa" w:w="90"/>
              <w:right w:type="dxa" w:w="120"/>
            </w:tcMar>
          </w:tcPr>
          <w:p>
            <w:r>
              <w:rPr>
                <w:color w:val="262626"/>
                <w:sz w:val="18"/>
                <w:szCs w:val="18"/>
              </w:rPr>
              <w:t xml:space="preserve">Wajib, mengurangi risiko medikolegal</w:t>
            </w:r>
          </w:p>
        </w:tc>
      </w:tr>
      <w:tr>
        <w:tc>
          <w:tcPr>
            <w:tcW w:type="dxa" w:w="4000"/>
            <w:shd w:fill="F7F1F3" w:color="auto" w:val="clear"/>
            <w:tcMar>
              <w:top w:type="dxa" w:w="90"/>
              <w:left w:type="dxa" w:w="120"/>
              <w:bottom w:type="dxa" w:w="90"/>
              <w:right w:type="dxa" w:w="120"/>
            </w:tcMar>
          </w:tcPr>
          <w:p>
            <w:r>
              <w:rPr>
                <w:color w:val="262626"/>
                <w:sz w:val="18"/>
                <w:szCs w:val="18"/>
              </w:rPr>
              <w:t xml:space="preserve">Regimen mifepristone-misoprostol sesuai WHO</w:t>
            </w:r>
          </w:p>
        </w:tc>
        <w:tc>
          <w:tcPr>
            <w:tcW w:type="dxa" w:w="2000"/>
            <w:shd w:fill="F7F1F3" w:color="auto" w:val="clear"/>
            <w:tcMar>
              <w:top w:type="dxa" w:w="90"/>
              <w:left w:type="dxa" w:w="120"/>
              <w:bottom w:type="dxa" w:w="90"/>
              <w:right w:type="dxa" w:w="120"/>
            </w:tcMar>
          </w:tcPr>
          <w:p>
            <w:r>
              <w:rPr>
                <w:color w:val="262626"/>
                <w:sz w:val="18"/>
                <w:szCs w:val="18"/>
              </w:rPr>
              <w:t xml:space="preserve">A</w:t>
            </w:r>
          </w:p>
        </w:tc>
        <w:tc>
          <w:tcPr>
            <w:tcW w:type="dxa" w:w="3000"/>
            <w:shd w:fill="F7F1F3" w:color="auto" w:val="clear"/>
            <w:tcMar>
              <w:top w:type="dxa" w:w="90"/>
              <w:left w:type="dxa" w:w="120"/>
              <w:bottom w:type="dxa" w:w="90"/>
              <w:right w:type="dxa" w:w="120"/>
            </w:tcMar>
          </w:tcPr>
          <w:p>
            <w:r>
              <w:rPr>
                <w:color w:val="262626"/>
                <w:sz w:val="18"/>
                <w:szCs w:val="18"/>
              </w:rPr>
              <w:t xml:space="preserve">Evidens kuat, efektivitas &amp; keamanan tinggi</w:t>
            </w:r>
          </w:p>
        </w:tc>
      </w:tr>
      <w:tr>
        <w:tc>
          <w:tcPr>
            <w:tcW w:type="dxa" w:w="4000"/>
            <w:shd w:fill="FFFFFF" w:color="auto" w:val="clear"/>
            <w:tcMar>
              <w:top w:type="dxa" w:w="90"/>
              <w:left w:type="dxa" w:w="120"/>
              <w:bottom w:type="dxa" w:w="90"/>
              <w:right w:type="dxa" w:w="120"/>
            </w:tcMar>
          </w:tcPr>
          <w:p>
            <w:r>
              <w:rPr>
                <w:color w:val="262626"/>
                <w:sz w:val="18"/>
                <w:szCs w:val="18"/>
              </w:rPr>
              <w:t xml:space="preserve">Konseling nondirektif terstruktur</w:t>
            </w:r>
          </w:p>
        </w:tc>
        <w:tc>
          <w:tcPr>
            <w:tcW w:type="dxa" w:w="2000"/>
            <w:shd w:fill="FFFFFF" w:color="auto" w:val="clear"/>
            <w:tcMar>
              <w:top w:type="dxa" w:w="90"/>
              <w:left w:type="dxa" w:w="120"/>
              <w:bottom w:type="dxa" w:w="90"/>
              <w:right w:type="dxa" w:w="120"/>
            </w:tcMar>
          </w:tcPr>
          <w:p>
            <w:r>
              <w:rPr>
                <w:color w:val="262626"/>
                <w:sz w:val="18"/>
                <w:szCs w:val="18"/>
              </w:rPr>
              <w:t xml:space="preserve">B</w:t>
            </w:r>
          </w:p>
        </w:tc>
        <w:tc>
          <w:tcPr>
            <w:tcW w:type="dxa" w:w="3000"/>
            <w:shd w:fill="FFFFFF" w:color="auto" w:val="clear"/>
            <w:tcMar>
              <w:top w:type="dxa" w:w="90"/>
              <w:left w:type="dxa" w:w="120"/>
              <w:bottom w:type="dxa" w:w="90"/>
              <w:right w:type="dxa" w:w="120"/>
            </w:tcMar>
          </w:tcPr>
          <w:p>
            <w:r>
              <w:rPr>
                <w:color w:val="262626"/>
                <w:sz w:val="18"/>
                <w:szCs w:val="18"/>
              </w:rPr>
              <w:t xml:space="preserve">Berdasar konsensus etik profesi</w:t>
            </w:r>
          </w:p>
        </w:tc>
      </w:tr>
      <w:tr>
        <w:tc>
          <w:tcPr>
            <w:tcW w:type="dxa" w:w="4000"/>
            <w:shd w:fill="F7F1F3" w:color="auto" w:val="clear"/>
            <w:tcMar>
              <w:top w:type="dxa" w:w="90"/>
              <w:left w:type="dxa" w:w="120"/>
              <w:bottom w:type="dxa" w:w="90"/>
              <w:right w:type="dxa" w:w="120"/>
            </w:tcMar>
          </w:tcPr>
          <w:p>
            <w:r>
              <w:rPr>
                <w:color w:val="262626"/>
                <w:sz w:val="18"/>
                <w:szCs w:val="18"/>
              </w:rPr>
              <w:t xml:space="preserve">Pelaporan KIPI segera ke Komite KIPI Kab/Kota-Provinsi</w:t>
            </w:r>
          </w:p>
        </w:tc>
        <w:tc>
          <w:tcPr>
            <w:tcW w:type="dxa" w:w="2000"/>
            <w:shd w:fill="F7F1F3" w:color="auto" w:val="clear"/>
            <w:tcMar>
              <w:top w:type="dxa" w:w="90"/>
              <w:left w:type="dxa" w:w="120"/>
              <w:bottom w:type="dxa" w:w="90"/>
              <w:right w:type="dxa" w:w="120"/>
            </w:tcMar>
          </w:tcPr>
          <w:p>
            <w:r>
              <w:rPr>
                <w:color w:val="262626"/>
                <w:sz w:val="18"/>
                <w:szCs w:val="18"/>
              </w:rPr>
              <w:t xml:space="preserve">A</w:t>
            </w:r>
          </w:p>
        </w:tc>
        <w:tc>
          <w:tcPr>
            <w:tcW w:type="dxa" w:w="3000"/>
            <w:shd w:fill="F7F1F3" w:color="auto" w:val="clear"/>
            <w:tcMar>
              <w:top w:type="dxa" w:w="90"/>
              <w:left w:type="dxa" w:w="120"/>
              <w:bottom w:type="dxa" w:w="90"/>
              <w:right w:type="dxa" w:w="120"/>
            </w:tcMar>
          </w:tcPr>
          <w:p>
            <w:r>
              <w:rPr>
                <w:color w:val="262626"/>
                <w:sz w:val="18"/>
                <w:szCs w:val="18"/>
              </w:rPr>
              <w:t xml:space="preserve">Wajib sesuai Permenkes 3/2026</w:t>
            </w:r>
          </w:p>
        </w:tc>
      </w:tr>
    </w:tbl>
    <w:p>
      <w:pPr>
        <w:pBdr>
          <w:bottom w:val="single" w:color="7A1F3D" w:sz="2"/>
        </w:pBdr>
        <w:shd w:fill="7A1F3D" w:color="auto" w:val="clear"/>
        <w:spacing w:after="0" w:before="320"/>
      </w:pPr>
      <w:r>
        <w:rPr>
          <w:rFonts w:ascii="Calibri" w:cs="Calibri" w:eastAsia="Calibri" w:hAnsi="Calibri"/>
          <w:b/>
          <w:bCs/>
          <w:color w:val="FFFFFF"/>
          <w:sz w:val="24"/>
          <w:szCs w:val="24"/>
        </w:rPr>
        <w:t xml:space="preserve">13.  Penelaah Kritis</w:t>
      </w:r>
    </w:p>
    <w:p>
      <w:pPr>
        <w:pStyle w:val="ListParagraph"/>
        <w:numPr>
          <w:ilvl w:val="0"/>
          <w:numId w:val="2"/>
        </w:numPr>
        <w:spacing w:after="60"/>
      </w:pPr>
      <w:r>
        <w:rPr>
          <w:color w:val="262626"/>
          <w:sz w:val="20"/>
          <w:szCs w:val="20"/>
        </w:rPr>
        <w:t xml:space="preserve">Ketua/Anggota Komite Etik dan Hukum Rumah Sakit.</w:t>
      </w:r>
    </w:p>
    <w:p>
      <w:pPr>
        <w:pStyle w:val="ListParagraph"/>
        <w:numPr>
          <w:ilvl w:val="0"/>
          <w:numId w:val="2"/>
        </w:numPr>
        <w:spacing w:after="60"/>
      </w:pPr>
      <w:r>
        <w:rPr>
          <w:color w:val="262626"/>
          <w:sz w:val="20"/>
          <w:szCs w:val="20"/>
        </w:rPr>
        <w:t xml:space="preserve">Kepala/Perwakilan KSM Obstetri dan Ginekologi, Subspesialis Obstetri Ginekologi Sosial.</w:t>
      </w:r>
    </w:p>
    <w:p>
      <w:pPr>
        <w:pStyle w:val="ListParagraph"/>
        <w:numPr>
          <w:ilvl w:val="0"/>
          <w:numId w:val="2"/>
        </w:numPr>
        <w:spacing w:after="60"/>
      </w:pPr>
      <w:r>
        <w:rPr>
          <w:color w:val="262626"/>
          <w:sz w:val="20"/>
          <w:szCs w:val="20"/>
        </w:rPr>
        <w:t xml:space="preserve">Bagian Hukum dan Humas Rumah Sakit.</w:t>
      </w:r>
    </w:p>
    <w:p>
      <w:pPr>
        <w:pStyle w:val="ListParagraph"/>
        <w:numPr>
          <w:ilvl w:val="0"/>
          <w:numId w:val="2"/>
        </w:numPr>
        <w:spacing w:after="60"/>
      </w:pPr>
      <w:r>
        <w:rPr>
          <w:color w:val="262626"/>
          <w:sz w:val="20"/>
          <w:szCs w:val="20"/>
        </w:rPr>
        <w:t xml:space="preserve">Komite Medis dan Komite Mutu/Keselamatan Pasien.</w:t>
      </w:r>
    </w:p>
    <w:p>
      <w:pPr>
        <w:pStyle w:val="ListParagraph"/>
        <w:numPr>
          <w:ilvl w:val="0"/>
          <w:numId w:val="2"/>
        </w:numPr>
        <w:spacing w:after="60"/>
      </w:pPr>
      <w:r>
        <w:rPr>
          <w:color w:val="262626"/>
          <w:sz w:val="20"/>
          <w:szCs w:val="20"/>
        </w:rPr>
        <w:t xml:space="preserve">[Nama Penelaah] — [Jabatan/Spesialisasi] (placeholder identitas institusi).</w:t>
      </w:r>
    </w:p>
    <w:p>
      <w:pPr>
        <w:pBdr>
          <w:bottom w:val="single" w:color="7A1F3D" w:sz="2"/>
        </w:pBdr>
        <w:shd w:fill="7A1F3D" w:color="auto" w:val="clear"/>
        <w:spacing w:after="0" w:before="320"/>
      </w:pPr>
      <w:r>
        <w:rPr>
          <w:rFonts w:ascii="Calibri" w:cs="Calibri" w:eastAsia="Calibri" w:hAnsi="Calibri"/>
          <w:b/>
          <w:bCs/>
          <w:color w:val="FFFFFF"/>
          <w:sz w:val="24"/>
          <w:szCs w:val="24"/>
        </w:rPr>
        <w:t xml:space="preserve">14.  Indikator Medis</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4400"/>
        <w:gridCol w:w="2200"/>
        <w:gridCol w:w="2400"/>
      </w:tblGrid>
      <w:tr>
        <w:trPr>
          <w:tblHeader/>
        </w:trPr>
        <w:tc>
          <w:tcPr>
            <w:tcW w:type="dxa" w:w="4400"/>
            <w:shd w:fill="7A1F3D" w:color="auto" w:val="clear"/>
            <w:tcMar>
              <w:top w:type="dxa" w:w="100"/>
              <w:left w:type="dxa" w:w="120"/>
              <w:bottom w:type="dxa" w:w="100"/>
              <w:right w:type="dxa" w:w="120"/>
            </w:tcMar>
            <w:vAlign w:val="center"/>
          </w:tcPr>
          <w:p>
            <w:r>
              <w:rPr>
                <w:b/>
                <w:bCs/>
                <w:color w:val="FFFFFF"/>
                <w:sz w:val="18"/>
                <w:szCs w:val="18"/>
              </w:rPr>
              <w:t xml:space="preserve">Indikator</w:t>
            </w:r>
          </w:p>
        </w:tc>
        <w:tc>
          <w:tcPr>
            <w:tcW w:type="dxa" w:w="2200"/>
            <w:shd w:fill="7A1F3D" w:color="auto" w:val="clear"/>
            <w:tcMar>
              <w:top w:type="dxa" w:w="100"/>
              <w:left w:type="dxa" w:w="120"/>
              <w:bottom w:type="dxa" w:w="100"/>
              <w:right w:type="dxa" w:w="120"/>
            </w:tcMar>
            <w:vAlign w:val="center"/>
          </w:tcPr>
          <w:p>
            <w:r>
              <w:rPr>
                <w:b/>
                <w:bCs/>
                <w:color w:val="FFFFFF"/>
                <w:sz w:val="18"/>
                <w:szCs w:val="18"/>
              </w:rPr>
              <w:t xml:space="preserve">Target</w:t>
            </w:r>
          </w:p>
        </w:tc>
        <w:tc>
          <w:tcPr>
            <w:tcW w:type="dxa" w:w="2400"/>
            <w:shd w:fill="7A1F3D" w:color="auto" w:val="clear"/>
            <w:tcMar>
              <w:top w:type="dxa" w:w="100"/>
              <w:left w:type="dxa" w:w="120"/>
              <w:bottom w:type="dxa" w:w="100"/>
              <w:right w:type="dxa" w:w="120"/>
            </w:tcMar>
            <w:vAlign w:val="center"/>
          </w:tcPr>
          <w:p>
            <w:r>
              <w:rPr>
                <w:b/>
                <w:bCs/>
                <w:color w:val="FFFFFF"/>
                <w:sz w:val="18"/>
                <w:szCs w:val="18"/>
              </w:rPr>
              <w:t xml:space="preserve">Frekuensi Evaluasi</w:t>
            </w:r>
          </w:p>
        </w:tc>
      </w:tr>
      <w:tr>
        <w:tc>
          <w:tcPr>
            <w:tcW w:type="dxa" w:w="4400"/>
            <w:shd w:fill="FFFFFF" w:color="auto" w:val="clear"/>
            <w:tcMar>
              <w:top w:type="dxa" w:w="90"/>
              <w:left w:type="dxa" w:w="120"/>
              <w:bottom w:type="dxa" w:w="90"/>
              <w:right w:type="dxa" w:w="120"/>
            </w:tcMar>
          </w:tcPr>
          <w:p>
            <w:r>
              <w:rPr>
                <w:color w:val="262626"/>
                <w:sz w:val="18"/>
                <w:szCs w:val="18"/>
              </w:rPr>
              <w:t xml:space="preserve">Kasus etik medikolegal terdokumentasi lengkap &amp; benar</w:t>
            </w:r>
          </w:p>
        </w:tc>
        <w:tc>
          <w:tcPr>
            <w:tcW w:type="dxa" w:w="2200"/>
            <w:shd w:fill="FFFFFF" w:color="auto" w:val="clear"/>
            <w:tcMar>
              <w:top w:type="dxa" w:w="90"/>
              <w:left w:type="dxa" w:w="120"/>
              <w:bottom w:type="dxa" w:w="90"/>
              <w:right w:type="dxa" w:w="120"/>
            </w:tcMar>
          </w:tcPr>
          <w:p>
            <w:r>
              <w:rPr>
                <w:color w:val="262626"/>
                <w:sz w:val="18"/>
                <w:szCs w:val="18"/>
              </w:rPr>
              <w:t xml:space="preserve">100%</w:t>
            </w:r>
          </w:p>
        </w:tc>
        <w:tc>
          <w:tcPr>
            <w:tcW w:type="dxa" w:w="2400"/>
            <w:shd w:fill="FFFFFF" w:color="auto" w:val="clear"/>
            <w:tcMar>
              <w:top w:type="dxa" w:w="90"/>
              <w:left w:type="dxa" w:w="120"/>
              <w:bottom w:type="dxa" w:w="90"/>
              <w:right w:type="dxa" w:w="120"/>
            </w:tcMar>
          </w:tcPr>
          <w:p>
            <w:r>
              <w:rPr>
                <w:color w:val="262626"/>
                <w:sz w:val="18"/>
                <w:szCs w:val="18"/>
              </w:rPr>
              <w:t xml:space="preserve">Setiap kasus</w:t>
            </w:r>
          </w:p>
        </w:tc>
      </w:tr>
      <w:tr>
        <w:tc>
          <w:tcPr>
            <w:tcW w:type="dxa" w:w="4400"/>
            <w:shd w:fill="F7F1F3" w:color="auto" w:val="clear"/>
            <w:tcMar>
              <w:top w:type="dxa" w:w="90"/>
              <w:left w:type="dxa" w:w="120"/>
              <w:bottom w:type="dxa" w:w="90"/>
              <w:right w:type="dxa" w:w="120"/>
            </w:tcMar>
          </w:tcPr>
          <w:p>
            <w:r>
              <w:rPr>
                <w:color w:val="262626"/>
                <w:sz w:val="18"/>
                <w:szCs w:val="18"/>
              </w:rPr>
              <w:t xml:space="preserve">Kepatuhan intervensi terhadap regulasi &amp; kode etik profesi</w:t>
            </w:r>
          </w:p>
        </w:tc>
        <w:tc>
          <w:tcPr>
            <w:tcW w:type="dxa" w:w="2200"/>
            <w:shd w:fill="F7F1F3" w:color="auto" w:val="clear"/>
            <w:tcMar>
              <w:top w:type="dxa" w:w="90"/>
              <w:left w:type="dxa" w:w="120"/>
              <w:bottom w:type="dxa" w:w="90"/>
              <w:right w:type="dxa" w:w="120"/>
            </w:tcMar>
          </w:tcPr>
          <w:p>
            <w:r>
              <w:rPr>
                <w:color w:val="262626"/>
                <w:sz w:val="18"/>
                <w:szCs w:val="18"/>
              </w:rPr>
              <w:t xml:space="preserve">100%</w:t>
            </w:r>
          </w:p>
        </w:tc>
        <w:tc>
          <w:tcPr>
            <w:tcW w:type="dxa" w:w="2400"/>
            <w:shd w:fill="F7F1F3" w:color="auto" w:val="clear"/>
            <w:tcMar>
              <w:top w:type="dxa" w:w="90"/>
              <w:left w:type="dxa" w:w="120"/>
              <w:bottom w:type="dxa" w:w="90"/>
              <w:right w:type="dxa" w:w="120"/>
            </w:tcMar>
          </w:tcPr>
          <w:p>
            <w:r>
              <w:rPr>
                <w:color w:val="262626"/>
                <w:sz w:val="18"/>
                <w:szCs w:val="18"/>
              </w:rPr>
              <w:t xml:space="preserve">Setiap kasus</w:t>
            </w:r>
          </w:p>
        </w:tc>
      </w:tr>
      <w:tr>
        <w:tc>
          <w:tcPr>
            <w:tcW w:type="dxa" w:w="4400"/>
            <w:shd w:fill="FFFFFF" w:color="auto" w:val="clear"/>
            <w:tcMar>
              <w:top w:type="dxa" w:w="90"/>
              <w:left w:type="dxa" w:w="120"/>
              <w:bottom w:type="dxa" w:w="90"/>
              <w:right w:type="dxa" w:w="120"/>
            </w:tcMar>
          </w:tcPr>
          <w:p>
            <w:r>
              <w:rPr>
                <w:color w:val="262626"/>
                <w:sz w:val="18"/>
                <w:szCs w:val="18"/>
              </w:rPr>
              <w:t xml:space="preserve">Pelanggaran etikolegal dalam penanganan</w:t>
            </w:r>
          </w:p>
        </w:tc>
        <w:tc>
          <w:tcPr>
            <w:tcW w:type="dxa" w:w="2200"/>
            <w:shd w:fill="FFFFFF" w:color="auto" w:val="clear"/>
            <w:tcMar>
              <w:top w:type="dxa" w:w="90"/>
              <w:left w:type="dxa" w:w="120"/>
              <w:bottom w:type="dxa" w:w="90"/>
              <w:right w:type="dxa" w:w="120"/>
            </w:tcMar>
          </w:tcPr>
          <w:p>
            <w:r>
              <w:rPr>
                <w:color w:val="262626"/>
                <w:sz w:val="18"/>
                <w:szCs w:val="18"/>
              </w:rPr>
              <w:t xml:space="preserve">0%</w:t>
            </w:r>
          </w:p>
        </w:tc>
        <w:tc>
          <w:tcPr>
            <w:tcW w:type="dxa" w:w="2400"/>
            <w:shd w:fill="FFFFFF" w:color="auto" w:val="clear"/>
            <w:tcMar>
              <w:top w:type="dxa" w:w="90"/>
              <w:left w:type="dxa" w:w="120"/>
              <w:bottom w:type="dxa" w:w="90"/>
              <w:right w:type="dxa" w:w="120"/>
            </w:tcMar>
          </w:tcPr>
          <w:p>
            <w:r>
              <w:rPr>
                <w:color w:val="262626"/>
                <w:sz w:val="18"/>
                <w:szCs w:val="18"/>
              </w:rPr>
              <w:t xml:space="preserve">Audit bulanan</w:t>
            </w:r>
          </w:p>
        </w:tc>
      </w:tr>
      <w:tr>
        <w:tc>
          <w:tcPr>
            <w:tcW w:type="dxa" w:w="4400"/>
            <w:shd w:fill="F7F1F3" w:color="auto" w:val="clear"/>
            <w:tcMar>
              <w:top w:type="dxa" w:w="90"/>
              <w:left w:type="dxa" w:w="120"/>
              <w:bottom w:type="dxa" w:w="90"/>
              <w:right w:type="dxa" w:w="120"/>
            </w:tcMar>
          </w:tcPr>
          <w:p>
            <w:r>
              <w:rPr>
                <w:color w:val="262626"/>
                <w:sz w:val="18"/>
                <w:szCs w:val="18"/>
              </w:rPr>
              <w:t xml:space="preserve">Waktu respons telaah tim etik pada kasus jalur prioritas</w:t>
            </w:r>
          </w:p>
        </w:tc>
        <w:tc>
          <w:tcPr>
            <w:tcW w:type="dxa" w:w="2200"/>
            <w:shd w:fill="F7F1F3" w:color="auto" w:val="clear"/>
            <w:tcMar>
              <w:top w:type="dxa" w:w="90"/>
              <w:left w:type="dxa" w:w="120"/>
              <w:bottom w:type="dxa" w:w="90"/>
              <w:right w:type="dxa" w:w="120"/>
            </w:tcMar>
          </w:tcPr>
          <w:p>
            <w:r>
              <w:rPr>
                <w:color w:val="262626"/>
                <w:sz w:val="18"/>
                <w:szCs w:val="18"/>
              </w:rPr>
              <w:t xml:space="preserve">&lt; 24 jam</w:t>
            </w:r>
          </w:p>
        </w:tc>
        <w:tc>
          <w:tcPr>
            <w:tcW w:type="dxa" w:w="2400"/>
            <w:shd w:fill="F7F1F3" w:color="auto" w:val="clear"/>
            <w:tcMar>
              <w:top w:type="dxa" w:w="90"/>
              <w:left w:type="dxa" w:w="120"/>
              <w:bottom w:type="dxa" w:w="90"/>
              <w:right w:type="dxa" w:w="120"/>
            </w:tcMar>
          </w:tcPr>
          <w:p>
            <w:r>
              <w:rPr>
                <w:color w:val="262626"/>
                <w:sz w:val="18"/>
                <w:szCs w:val="18"/>
              </w:rPr>
              <w:t xml:space="preserve">Setiap kasus prioritas</w:t>
            </w:r>
          </w:p>
        </w:tc>
      </w:tr>
      <w:tr>
        <w:tc>
          <w:tcPr>
            <w:tcW w:type="dxa" w:w="4400"/>
            <w:shd w:fill="FFFFFF" w:color="auto" w:val="clear"/>
            <w:tcMar>
              <w:top w:type="dxa" w:w="90"/>
              <w:left w:type="dxa" w:w="120"/>
              <w:bottom w:type="dxa" w:w="90"/>
              <w:right w:type="dxa" w:w="120"/>
            </w:tcMar>
          </w:tcPr>
          <w:p>
            <w:r>
              <w:rPr>
                <w:color w:val="262626"/>
                <w:sz w:val="18"/>
                <w:szCs w:val="18"/>
              </w:rPr>
              <w:t xml:space="preserve">Waktu respons rapat etik-hukum pada kasus jalur cito</w:t>
            </w:r>
          </w:p>
        </w:tc>
        <w:tc>
          <w:tcPr>
            <w:tcW w:type="dxa" w:w="2200"/>
            <w:shd w:fill="FFFFFF" w:color="auto" w:val="clear"/>
            <w:tcMar>
              <w:top w:type="dxa" w:w="90"/>
              <w:left w:type="dxa" w:w="120"/>
              <w:bottom w:type="dxa" w:w="90"/>
              <w:right w:type="dxa" w:w="120"/>
            </w:tcMar>
          </w:tcPr>
          <w:p>
            <w:r>
              <w:rPr>
                <w:color w:val="262626"/>
                <w:sz w:val="18"/>
                <w:szCs w:val="18"/>
              </w:rPr>
              <w:t xml:space="preserve">≤ 4 jam</w:t>
            </w:r>
          </w:p>
        </w:tc>
        <w:tc>
          <w:tcPr>
            <w:tcW w:type="dxa" w:w="2400"/>
            <w:shd w:fill="FFFFFF" w:color="auto" w:val="clear"/>
            <w:tcMar>
              <w:top w:type="dxa" w:w="90"/>
              <w:left w:type="dxa" w:w="120"/>
              <w:bottom w:type="dxa" w:w="90"/>
              <w:right w:type="dxa" w:w="120"/>
            </w:tcMar>
          </w:tcPr>
          <w:p>
            <w:r>
              <w:rPr>
                <w:color w:val="262626"/>
                <w:sz w:val="18"/>
                <w:szCs w:val="18"/>
              </w:rPr>
              <w:t xml:space="preserve">Setiap kasus cito</w:t>
            </w:r>
          </w:p>
        </w:tc>
      </w:tr>
      <w:tr>
        <w:tc>
          <w:tcPr>
            <w:tcW w:type="dxa" w:w="4400"/>
            <w:shd w:fill="F7F1F3" w:color="auto" w:val="clear"/>
            <w:tcMar>
              <w:top w:type="dxa" w:w="90"/>
              <w:left w:type="dxa" w:w="120"/>
              <w:bottom w:type="dxa" w:w="90"/>
              <w:right w:type="dxa" w:w="120"/>
            </w:tcMar>
          </w:tcPr>
          <w:p>
            <w:r>
              <w:rPr>
                <w:color w:val="262626"/>
                <w:sz w:val="18"/>
                <w:szCs w:val="18"/>
              </w:rPr>
              <w:t xml:space="preserve">Volume kasus etik medikolegal ditangani/didiskusikan</w:t>
            </w:r>
          </w:p>
        </w:tc>
        <w:tc>
          <w:tcPr>
            <w:tcW w:type="dxa" w:w="2200"/>
            <w:shd w:fill="F7F1F3" w:color="auto" w:val="clear"/>
            <w:tcMar>
              <w:top w:type="dxa" w:w="90"/>
              <w:left w:type="dxa" w:w="120"/>
              <w:bottom w:type="dxa" w:w="90"/>
              <w:right w:type="dxa" w:w="120"/>
            </w:tcMar>
          </w:tcPr>
          <w:p>
            <w:r>
              <w:rPr>
                <w:color w:val="262626"/>
                <w:sz w:val="18"/>
                <w:szCs w:val="18"/>
              </w:rPr>
              <w:t xml:space="preserve">≥ 2 kasus per periode kompetensi</w:t>
            </w:r>
          </w:p>
        </w:tc>
        <w:tc>
          <w:tcPr>
            <w:tcW w:type="dxa" w:w="2400"/>
            <w:shd w:fill="F7F1F3" w:color="auto" w:val="clear"/>
            <w:tcMar>
              <w:top w:type="dxa" w:w="90"/>
              <w:left w:type="dxa" w:w="120"/>
              <w:bottom w:type="dxa" w:w="90"/>
              <w:right w:type="dxa" w:w="120"/>
            </w:tcMar>
          </w:tcPr>
          <w:p>
            <w:r>
              <w:rPr>
                <w:color w:val="262626"/>
                <w:sz w:val="18"/>
                <w:szCs w:val="18"/>
              </w:rPr>
              <w:t xml:space="preserve">Triwulanan</w:t>
            </w:r>
          </w:p>
        </w:tc>
      </w:tr>
    </w:tbl>
    <w:p>
      <w:pPr>
        <w:pBdr>
          <w:bottom w:val="single" w:color="7A1F3D" w:sz="2"/>
        </w:pBdr>
        <w:shd w:fill="7A1F3D" w:color="auto" w:val="clear"/>
        <w:spacing w:after="0" w:before="320"/>
      </w:pPr>
      <w:r>
        <w:rPr>
          <w:rFonts w:ascii="Calibri" w:cs="Calibri" w:eastAsia="Calibri" w:hAnsi="Calibri"/>
          <w:b/>
          <w:bCs/>
          <w:color w:val="FFFFFF"/>
          <w:sz w:val="24"/>
          <w:szCs w:val="24"/>
        </w:rPr>
        <w:t xml:space="preserve">15.  Kepustakaan</w:t>
      </w:r>
    </w:p>
    <w:p>
      <w:pPr>
        <w:spacing w:after="100"/>
      </w:pPr>
      <w:r>
        <w:rPr>
          <w:i/>
          <w:iCs/>
          <w:color w:val="6B6B6B"/>
          <w:sz w:val="17"/>
          <w:szCs w:val="17"/>
        </w:rPr>
        <w:t xml:space="preserve">Kepustakaan berikut telah diverifikasi terhadap sumber resmi (situs kementerian/lembaga negara, JDIH BPK, dan WHO IRIS) per Juli 2026. Tautan disertakan bila tersedia dari sumber resmi.</w:t>
      </w:r>
    </w:p>
    <w:p>
      <w:pPr>
        <w:spacing w:before="120"/>
      </w:pPr>
    </w:p>
    <w:p>
      <w:pPr>
        <w:spacing w:after="120"/>
      </w:pPr>
      <w:r>
        <w:rPr>
          <w:color w:val="262626"/>
          <w:sz w:val="20"/>
          <w:szCs w:val="20"/>
        </w:rPr>
        <w:t xml:space="preserve">1. Ikatan Dokter Indonesia. Kode Etik Kedokteran Indonesia (KODEKI), hasil revisi Muktamar IDI 2012, disahkan melalui SK PB IDI No. 111/PB/A.4/02/2013. Catatan: MKEK IDI tengah melakukan kajian revisi lanjutan (dibahas pada Muktamar Lombok, Februari 2025); status pemberlakuan revisi tersebut belum terkonfirmasi resmi per Juli 2026, sehingga PPK ini merujuk versi 2012 yang masih berlaku.</w:t>
      </w:r>
    </w:p>
    <w:p>
      <w:pPr>
        <w:spacing w:after="120"/>
      </w:pPr>
      <w:r>
        <w:rPr>
          <w:color w:val="262626"/>
          <w:sz w:val="20"/>
          <w:szCs w:val="20"/>
        </w:rPr>
        <w:t xml:space="preserve">2. World Health Organization. Abortion care guideline. Geneva: World Health Organization; 2022. ISBN 978-92-4-003948-3.</w:t>
      </w:r>
      <w:r>
        <w:rPr>
          <w:sz w:val="20"/>
          <w:szCs w:val="20"/>
        </w:rPr>
        <w:t xml:space="preserve">  </w:t>
      </w:r>
      <w:hyperlink w:history="1" r:id="rIdnyt27t3quy6agoq3shot4">
        <w:r>
          <w:rPr>
            <w:color w:val="1155CC"/>
            <w:sz w:val="18"/>
            <w:szCs w:val="18"/>
            <w:u w:val="single"/>
          </w:rPr>
          <w:t xml:space="preserve">https://iris.who.int/server/api/core/bitstreams/59a704cc-4024-412a-97d9-55d86d139602/content</w:t>
        </w:r>
      </w:hyperlink>
    </w:p>
    <w:p>
      <w:pPr>
        <w:spacing w:after="120"/>
      </w:pPr>
      <w:r>
        <w:rPr>
          <w:color w:val="262626"/>
          <w:sz w:val="20"/>
          <w:szCs w:val="20"/>
        </w:rPr>
        <w:t xml:space="preserve">3. World Health Organization. Causality Assessment of an Adverse Event Following Immunization (AEFI): User Manual for the Revised WHO Classification. 2nd ed. Geneva: World Health Organization.</w:t>
      </w:r>
    </w:p>
    <w:p>
      <w:pPr>
        <w:spacing w:after="120"/>
      </w:pPr>
      <w:r>
        <w:rPr>
          <w:color w:val="262626"/>
          <w:sz w:val="20"/>
          <w:szCs w:val="20"/>
        </w:rPr>
        <w:t xml:space="preserve">4. FIGO Committee for the Ethical Aspects of Human Reproduction and Women's Health. Recommendations on Ethical Issues in Obstetrics and Gynecology. London: International Federation of Gynecology and Obstetrics.</w:t>
      </w:r>
    </w:p>
    <w:p>
      <w:pPr>
        <w:spacing w:after="120"/>
      </w:pPr>
      <w:r>
        <w:rPr>
          <w:color w:val="262626"/>
          <w:sz w:val="20"/>
          <w:szCs w:val="20"/>
        </w:rPr>
        <w:t xml:space="preserve">5. American College of Obstetricians and Gynecologists (ACOG). Committee Opinions terkait etika pelayanan obstetri-ginekologi (rujukan umum; nomor dan judul opini spesifik agar diverifikasi ulang oleh tim penelaah sebelum dikutip dalam rekam medis).</w:t>
      </w:r>
    </w:p>
    <w:p>
      <w:pPr>
        <w:spacing w:after="120"/>
      </w:pPr>
      <w:r>
        <w:rPr>
          <w:color w:val="262626"/>
          <w:sz w:val="20"/>
          <w:szCs w:val="20"/>
        </w:rPr>
        <w:t xml:space="preserve">6. Republik Indonesia. Undang-Undang Nomor 17 Tahun 2023 tentang Kesehatan (Lembaran Negara RI Tahun 2023 Nomor 105, Tambahan Lembaran Negara RI Nomor 6887).</w:t>
      </w:r>
      <w:r>
        <w:rPr>
          <w:sz w:val="20"/>
          <w:szCs w:val="20"/>
        </w:rPr>
        <w:t xml:space="preserve">  </w:t>
      </w:r>
      <w:hyperlink w:history="1" r:id="rIdwaepjcczge61g78a7sxm_">
        <w:r>
          <w:rPr>
            <w:color w:val="1155CC"/>
            <w:sz w:val="18"/>
            <w:szCs w:val="18"/>
            <w:u w:val="single"/>
          </w:rPr>
          <w:t xml:space="preserve">https://peraturan.bpk.go.id/Details/258028/uu-no-17-tahun-2023</w:t>
        </w:r>
      </w:hyperlink>
    </w:p>
    <w:p>
      <w:pPr>
        <w:spacing w:after="120"/>
      </w:pPr>
      <w:r>
        <w:rPr>
          <w:color w:val="262626"/>
          <w:sz w:val="20"/>
          <w:szCs w:val="20"/>
        </w:rPr>
        <w:t xml:space="preserve">7. Republik Indonesia. Peraturan Pemerintah Nomor 28 Tahun 2024 tentang Peraturan Pelaksanaan Undang-Undang Nomor 17 Tahun 2023 tentang Kesehatan (menggantikan PP No. 61 Tahun 2014 tentang Kesehatan Reproduksi).</w:t>
      </w:r>
      <w:r>
        <w:rPr>
          <w:sz w:val="20"/>
          <w:szCs w:val="20"/>
        </w:rPr>
        <w:t xml:space="preserve">  </w:t>
      </w:r>
      <w:hyperlink w:history="1" r:id="rId0agd2x_a7n4jecb7k9agm">
        <w:r>
          <w:rPr>
            <w:color w:val="1155CC"/>
            <w:sz w:val="18"/>
            <w:szCs w:val="18"/>
            <w:u w:val="single"/>
          </w:rPr>
          <w:t xml:space="preserve">https://peraturan.bpk.go.id/Details/294077/pp-no-28-tahun-2024</w:t>
        </w:r>
      </w:hyperlink>
    </w:p>
    <w:p>
      <w:pPr>
        <w:spacing w:after="120"/>
      </w:pPr>
      <w:r>
        <w:rPr>
          <w:color w:val="262626"/>
          <w:sz w:val="20"/>
          <w:szCs w:val="20"/>
        </w:rPr>
        <w:t xml:space="preserve">8. Republik Indonesia. Undang-Undang Nomor 1 Tahun 2023 tentang Kitab Undang-Undang Hukum Pidana (KUHP Nasional), berlaku efektif 2 Januari 2026.</w:t>
      </w:r>
      <w:r>
        <w:rPr>
          <w:sz w:val="20"/>
          <w:szCs w:val="20"/>
        </w:rPr>
        <w:t xml:space="preserve">  </w:t>
      </w:r>
      <w:hyperlink w:history="1" r:id="rIdz5bnssiribdp3qpoblpuf">
        <w:r>
          <w:rPr>
            <w:color w:val="1155CC"/>
            <w:sz w:val="18"/>
            <w:szCs w:val="18"/>
            <w:u w:val="single"/>
          </w:rPr>
          <w:t xml:space="preserve">https://peraturan.bpk.go.id/Details/234935/uu-no-1-tahun-2023</w:t>
        </w:r>
      </w:hyperlink>
    </w:p>
    <w:p>
      <w:pPr>
        <w:spacing w:after="120"/>
      </w:pPr>
      <w:r>
        <w:rPr>
          <w:color w:val="262626"/>
          <w:sz w:val="20"/>
          <w:szCs w:val="20"/>
        </w:rPr>
        <w:t xml:space="preserve">9. Republik Indonesia. Undang-Undang Nomor 1 Tahun 2026 tentang Penyesuaian Pidana (mengubah 55 pasal UU No. 1 Tahun 2023 tentang KUHP, termasuk pengecualian Pasal 251 bagi korban kekerasan seksual). Catatan: tautan resmi JDIH untuk UU ini belum berhasil diverifikasi oleh tim penyusun per Juli 2026 — mohon dikonfirmasi/ditautkan ulang bila salinan resmi tersedia.</w:t>
      </w:r>
    </w:p>
    <w:p>
      <w:pPr>
        <w:spacing w:after="120"/>
      </w:pPr>
      <w:r>
        <w:rPr>
          <w:color w:val="262626"/>
          <w:sz w:val="20"/>
          <w:szCs w:val="20"/>
        </w:rPr>
        <w:t xml:space="preserve">10. Republik Indonesia. Undang-Undang Nomor 12 Tahun 2022 tentang Tindak Pidana Kekerasan Seksual.</w:t>
      </w:r>
      <w:r>
        <w:rPr>
          <w:sz w:val="20"/>
          <w:szCs w:val="20"/>
        </w:rPr>
        <w:t xml:space="preserve">  </w:t>
      </w:r>
      <w:hyperlink w:history="1" r:id="rId_0vv2qqd5eiow7naxwybz">
        <w:r>
          <w:rPr>
            <w:color w:val="1155CC"/>
            <w:sz w:val="18"/>
            <w:szCs w:val="18"/>
            <w:u w:val="single"/>
          </w:rPr>
          <w:t xml:space="preserve">https://peraturan.bpk.go.id/Details/207944/uu-no-12-tahun-2022</w:t>
        </w:r>
      </w:hyperlink>
    </w:p>
    <w:p>
      <w:pPr>
        <w:spacing w:after="120"/>
      </w:pPr>
      <w:r>
        <w:rPr>
          <w:color w:val="262626"/>
          <w:sz w:val="20"/>
          <w:szCs w:val="20"/>
        </w:rPr>
        <w:t xml:space="preserve">11. Republik Indonesia. Undang-Undang Nomor 23 Tahun 2004 tentang Penghapusan Kekerasan Dalam Rumah Tangga.</w:t>
      </w:r>
      <w:r>
        <w:rPr>
          <w:sz w:val="20"/>
          <w:szCs w:val="20"/>
        </w:rPr>
        <w:t xml:space="preserve">  </w:t>
      </w:r>
      <w:hyperlink w:history="1" r:id="rIdkamh3tew4wpnl6_6msrnr">
        <w:r>
          <w:rPr>
            <w:color w:val="1155CC"/>
            <w:sz w:val="18"/>
            <w:szCs w:val="18"/>
            <w:u w:val="single"/>
          </w:rPr>
          <w:t xml:space="preserve">https://peraturan.bpk.go.id/Download/30306/UU%20Nomor%2023%20Tahun%202004.pdf</w:t>
        </w:r>
      </w:hyperlink>
    </w:p>
    <w:p>
      <w:pPr>
        <w:spacing w:after="120"/>
      </w:pPr>
      <w:r>
        <w:rPr>
          <w:color w:val="262626"/>
          <w:sz w:val="20"/>
          <w:szCs w:val="20"/>
        </w:rPr>
        <w:t xml:space="preserve">12. Republik Indonesia. Undang-Undang Nomor 29 Tahun 2004 tentang Praktik Kedokteran.</w:t>
      </w:r>
    </w:p>
    <w:p>
      <w:pPr>
        <w:spacing w:after="120"/>
      </w:pPr>
      <w:r>
        <w:rPr>
          <w:color w:val="262626"/>
          <w:sz w:val="20"/>
          <w:szCs w:val="20"/>
        </w:rPr>
        <w:t xml:space="preserve">13. Konsil Kesehatan Indonesia. Keputusan Ketua Konsil Kesehatan Indonesia Nomor HK.01.02/KKI/1318/2026 tentang Standar Kompetensi Dokter Spesialis dan Subspesialis Bidang Obstetri dan Ginekologi.</w:t>
      </w:r>
    </w:p>
    <w:p>
      <w:pPr>
        <w:spacing w:after="120"/>
      </w:pPr>
      <w:r>
        <w:rPr>
          <w:color w:val="262626"/>
          <w:sz w:val="20"/>
          <w:szCs w:val="20"/>
        </w:rPr>
        <w:t xml:space="preserve">14. Kementerian Kesehatan Republik Indonesia. Peraturan Menteri Kesehatan Nomor 3 Tahun 2026 tentang Penanggulangan Penyakit (mengatur Komite Nasional/Provinsi/Kabupaten-Kota KIPI, menggantikan sebagian Permenkes No. 12 Tahun 2017 tentang Penyelenggaraan Imunisasi).</w:t>
      </w:r>
      <w:r>
        <w:rPr>
          <w:sz w:val="20"/>
          <w:szCs w:val="20"/>
        </w:rPr>
        <w:t xml:space="preserve">  </w:t>
      </w:r>
      <w:hyperlink w:history="1" r:id="rIddqelakhw-cquce9e3im2-">
        <w:r>
          <w:rPr>
            <w:color w:val="1155CC"/>
            <w:sz w:val="18"/>
            <w:szCs w:val="18"/>
            <w:u w:val="single"/>
          </w:rPr>
          <w:t xml:space="preserve">https://protc.id/wp-content/uploads/2026/04/permenkes-no-3-tahun-2026.pdf</w:t>
        </w:r>
      </w:hyperlink>
    </w:p>
    <w:p>
      <w:pPr>
        <w:spacing w:before="300"/>
      </w:pPr>
    </w:p>
    <w:p>
      <w:pPr>
        <w:pBdr>
          <w:top w:val="single" w:color="D9C3CB" w:sz="4"/>
        </w:pBdr>
        <w:spacing w:before="100"/>
      </w:pPr>
      <w:r>
        <w:rPr>
          <w:i/>
          <w:iCs/>
          <w:color w:val="6B6B6B"/>
          <w:sz w:val="16"/>
          <w:szCs w:val="16"/>
        </w:rPr>
        <w:t xml:space="preserve">Dokumen PPK ini disusun oleh Dr.dr. Budi Siswanto, Sp.OG., Subsp.Obginsos., SH., S.Kom. — diterbitkan oleh Perpustakaan ABBA, Jl Danau Kerinci No 9 Malang, sebagai bagian dari Seri Obstetri Ginekologi Sosial (Buku 6 dari 14 Buku Ajar). Direvisi melalui audit substansi, konsistensi, bahasa, referensi, sitasi, dan validitas tautan pada Juli 2026, mengikuti pembaruan KUHP Nasional (UU No. 1/2023 jo. UU No. 1/2026) yang berlaku efektif 2 Januari 2026.</w:t>
      </w:r>
    </w:p>
    <w:sectPr>
      <w:headerReference w:type="default" r:id="rId7"/>
      <w:footerReference w:type="default" r:id="rId8"/>
      <w:pgSz w:w="11906" w:h="16838" w:orient="portrait"/>
      <w:pgMar w:top="1100" w:right="1100" w:bottom="11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B6B6B"/>
        <w:sz w:val="15"/>
        <w:szCs w:val="15"/>
      </w:rPr>
      <w:t xml:space="preserve">Halaman </w:t>
    </w:r>
    <w:r>
      <w:rPr>
        <w:color w:val="6B6B6B"/>
        <w:sz w:val="15"/>
        <w:szCs w:val="15"/>
      </w:rPr>
      <w:fldChar w:fldCharType="begin"/>
      <w:instrText xml:space="preserve">PAGE</w:instrText>
      <w:fldChar w:fldCharType="separate"/>
      <w:fldChar w:fldCharType="end"/>
    </w:r>
    <w:r>
      <w:rPr>
        <w:color w:val="6B6B6B"/>
        <w:sz w:val="15"/>
        <w:szCs w:val="15"/>
      </w:rPr>
      <w:t xml:space="preserve"> dari </w:t>
    </w:r>
    <w:r>
      <w:rPr>
        <w:color w:val="6B6B6B"/>
        <w:sz w:val="15"/>
        <w:szCs w:val="15"/>
      </w:rPr>
      <w:fldChar w:fldCharType="begin"/>
      <w:instrText xml:space="preserve">NUMPAGES</w:instrText>
      <w:fldChar w:fldCharType="separate"/>
      <w:fldChar w:fldCharType="end"/>
    </w:r>
    <w:r>
      <w:rPr>
        <w:color w:val="6B6B6B"/>
        <w:sz w:val="15"/>
        <w:szCs w:val="15"/>
      </w:rPr>
      <w:t xml:space="preserve">   —   Perpustakaan ABBA, Jl Danau Kerinci No 9 Malang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9C3CB" w:sz="2"/>
      </w:pBdr>
      <w:jc w:val="right"/>
    </w:pPr>
    <w:r>
      <w:rPr>
        <w:color w:val="6B6B6B"/>
        <w:sz w:val="15"/>
        <w:szCs w:val="15"/>
      </w:rPr>
      <w:t xml:space="preserve">[Nama Rumah Sakit]  |  [Nama KSM/Departemen]  |  PPK 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60"/>
      </w:pPr>
    </w:lvl>
    <w:lvl w:ilvl="1" w15:tentative="1">
      <w:start w:val="1"/>
      <w:numFmt w:val="bullet"/>
      <w:lvlText w:val="◦"/>
      <w:lvlJc w:val="left"/>
      <w:pPr>
        <w:ind w:left="72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62626"/>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nyt27t3quy6agoq3shot4" Type="http://schemas.openxmlformats.org/officeDocument/2006/relationships/hyperlink" Target="https://iris.who.int/server/api/core/bitstreams/59a704cc-4024-412a-97d9-55d86d139602/content" TargetMode="External"/><Relationship Id="rIdwaepjcczge61g78a7sxm_" Type="http://schemas.openxmlformats.org/officeDocument/2006/relationships/hyperlink" Target="https://peraturan.bpk.go.id/Details/258028/uu-no-17-tahun-2023" TargetMode="External"/><Relationship Id="rId0agd2x_a7n4jecb7k9agm" Type="http://schemas.openxmlformats.org/officeDocument/2006/relationships/hyperlink" Target="https://peraturan.bpk.go.id/Details/294077/pp-no-28-tahun-2024" TargetMode="External"/><Relationship Id="rIdz5bnssiribdp3qpoblpuf" Type="http://schemas.openxmlformats.org/officeDocument/2006/relationships/hyperlink" Target="https://peraturan.bpk.go.id/Details/234935/uu-no-1-tahun-2023" TargetMode="External"/><Relationship Id="rId_0vv2qqd5eiow7naxwybz" Type="http://schemas.openxmlformats.org/officeDocument/2006/relationships/hyperlink" Target="https://peraturan.bpk.go.id/Details/207944/uu-no-12-tahun-2022" TargetMode="External"/><Relationship Id="rIdkamh3tew4wpnl6_6msrnr" Type="http://schemas.openxmlformats.org/officeDocument/2006/relationships/hyperlink" Target="https://peraturan.bpk.go.id/Download/30306/UU%20Nomor%2023%20Tahun%202004.pdf" TargetMode="External"/><Relationship Id="rIddqelakhw-cquce9e3im2-" Type="http://schemas.openxmlformats.org/officeDocument/2006/relationships/hyperlink" Target="https://protc.id/wp-content/uploads/2026/04/permenkes-no-3-tahun-2026.pdf" TargetMode="External"/><Relationship Id="rId16"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2026-08-01T01:20:38.725Z</dcterms:created>
  <dcterms:modified xsi:type="dcterms:W3CDTF">2026-08-01T01:20:38.745Z</dcterms:modified>
</cp:coreProperties>
</file>

<file path=docProps/custom.xml><?xml version="1.0" encoding="utf-8"?>
<Properties xmlns="http://schemas.openxmlformats.org/officeDocument/2006/custom-properties" xmlns:vt="http://schemas.openxmlformats.org/officeDocument/2006/docPropsVTypes"/>
</file>