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7A1F3D" w:sz="4"/>
          <w:left w:val="single" w:color="7A1F3D" w:sz="4"/>
          <w:bottom w:val="single" w:color="7A1F3D" w:sz="4"/>
          <w:right w:val="single" w:color="7A1F3D" w:sz="4"/>
          <w:insideH w:val="single" w:color="auto" w:sz="4"/>
          <w:insideV w:val="single" w:color="auto" w:sz="4"/>
        </w:tblBorders>
      </w:tblPr>
      <w:tblGrid>
        <w:gridCol w:w="9360"/>
      </w:tblGrid>
      <w:tr>
        <w:tc>
          <w:tcPr>
            <w:tcW w:type="dxa" w:w="9360"/>
            <w:shd w:fill="F3E3E9" w:color="auto" w:val="clear"/>
            <w:tcMar>
              <w:top w:type="dxa" w:w="360"/>
              <w:left w:type="dxa" w:w="320"/>
              <w:bottom w:type="dxa" w:w="360"/>
              <w:right w:type="dxa" w:w="320"/>
            </w:tcMar>
          </w:tcPr>
          <w:p>
            <w:pPr>
              <w:spacing w:after="60"/>
            </w:pPr>
            <w:r>
              <w:rPr>
                <w:b/>
                <w:bCs/>
                <w:caps/>
                <w:color w:val="7A1F3D"/>
                <w:sz w:val="18"/>
                <w:szCs w:val="18"/>
              </w:rPr>
              <w:t xml:space="preserve">PANDUAN PRAKTIK KLINIS (PPK) — KSM OBSTETRI &amp; GINEKOLOGI</w:t>
            </w:r>
          </w:p>
          <w:p>
            <w:pPr>
              <w:spacing w:after="180"/>
            </w:pPr>
            <w:r>
              <w:rPr>
                <w:b/>
                <w:bCs/>
                <w:color w:val="7A1F3D"/>
                <w:sz w:val="40"/>
                <w:szCs w:val="40"/>
              </w:rPr>
              <w:t xml:space="preserve">Perawatan Paliatif Ginekologi Holistik</w:t>
            </w:r>
          </w:p>
          <w:tbl>
            <w:tblPr>
              <w:tblW w:type="dxa" w:w="8880"/>
              <w:tblBorders>
                <w:top w:val="none" w:color="FFFFFF" w:sz="0"/>
                <w:left w:val="none" w:color="FFFFFF" w:sz="0"/>
                <w:bottom w:val="none" w:color="FFFFFF" w:sz="0"/>
                <w:right w:val="none" w:color="FFFFFF" w:sz="0"/>
                <w:insideH w:val="single" w:color="auto" w:sz="4"/>
                <w:insideV w:val="single" w:color="auto" w:sz="4"/>
              </w:tblBorders>
            </w:tblPr>
            <w:tblGrid>
              <w:gridCol w:w="2600"/>
              <w:gridCol w:w="2600"/>
              <w:gridCol w:w="3680"/>
            </w:tblGrid>
            <w:tr>
              <w:tc>
                <w:tcPr>
                  <w:tcW w:type="dxa" w:w="2600"/>
                  <w:tcBorders>
                    <w:top w:val="single" w:color="7A1F3D" w:sz="4"/>
                    <w:left w:val="single" w:color="7A1F3D" w:sz="4"/>
                    <w:bottom w:val="single" w:color="7A1F3D" w:sz="4"/>
                    <w:right w:val="single" w:color="7A1F3D" w:sz="4"/>
                  </w:tcBorders>
                  <w:shd w:fill="7A1F3D" w:color="auto" w:val="clear"/>
                  <w:tcMar>
                    <w:top w:type="dxa" w:w="90"/>
                    <w:left w:type="dxa" w:w="160"/>
                    <w:bottom w:type="dxa" w:w="90"/>
                    <w:right w:type="dxa" w:w="160"/>
                  </w:tcMar>
                </w:tcPr>
                <w:p>
                  <w:pPr>
                    <w:jc w:val="center"/>
                  </w:pPr>
                  <w:r>
                    <w:rPr>
                      <w:b/>
                      <w:bCs/>
                      <w:color w:val="FFFFFF"/>
                      <w:sz w:val="18"/>
                      <w:szCs w:val="18"/>
                    </w:rPr>
                    <w:t xml:space="preserve">PPK</w:t>
                  </w:r>
                </w:p>
              </w:tc>
              <w:tc>
                <w:tcPr>
                  <w:tcW w:type="dxa" w:w="2600"/>
                  <w:tcBorders>
                    <w:top w:val="single" w:color="7A1F3D" w:sz="4"/>
                    <w:left w:val="single" w:color="7A1F3D" w:sz="4"/>
                    <w:bottom w:val="single" w:color="7A1F3D" w:sz="4"/>
                    <w:right w:val="single" w:color="7A1F3D" w:sz="4"/>
                  </w:tcBorders>
                  <w:shd w:fill="FFFFFF" w:color="auto" w:val="clear"/>
                  <w:tcMar>
                    <w:top w:type="dxa" w:w="90"/>
                    <w:left w:type="dxa" w:w="160"/>
                    <w:bottom w:type="dxa" w:w="90"/>
                    <w:right w:type="dxa" w:w="160"/>
                  </w:tcMar>
                </w:tcPr>
                <w:p>
                  <w:pPr>
                    <w:jc w:val="center"/>
                  </w:pPr>
                  <w:r>
                    <w:rPr>
                      <w:b/>
                      <w:bCs/>
                      <w:color w:val="7A1F3D"/>
                      <w:sz w:val="18"/>
                      <w:szCs w:val="18"/>
                    </w:rPr>
                    <w:t xml:space="preserve">Buku Sumber: Buku 10</w:t>
                  </w:r>
                </w:p>
              </w:tc>
              <w:tc>
                <w:tcPr>
                  <w:tcW w:type="dxa" w:w="2600"/>
                  <w:tcBorders>
                    <w:top w:val="single" w:color="7A1F3D" w:sz="4"/>
                    <w:left w:val="single" w:color="7A1F3D" w:sz="4"/>
                    <w:bottom w:val="single" w:color="7A1F3D" w:sz="4"/>
                    <w:right w:val="single" w:color="7A1F3D" w:sz="4"/>
                  </w:tcBorders>
                  <w:shd w:fill="FFFFFF" w:color="auto" w:val="clear"/>
                  <w:tcMar>
                    <w:top w:type="dxa" w:w="90"/>
                    <w:left w:type="dxa" w:w="160"/>
                    <w:bottom w:type="dxa" w:w="90"/>
                    <w:right w:type="dxa" w:w="160"/>
                  </w:tcMar>
                </w:tcPr>
                <w:p>
                  <w:pPr>
                    <w:jc w:val="center"/>
                  </w:pPr>
                  <w:r>
                    <w:rPr>
                      <w:b/>
                      <w:bCs/>
                      <w:color w:val="7A1F3D"/>
                      <w:sz w:val="18"/>
                      <w:szCs w:val="18"/>
                    </w:rPr>
                    <w:t xml:space="preserve">Seri Obstetri Ginekologi Sosial</w:t>
                  </w:r>
                </w:p>
              </w:tc>
            </w:tr>
          </w:tbl>
          <w:tbl>
            <w:tblPr>
              <w:tblW w:type="dxa" w:w="8880"/>
              <w:tblBorders>
                <w:top w:val="none" w:color="FFFFFF" w:sz="0"/>
                <w:left w:val="none" w:color="FFFFFF" w:sz="0"/>
                <w:bottom w:val="none" w:color="FFFFFF" w:sz="0"/>
                <w:right w:val="none" w:color="FFFFFF" w:sz="0"/>
                <w:insideH w:val="single" w:color="auto" w:sz="4"/>
                <w:insideV w:val="single" w:color="auto" w:sz="4"/>
              </w:tblBorders>
            </w:tblPr>
            <w:tblGrid>
              <w:gridCol w:w="4440"/>
              <w:gridCol w:w="4440"/>
            </w:tblGrid>
            <w:tr>
              <w:tc>
                <w:tcPr>
                  <w:tcW w:type="dxa" w:w="2600"/>
                  <w:tcBorders>
                    <w:top w:val="single" w:color="7A1F3D" w:sz="4"/>
                    <w:left w:val="single" w:color="7A1F3D" w:sz="4"/>
                    <w:bottom w:val="single" w:color="7A1F3D" w:sz="4"/>
                    <w:right w:val="single" w:color="7A1F3D" w:sz="4"/>
                  </w:tcBorders>
                  <w:shd w:fill="FFFFFF" w:color="auto" w:val="clear"/>
                  <w:tcMar>
                    <w:top w:type="dxa" w:w="90"/>
                    <w:left w:type="dxa" w:w="160"/>
                    <w:bottom w:type="dxa" w:w="90"/>
                    <w:right w:type="dxa" w:w="160"/>
                  </w:tcMar>
                </w:tcPr>
                <w:p>
                  <w:pPr>
                    <w:jc w:val="center"/>
                  </w:pPr>
                  <w:r>
                    <w:rPr>
                      <w:b/>
                      <w:bCs/>
                      <w:color w:val="7A1F3D"/>
                      <w:sz w:val="18"/>
                      <w:szCs w:val="18"/>
                    </w:rPr>
                    <w:t xml:space="preserve">Selaras Standar Nasional (KKI 2026)</w:t>
                  </w:r>
                </w:p>
              </w:tc>
              <w:tc>
                <w:tcPr>
                  <w:tcW w:type="dxa" w:w="2600"/>
                  <w:tcBorders>
                    <w:top w:val="single" w:color="7A1F3D" w:sz="4"/>
                    <w:left w:val="single" w:color="7A1F3D" w:sz="4"/>
                    <w:bottom w:val="single" w:color="7A1F3D" w:sz="4"/>
                    <w:right w:val="single" w:color="7A1F3D" w:sz="4"/>
                  </w:tcBorders>
                  <w:shd w:fill="FFFFFF" w:color="auto" w:val="clear"/>
                  <w:tcMar>
                    <w:top w:type="dxa" w:w="90"/>
                    <w:left w:type="dxa" w:w="160"/>
                    <w:bottom w:type="dxa" w:w="90"/>
                    <w:right w:type="dxa" w:w="160"/>
                  </w:tcMar>
                </w:tcPr>
                <w:p>
                  <w:pPr>
                    <w:jc w:val="center"/>
                  </w:pPr>
                  <w:r>
                    <w:rPr>
                      <w:b/>
                      <w:bCs/>
                      <w:color w:val="7A1F3D"/>
                      <w:sz w:val="18"/>
                      <w:szCs w:val="18"/>
                    </w:rPr>
                    <w:t xml:space="preserve">Selaras Standar Internasional (WHO/ESMO/NCCN/ASCO/SGO/EAPC/ESGO)</w:t>
                  </w:r>
                </w:p>
              </w:tc>
            </w:tr>
          </w:tbl>
          <w:p>
            <w:pPr>
              <w:spacing w:after="20" w:before="220"/>
            </w:pPr>
            <w:r>
              <w:rPr>
                <w:b/>
                <w:bCs/>
                <w:color w:val="2B2B2B"/>
                <w:sz w:val="20"/>
                <w:szCs w:val="20"/>
              </w:rPr>
              <w:t xml:space="preserve">Rumah Sakit: </w:t>
            </w:r>
            <w:r>
              <w:rPr>
                <w:color w:val="2B2B2B"/>
                <w:sz w:val="20"/>
                <w:szCs w:val="20"/>
              </w:rPr>
              <w:t xml:space="preserve">[Nama Rumah Sakit]</w:t>
            </w:r>
          </w:p>
          <w:p>
            <w:pPr>
              <w:spacing w:after="20"/>
            </w:pPr>
            <w:r>
              <w:rPr>
                <w:b/>
                <w:bCs/>
                <w:color w:val="2B2B2B"/>
                <w:sz w:val="20"/>
                <w:szCs w:val="20"/>
              </w:rPr>
              <w:t xml:space="preserve">KSM / Departemen: </w:t>
            </w:r>
            <w:r>
              <w:rPr>
                <w:color w:val="2B2B2B"/>
                <w:sz w:val="20"/>
                <w:szCs w:val="20"/>
              </w:rPr>
              <w:t xml:space="preserve">[Nama KSM/Departemen] — Subspesialis Obstetri Ginekologi Sosial</w:t>
            </w:r>
          </w:p>
          <w:p>
            <w:pPr>
              <w:spacing w:after="20"/>
            </w:pPr>
            <w:r>
              <w:rPr>
                <w:b/>
                <w:bCs/>
                <w:color w:val="2B2B2B"/>
                <w:sz w:val="20"/>
                <w:szCs w:val="20"/>
              </w:rPr>
              <w:t xml:space="preserve">Nomor Dokumen: </w:t>
            </w:r>
            <w:r>
              <w:rPr>
                <w:color w:val="2B2B2B"/>
                <w:sz w:val="20"/>
                <w:szCs w:val="20"/>
              </w:rPr>
              <w:t xml:space="preserve">[Nomor Dokumen]</w:t>
            </w:r>
          </w:p>
          <w:p>
            <w:pPr>
              <w:spacing w:after="20"/>
            </w:pPr>
            <w:r>
              <w:rPr>
                <w:b/>
                <w:bCs/>
                <w:color w:val="2B2B2B"/>
                <w:sz w:val="20"/>
                <w:szCs w:val="20"/>
              </w:rPr>
              <w:t xml:space="preserve">Tanggal Berlaku / Tinjau Ulang: </w:t>
            </w:r>
            <w:r>
              <w:rPr>
                <w:color w:val="2B2B2B"/>
                <w:sz w:val="20"/>
                <w:szCs w:val="20"/>
              </w:rPr>
              <w:t xml:space="preserve">[Tanggal Berlaku] / [Tanggal Tinjau Ulang]</w:t>
            </w:r>
          </w:p>
          <w:p>
            <w:pPr>
              <w:pBdr>
                <w:top w:val="single" w:color="E3B9C7" w:sz="6" w:space="8"/>
              </w:pBdr>
              <w:spacing w:after="10" w:before="200"/>
            </w:pPr>
            <w:r>
              <w:rPr>
                <w:b/>
                <w:bCs/>
                <w:color w:val="2B2B2B"/>
                <w:sz w:val="19"/>
                <w:szCs w:val="19"/>
              </w:rPr>
              <w:t xml:space="preserve">Penulis/Penyusun: </w:t>
            </w:r>
            <w:r>
              <w:rPr>
                <w:color w:val="2B2B2B"/>
                <w:sz w:val="19"/>
                <w:szCs w:val="19"/>
              </w:rPr>
              <w:t xml:space="preserve">Dr.dr. Budi Siswanto, Sp.OG., Subsp.Obginsos., SH., S.Kom.</w:t>
            </w:r>
          </w:p>
          <w:p>
            <w:pPr>
              <w:spacing w:after="10"/>
            </w:pPr>
            <w:r>
              <w:rPr>
                <w:b/>
                <w:bCs/>
                <w:color w:val="2B2B2B"/>
                <w:sz w:val="19"/>
                <w:szCs w:val="19"/>
              </w:rPr>
              <w:t xml:space="preserve">Penerbit: </w:t>
            </w:r>
            <w:r>
              <w:rPr>
                <w:color w:val="2B2B2B"/>
                <w:sz w:val="19"/>
                <w:szCs w:val="19"/>
              </w:rPr>
              <w:t xml:space="preserve">Perpustakaan ABBA</w:t>
            </w:r>
          </w:p>
          <w:p>
            <w:r>
              <w:rPr>
                <w:b/>
                <w:bCs/>
                <w:color w:val="2B2B2B"/>
                <w:sz w:val="19"/>
                <w:szCs w:val="19"/>
              </w:rPr>
              <w:t xml:space="preserve">Alamat Penerbit: </w:t>
            </w:r>
            <w:r>
              <w:rPr>
                <w:color w:val="2B2B2B"/>
                <w:sz w:val="19"/>
                <w:szCs w:val="19"/>
              </w:rPr>
              <w:t xml:space="preserve">Jl Danau Kerinci No 9 Malang</w:t>
            </w:r>
          </w:p>
        </w:tc>
      </w:tr>
    </w:tbl>
    <w:p>
      <w:pPr>
        <w:spacing w:after="2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shd w:fill="7A1F3D" w:color="auto" w:val="clear"/>
            <w:tcMar>
              <w:top w:type="dxa" w:w="120"/>
              <w:left w:type="dxa" w:w="200"/>
              <w:bottom w:type="dxa" w:w="120"/>
              <w:right w:type="dxa" w:w="200"/>
            </w:tcMar>
            <w:vAlign w:val="center"/>
          </w:tcPr>
          <w:p>
            <w:pPr>
              <w:spacing w:after="0" w:before="0"/>
            </w:pPr>
            <w:r>
              <w:rPr>
                <w:rFonts w:ascii="Calibri" w:cs="Calibri" w:eastAsia="Calibri" w:hAnsi="Calibri"/>
                <w:b/>
                <w:bCs/>
                <w:color w:val="FFFFFF"/>
                <w:sz w:val="24"/>
                <w:szCs w:val="24"/>
              </w:rPr>
              <w:t xml:space="preserve">1. </w:t>
            </w:r>
            <w:r>
              <w:rPr>
                <w:rFonts w:ascii="Calibri" w:cs="Calibri" w:eastAsia="Calibri" w:hAnsi="Calibri"/>
                <w:b/>
                <w:bCs/>
                <w:color w:val="FFFFFF"/>
                <w:sz w:val="24"/>
                <w:szCs w:val="24"/>
              </w:rPr>
              <w:t xml:space="preserve">Pengertian (Definisi)</w:t>
            </w:r>
          </w:p>
        </w:tc>
      </w:tr>
    </w:tbl>
    <w:tbl>
      <w:tblPr>
        <w:tblW w:type="dxa" w:w="9360"/>
        <w:tblBorders>
          <w:top w:val="single" w:color="E3B9C7" w:sz="4"/>
          <w:left w:val="single" w:color="E3B9C7" w:sz="4"/>
          <w:bottom w:val="single" w:color="E3B9C7" w:sz="4"/>
          <w:right w:val="single" w:color="E3B9C7" w:sz="4"/>
          <w:insideH w:val="single" w:color="auto" w:sz="4"/>
          <w:insideV w:val="single" w:color="auto" w:sz="4"/>
        </w:tblBorders>
      </w:tblPr>
      <w:tblGrid>
        <w:gridCol w:w="9360"/>
      </w:tblGrid>
      <w:tr>
        <w:tc>
          <w:tcPr>
            <w:tcW w:type="dxa" w:w="9360"/>
            <w:shd w:fill="FFFFFF" w:color="auto" w:val="clear"/>
            <w:tcMar>
              <w:top w:type="dxa" w:w="160"/>
              <w:left w:type="dxa" w:w="220"/>
              <w:bottom w:type="dxa" w:w="200"/>
              <w:right w:type="dxa" w:w="220"/>
            </w:tcMar>
          </w:tcPr>
          <w:p>
            <w:pPr>
              <w:spacing w:after="100" w:before="40" w:line="276"/>
            </w:pPr>
            <w:r>
              <w:rPr>
                <w:b w:val="false"/>
                <w:bCs w:val="false"/>
                <w:i w:val="false"/>
                <w:iCs w:val="false"/>
                <w:color w:val="2B2B2B"/>
                <w:sz w:val="21"/>
                <w:szCs w:val="21"/>
              </w:rPr>
              <w:t xml:space="preserve">Perawatan paliatif ginekologi holistik adalah pendekatan asuhan interdisipliner yang berorientasi pada peningkatan kualitas hidup pasien dengan penyakit ginekologi yang mengancam jiwa — terutama keganasan ginekologi stadium lanjut/rekuren yang tidak lagi respons terhadap terapi kuratif (kanker ovarium, serviks, endometrium, vulva, koriokarsinoma gestasional refrakter), maupun kondisi ginekologi non-onkologi dengan prognosis terminal, mengikuti definisi perawatan paliatif WHO sebagai pendekatan yang meningkatkan kualitas hidup pasien dan keluarga melalui pencegahan dan peredaan penderitaan fisik, psikososial, dan spiritual (WHO, Palliative Care Fact Sheet, 2020).</w:t>
            </w:r>
          </w:p>
          <w:p>
            <w:pPr>
              <w:spacing w:after="100" w:before="40" w:line="276"/>
            </w:pPr>
            <w:r>
              <w:rPr>
                <w:b w:val="false"/>
                <w:bCs w:val="false"/>
                <w:i w:val="false"/>
                <w:iCs w:val="false"/>
                <w:color w:val="2B2B2B"/>
                <w:sz w:val="21"/>
                <w:szCs w:val="21"/>
              </w:rPr>
              <w:t xml:space="preserve">Pendekatan ini mencakup pengendalian nyeri dan gejala fisik, dukungan psikologis, sosial, dan spiritual bagi pasien maupun keluarga, dimulai sejak diagnosis penyakit lanjut (integrasi paliatif dini, sejalan dengan rekomendasi American Society of Clinical Oncology/ASCO bahwa perawatan paliatif diintegrasikan sedini mungkin setelah diagnosis kanker stadium lanjut ditegakkan — Smith dkk., 2012; Ferrell dkk., 2017), berlanjut pada fase paliatif lanjut, fase menjelang ajal (end-of-life care), hingga dukungan berkabung (bereavement support) bagi keluarga yang ditinggalkan.</w:t>
            </w:r>
          </w:p>
          <w:p>
            <w:pPr>
              <w:spacing w:after="100" w:before="40" w:line="276"/>
            </w:pPr>
            <w:r>
              <w:rPr>
                <w:b w:val="false"/>
                <w:bCs w:val="false"/>
                <w:i w:val="false"/>
                <w:iCs w:val="false"/>
                <w:color w:val="2B2B2B"/>
                <w:sz w:val="21"/>
                <w:szCs w:val="21"/>
              </w:rPr>
              <w:t xml:space="preserve">Prinsip dasar: paliatif BUKAN berarti "tidak ada lagi yang bisa dilakukan", melainkan pengalihan fokus dari terapi kuratif ke terapi suportif-simtomatik yang aktif, terstruktur, dan bermartabat.</w:t>
            </w:r>
          </w:p>
          <w:p>
            <w:pPr>
              <w:spacing w:after="60" w:before="140"/>
            </w:pPr>
            <w:r>
              <w:rPr>
                <w:b/>
                <w:bCs/>
                <w:color w:val="7A1F3D"/>
                <w:sz w:val="21"/>
                <w:szCs w:val="21"/>
              </w:rPr>
              <w:t xml:space="preserve">Kesesuaian Standar Nasional dan Internasional</w:t>
            </w:r>
          </w:p>
          <w:p>
            <w:pPr>
              <w:spacing w:after="100" w:before="40" w:line="276"/>
            </w:pPr>
            <w:r>
              <w:rPr>
                <w:b w:val="false"/>
                <w:bCs w:val="false"/>
                <w:i w:val="false"/>
                <w:iCs w:val="false"/>
                <w:color w:val="2B2B2B"/>
                <w:sz w:val="21"/>
                <w:szCs w:val="21"/>
              </w:rPr>
              <w:t xml:space="preserve">Secara nasional, PPK ini disusun sejalan dengan Keputusan Ketua Konsil Kesehatan Indonesia Nomor HK.01.02/KKI/1318/2026 tentang Standar Kompetensi Dokter Spesialis dan Subspesialis Bidang Obstetri dan Ginekologi, yang mensyaratkan penguasaan kompetensi paliatif dan etikolegal secara mandiri-tuntas bagi Subspesialis Obstetri Ginekologi Sosial, serta Keputusan Menteri Kesehatan RI Nomor HK.01.07/MENKES/2180/2023 tentang Pedoman Penyelenggaraan Pelayanan Paliatif.</w:t>
            </w:r>
          </w:p>
          <w:p>
            <w:pPr>
              <w:spacing w:after="100" w:before="40" w:line="276"/>
            </w:pPr>
            <w:r>
              <w:rPr>
                <w:b w:val="false"/>
                <w:bCs w:val="false"/>
                <w:i w:val="false"/>
                <w:iCs w:val="false"/>
                <w:color w:val="2B2B2B"/>
                <w:sz w:val="21"/>
                <w:szCs w:val="21"/>
              </w:rPr>
              <w:t xml:space="preserve">Secara internasional, muatan kompetensi PPK ini merujuk pada kerangka pelatihan subspesialisasi ginekologi onkologi/ginekologi sosial yang berlaku luas, antara lain European Training Requirements for Gynaecological Oncology: The ESGO Curriculum (European Society of Gynaecological Oncology, revisi 2025), yang secara eksplisit memasukkan modul paliatif dan komunikasi akhir hayat sebagai kompetensi wajib subspesialis. Kesenjangan pelatihan paliatif pada fellowship ginekologi onkologi yang dilaporkan pada studi Eskander dkk. (2014) menjadi salah satu justifikasi ilmiah mengapa PPK ini menuliskan protokol tata laksana secara rinci dan eksplisit, bukan sekadar prinsip umum.</w:t>
            </w:r>
          </w:p>
        </w:tc>
      </w:tr>
    </w:tbl>
    <w:p>
      <w:pPr>
        <w:spacing w:after="12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shd w:fill="7A1F3D" w:color="auto" w:val="clear"/>
            <w:tcMar>
              <w:top w:type="dxa" w:w="120"/>
              <w:left w:type="dxa" w:w="200"/>
              <w:bottom w:type="dxa" w:w="120"/>
              <w:right w:type="dxa" w:w="200"/>
            </w:tcMar>
            <w:vAlign w:val="center"/>
          </w:tcPr>
          <w:p>
            <w:pPr>
              <w:spacing w:after="0" w:before="0"/>
            </w:pPr>
            <w:r>
              <w:rPr>
                <w:rFonts w:ascii="Calibri" w:cs="Calibri" w:eastAsia="Calibri" w:hAnsi="Calibri"/>
                <w:b/>
                <w:bCs/>
                <w:color w:val="FFFFFF"/>
                <w:sz w:val="24"/>
                <w:szCs w:val="24"/>
              </w:rPr>
              <w:t xml:space="preserve">2. </w:t>
            </w:r>
            <w:r>
              <w:rPr>
                <w:rFonts w:ascii="Calibri" w:cs="Calibri" w:eastAsia="Calibri" w:hAnsi="Calibri"/>
                <w:b/>
                <w:bCs/>
                <w:color w:val="FFFFFF"/>
                <w:sz w:val="24"/>
                <w:szCs w:val="24"/>
              </w:rPr>
              <w:t xml:space="preserve">Anamnesis</w:t>
            </w:r>
          </w:p>
        </w:tc>
      </w:tr>
    </w:tbl>
    <w:tbl>
      <w:tblPr>
        <w:tblW w:type="dxa" w:w="9360"/>
        <w:tblBorders>
          <w:top w:val="single" w:color="E3B9C7" w:sz="4"/>
          <w:left w:val="single" w:color="E3B9C7" w:sz="4"/>
          <w:bottom w:val="single" w:color="E3B9C7" w:sz="4"/>
          <w:right w:val="single" w:color="E3B9C7" w:sz="4"/>
          <w:insideH w:val="single" w:color="auto" w:sz="4"/>
          <w:insideV w:val="single" w:color="auto" w:sz="4"/>
        </w:tblBorders>
      </w:tblPr>
      <w:tblGrid>
        <w:gridCol w:w="9360"/>
      </w:tblGrid>
      <w:tr>
        <w:tc>
          <w:tcPr>
            <w:tcW w:type="dxa" w:w="9360"/>
            <w:shd w:fill="FFFFFF" w:color="auto" w:val="clear"/>
            <w:tcMar>
              <w:top w:type="dxa" w:w="160"/>
              <w:left w:type="dxa" w:w="220"/>
              <w:bottom w:type="dxa" w:w="200"/>
              <w:right w:type="dxa" w:w="220"/>
            </w:tcMar>
          </w:tcPr>
          <w:p>
            <w:pPr>
              <w:spacing w:after="60" w:before="140"/>
            </w:pPr>
            <w:r>
              <w:rPr>
                <w:b/>
                <w:bCs/>
                <w:color w:val="7A1F3D"/>
                <w:sz w:val="21"/>
                <w:szCs w:val="21"/>
              </w:rPr>
              <w:t xml:space="preserve">Riwayat Penyakit</w:t>
            </w:r>
          </w:p>
          <w:p>
            <w:pPr>
              <w:pStyle w:val="ListParagraph"/>
              <w:numPr>
                <w:ilvl w:val="0"/>
                <w:numId w:val="2"/>
              </w:numPr>
              <w:spacing w:after="60" w:before="20" w:line="268"/>
            </w:pPr>
            <w:r>
              <w:rPr>
                <w:b w:val="false"/>
                <w:bCs w:val="false"/>
                <w:color w:val="2B2B2B"/>
                <w:sz w:val="21"/>
                <w:szCs w:val="21"/>
              </w:rPr>
              <w:t xml:space="preserve">Diagnosis ginekologi utama, stadium (sistem FIGO terkini), riwayat terapi (operasi, kemoterapi, radioterapi, terapi target) dan respons terhadap terapi.</w:t>
            </w:r>
          </w:p>
          <w:p>
            <w:pPr>
              <w:pStyle w:val="ListParagraph"/>
              <w:numPr>
                <w:ilvl w:val="0"/>
                <w:numId w:val="2"/>
              </w:numPr>
              <w:spacing w:after="60" w:before="20" w:line="268"/>
            </w:pPr>
            <w:r>
              <w:rPr>
                <w:b w:val="false"/>
                <w:bCs w:val="false"/>
                <w:color w:val="2B2B2B"/>
                <w:sz w:val="21"/>
                <w:szCs w:val="21"/>
              </w:rPr>
              <w:t xml:space="preserve">Onset, karakter, lokasi, intensitas nyeri (skala numerik 0–10), pola perdarahan pervaginam, keputihan berbau, gejala obstruksi usus (mual, muntah, distensi, konstipasi), sesak napas, kelelahan (fatigue).</w:t>
            </w:r>
          </w:p>
          <w:p>
            <w:pPr>
              <w:pStyle w:val="ListParagraph"/>
              <w:numPr>
                <w:ilvl w:val="0"/>
                <w:numId w:val="2"/>
              </w:numPr>
              <w:spacing w:after="60" w:before="20" w:line="268"/>
            </w:pPr>
            <w:r>
              <w:rPr>
                <w:b w:val="false"/>
                <w:bCs w:val="false"/>
                <w:color w:val="2B2B2B"/>
                <w:sz w:val="21"/>
                <w:szCs w:val="21"/>
              </w:rPr>
              <w:t xml:space="preserve">Perubahan berat badan, asupan oral, gangguan tidur, dan gejala psikologis (cemas, sedih, putus asa).</w:t>
            </w:r>
          </w:p>
          <w:p>
            <w:pPr>
              <w:spacing w:after="60" w:before="140"/>
            </w:pPr>
            <w:r>
              <w:rPr>
                <w:b/>
                <w:bCs/>
                <w:color w:val="7A1F3D"/>
                <w:sz w:val="21"/>
                <w:szCs w:val="21"/>
              </w:rPr>
              <w:t xml:space="preserve">Status Fungsional dan Prognostik</w:t>
            </w:r>
          </w:p>
          <w:p>
            <w:pPr>
              <w:pStyle w:val="ListParagraph"/>
              <w:numPr>
                <w:ilvl w:val="0"/>
                <w:numId w:val="2"/>
              </w:numPr>
              <w:spacing w:after="60" w:before="20" w:line="268"/>
            </w:pPr>
            <w:r>
              <w:rPr>
                <w:b w:val="false"/>
                <w:bCs w:val="false"/>
                <w:color w:val="2B2B2B"/>
                <w:sz w:val="21"/>
                <w:szCs w:val="21"/>
              </w:rPr>
              <w:t xml:space="preserve">Penilaian status performa menggunakan ECOG Performance Status atau Palliative Performance Scale versi 2 (PPSv2), instrumen tervalidasi yang dikembangkan oleh Victoria Hospice Society berdasarkan modifikasi Karnofsky Performance Scale (Anderson dkk., 1996).</w:t>
            </w:r>
          </w:p>
          <w:p>
            <w:pPr>
              <w:pStyle w:val="ListParagraph"/>
              <w:numPr>
                <w:ilvl w:val="0"/>
                <w:numId w:val="2"/>
              </w:numPr>
              <w:spacing w:after="60" w:before="20" w:line="268"/>
            </w:pPr>
            <w:r>
              <w:rPr>
                <w:b w:val="false"/>
                <w:bCs w:val="false"/>
                <w:color w:val="2B2B2B"/>
                <w:sz w:val="21"/>
                <w:szCs w:val="21"/>
              </w:rPr>
              <w:t xml:space="preserve">Kemampuan aktivitas harian (activities of daily living), tingkat ketergantungan pada pengasuh.</w:t>
            </w:r>
          </w:p>
          <w:p>
            <w:pPr>
              <w:spacing w:after="60" w:before="140"/>
            </w:pPr>
            <w:r>
              <w:rPr>
                <w:b/>
                <w:bCs/>
                <w:color w:val="7A1F3D"/>
                <w:sz w:val="21"/>
                <w:szCs w:val="21"/>
              </w:rPr>
              <w:t xml:space="preserve">Riwayat Psikososial dan Spiritual</w:t>
            </w:r>
          </w:p>
          <w:p>
            <w:pPr>
              <w:pStyle w:val="ListParagraph"/>
              <w:numPr>
                <w:ilvl w:val="0"/>
                <w:numId w:val="2"/>
              </w:numPr>
              <w:spacing w:after="60" w:before="20" w:line="268"/>
            </w:pPr>
            <w:r>
              <w:rPr>
                <w:b w:val="false"/>
                <w:bCs w:val="false"/>
                <w:color w:val="2B2B2B"/>
                <w:sz w:val="21"/>
                <w:szCs w:val="21"/>
              </w:rPr>
              <w:t xml:space="preserve">Pemahaman pasien dan keluarga terhadap diagnosis, stadium, dan prognosis penyakit.</w:t>
            </w:r>
          </w:p>
          <w:p>
            <w:pPr>
              <w:pStyle w:val="ListParagraph"/>
              <w:numPr>
                <w:ilvl w:val="0"/>
                <w:numId w:val="2"/>
              </w:numPr>
              <w:spacing w:after="60" w:before="20" w:line="268"/>
            </w:pPr>
            <w:r>
              <w:rPr>
                <w:b w:val="false"/>
                <w:bCs w:val="false"/>
                <w:color w:val="2B2B2B"/>
                <w:sz w:val="21"/>
                <w:szCs w:val="21"/>
              </w:rPr>
              <w:t xml:space="preserve">Preferensi advance care planning (ACP): tempat perawatan yang diinginkan, keinginan resusitasi, siapa pengambil keputusan bila pasien tidak kompeten.</w:t>
            </w:r>
          </w:p>
          <w:p>
            <w:pPr>
              <w:pStyle w:val="ListParagraph"/>
              <w:numPr>
                <w:ilvl w:val="0"/>
                <w:numId w:val="2"/>
              </w:numPr>
              <w:spacing w:after="60" w:before="20" w:line="268"/>
            </w:pPr>
            <w:r>
              <w:rPr>
                <w:b w:val="false"/>
                <w:bCs w:val="false"/>
                <w:color w:val="2B2B2B"/>
                <w:sz w:val="21"/>
                <w:szCs w:val="21"/>
              </w:rPr>
              <w:t xml:space="preserve">Latar belakang agama/kepercayaan dan kebutuhan spiritual, struktur keluarga dan sistem dukungan (support system), serta kebutuhan sosial-ekonomi pengasuh utama, mengacu pada domain skrining kebutuhan sosial yang direkomendasikan Society of Gynecologic Oncology (Esselen dkk., 2020): tekanan finansial, keamanan pekerjaan, pangan, tempat tinggal, transportasi, literasi kesehatan, dan beban pengasuh.</w:t>
            </w:r>
          </w:p>
        </w:tc>
      </w:tr>
    </w:tbl>
    <w:p>
      <w:pPr>
        <w:spacing w:after="12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shd w:fill="7A1F3D" w:color="auto" w:val="clear"/>
            <w:tcMar>
              <w:top w:type="dxa" w:w="120"/>
              <w:left w:type="dxa" w:w="200"/>
              <w:bottom w:type="dxa" w:w="120"/>
              <w:right w:type="dxa" w:w="200"/>
            </w:tcMar>
            <w:vAlign w:val="center"/>
          </w:tcPr>
          <w:p>
            <w:pPr>
              <w:spacing w:after="0" w:before="0"/>
            </w:pPr>
            <w:r>
              <w:rPr>
                <w:rFonts w:ascii="Calibri" w:cs="Calibri" w:eastAsia="Calibri" w:hAnsi="Calibri"/>
                <w:b/>
                <w:bCs/>
                <w:color w:val="FFFFFF"/>
                <w:sz w:val="24"/>
                <w:szCs w:val="24"/>
              </w:rPr>
              <w:t xml:space="preserve">3. </w:t>
            </w:r>
            <w:r>
              <w:rPr>
                <w:rFonts w:ascii="Calibri" w:cs="Calibri" w:eastAsia="Calibri" w:hAnsi="Calibri"/>
                <w:b/>
                <w:bCs/>
                <w:color w:val="FFFFFF"/>
                <w:sz w:val="24"/>
                <w:szCs w:val="24"/>
              </w:rPr>
              <w:t xml:space="preserve">Pemeriksaan Fisik</w:t>
            </w:r>
          </w:p>
        </w:tc>
      </w:tr>
    </w:tbl>
    <w:tbl>
      <w:tblPr>
        <w:tblW w:type="dxa" w:w="9360"/>
        <w:tblBorders>
          <w:top w:val="single" w:color="E3B9C7" w:sz="4"/>
          <w:left w:val="single" w:color="E3B9C7" w:sz="4"/>
          <w:bottom w:val="single" w:color="E3B9C7" w:sz="4"/>
          <w:right w:val="single" w:color="E3B9C7" w:sz="4"/>
          <w:insideH w:val="single" w:color="auto" w:sz="4"/>
          <w:insideV w:val="single" w:color="auto" w:sz="4"/>
        </w:tblBorders>
      </w:tblPr>
      <w:tblGrid>
        <w:gridCol w:w="9360"/>
      </w:tblGrid>
      <w:tr>
        <w:tc>
          <w:tcPr>
            <w:tcW w:type="dxa" w:w="9360"/>
            <w:shd w:fill="FFFFFF" w:color="auto" w:val="clear"/>
            <w:tcMar>
              <w:top w:type="dxa" w:w="160"/>
              <w:left w:type="dxa" w:w="220"/>
              <w:bottom w:type="dxa" w:w="200"/>
              <w:right w:type="dxa" w:w="220"/>
            </w:tcMar>
          </w:tcPr>
          <w:p>
            <w:pPr>
              <w:pStyle w:val="ListParagraph"/>
              <w:numPr>
                <w:ilvl w:val="0"/>
                <w:numId w:val="2"/>
              </w:numPr>
              <w:spacing w:after="60" w:before="20" w:line="268"/>
            </w:pPr>
            <w:r>
              <w:rPr>
                <w:b w:val="false"/>
                <w:bCs w:val="false"/>
                <w:color w:val="2B2B2B"/>
                <w:sz w:val="21"/>
                <w:szCs w:val="21"/>
              </w:rPr>
              <w:t xml:space="preserve">Status generalis dan tanda vital; penilaian derajat kesakitan (tampak kesakitan ringan-berat).</w:t>
            </w:r>
          </w:p>
          <w:p>
            <w:pPr>
              <w:pStyle w:val="ListParagraph"/>
              <w:numPr>
                <w:ilvl w:val="0"/>
                <w:numId w:val="2"/>
              </w:numPr>
              <w:spacing w:after="60" w:before="20" w:line="268"/>
            </w:pPr>
            <w:r>
              <w:rPr>
                <w:b w:val="false"/>
                <w:bCs w:val="false"/>
                <w:color w:val="2B2B2B"/>
                <w:sz w:val="21"/>
                <w:szCs w:val="21"/>
              </w:rPr>
              <w:t xml:space="preserve">Penilaian status performa: ECOG 0–4 atau Palliative Performance Scale (PPSv2, skala 10–100%).</w:t>
            </w:r>
          </w:p>
          <w:p>
            <w:pPr>
              <w:pStyle w:val="ListParagraph"/>
              <w:numPr>
                <w:ilvl w:val="0"/>
                <w:numId w:val="2"/>
              </w:numPr>
              <w:spacing w:after="60" w:before="20" w:line="268"/>
            </w:pPr>
            <w:r>
              <w:rPr>
                <w:b w:val="false"/>
                <w:bCs w:val="false"/>
                <w:color w:val="2B2B2B"/>
                <w:sz w:val="21"/>
                <w:szCs w:val="21"/>
              </w:rPr>
              <w:t xml:space="preserve">Pemeriksaan abdomen: tanda asites (shifting dullness, undulasi), massa pelvis/abdomen, tanda ileus/obstruksi (distensi, bising usus abnormal).</w:t>
            </w:r>
          </w:p>
          <w:p>
            <w:pPr>
              <w:pStyle w:val="ListParagraph"/>
              <w:numPr>
                <w:ilvl w:val="0"/>
                <w:numId w:val="2"/>
              </w:numPr>
              <w:spacing w:after="60" w:before="20" w:line="268"/>
            </w:pPr>
            <w:r>
              <w:rPr>
                <w:b w:val="false"/>
                <w:bCs w:val="false"/>
                <w:color w:val="2B2B2B"/>
                <w:sz w:val="21"/>
                <w:szCs w:val="21"/>
              </w:rPr>
              <w:t xml:space="preserve">Pemeriksaan ginekologi (bila diindikasikan dan pasien mampu): perdarahan aktif, keputihan berbau (curiga fistula rekto-vaginal/vesiko-vaginal), lesi ulseratif eksternal.</w:t>
            </w:r>
          </w:p>
          <w:p>
            <w:pPr>
              <w:pStyle w:val="ListParagraph"/>
              <w:numPr>
                <w:ilvl w:val="0"/>
                <w:numId w:val="2"/>
              </w:numPr>
              <w:spacing w:after="60" w:before="20" w:line="268"/>
            </w:pPr>
            <w:r>
              <w:rPr>
                <w:b w:val="false"/>
                <w:bCs w:val="false"/>
                <w:color w:val="2B2B2B"/>
                <w:sz w:val="21"/>
                <w:szCs w:val="21"/>
              </w:rPr>
              <w:t xml:space="preserve">Pemeriksaan ekstremitas: limfedema tungkai, tanda deep vein thrombosis.</w:t>
            </w:r>
          </w:p>
          <w:p>
            <w:pPr>
              <w:pStyle w:val="ListParagraph"/>
              <w:numPr>
                <w:ilvl w:val="0"/>
                <w:numId w:val="2"/>
              </w:numPr>
              <w:spacing w:after="60" w:before="20" w:line="268"/>
            </w:pPr>
            <w:r>
              <w:rPr>
                <w:b w:val="false"/>
                <w:bCs w:val="false"/>
                <w:color w:val="2B2B2B"/>
                <w:sz w:val="21"/>
                <w:szCs w:val="21"/>
              </w:rPr>
              <w:t xml:space="preserve">Pada fase terminal (dying phase): pola napas Cheyne-Stokes atau napas dangkal ireguler, sianosis perifer/akral dingin, penurunan kesadaran progresif, oliguria/anuria, dan sekret jalan napas ("death rattle") — seluruh tanda ini WAJIB didokumentasikan untuk menetapkan fase terminal, sesuai indikator klinis yang digunakan pada algoritma skrining kebutuhan paliatif NCCN Clinical Practice Guidelines in Oncology: Palliative Care (Versi 3.2026).</w:t>
            </w:r>
          </w:p>
        </w:tc>
      </w:tr>
    </w:tbl>
    <w:p>
      <w:pPr>
        <w:spacing w:after="12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shd w:fill="7A1F3D" w:color="auto" w:val="clear"/>
            <w:tcMar>
              <w:top w:type="dxa" w:w="120"/>
              <w:left w:type="dxa" w:w="200"/>
              <w:bottom w:type="dxa" w:w="120"/>
              <w:right w:type="dxa" w:w="200"/>
            </w:tcMar>
            <w:vAlign w:val="center"/>
          </w:tcPr>
          <w:p>
            <w:pPr>
              <w:spacing w:after="0" w:before="0"/>
            </w:pPr>
            <w:r>
              <w:rPr>
                <w:rFonts w:ascii="Calibri" w:cs="Calibri" w:eastAsia="Calibri" w:hAnsi="Calibri"/>
                <w:b/>
                <w:bCs/>
                <w:color w:val="FFFFFF"/>
                <w:sz w:val="24"/>
                <w:szCs w:val="24"/>
              </w:rPr>
              <w:t xml:space="preserve">4. </w:t>
            </w:r>
            <w:r>
              <w:rPr>
                <w:rFonts w:ascii="Calibri" w:cs="Calibri" w:eastAsia="Calibri" w:hAnsi="Calibri"/>
                <w:b/>
                <w:bCs/>
                <w:color w:val="FFFFFF"/>
                <w:sz w:val="24"/>
                <w:szCs w:val="24"/>
              </w:rPr>
              <w:t xml:space="preserve">Kriteria Diagnosis</w:t>
            </w:r>
          </w:p>
        </w:tc>
      </w:tr>
    </w:tbl>
    <w:tbl>
      <w:tblPr>
        <w:tblW w:type="dxa" w:w="9360"/>
        <w:tblBorders>
          <w:top w:val="single" w:color="E3B9C7" w:sz="4"/>
          <w:left w:val="single" w:color="E3B9C7" w:sz="4"/>
          <w:bottom w:val="single" w:color="E3B9C7" w:sz="4"/>
          <w:right w:val="single" w:color="E3B9C7" w:sz="4"/>
          <w:insideH w:val="single" w:color="auto" w:sz="4"/>
          <w:insideV w:val="single" w:color="auto" w:sz="4"/>
        </w:tblBorders>
      </w:tblPr>
      <w:tblGrid>
        <w:gridCol w:w="9360"/>
      </w:tblGrid>
      <w:tr>
        <w:tc>
          <w:tcPr>
            <w:tcW w:type="dxa" w:w="9360"/>
            <w:shd w:fill="FFFFFF" w:color="auto" w:val="clear"/>
            <w:tcMar>
              <w:top w:type="dxa" w:w="160"/>
              <w:left w:type="dxa" w:w="220"/>
              <w:bottom w:type="dxa" w:w="200"/>
              <w:right w:type="dxa" w:w="220"/>
            </w:tcMar>
          </w:tcPr>
          <w:p>
            <w:pPr>
              <w:spacing w:after="100" w:before="40" w:line="276"/>
            </w:pPr>
            <w:r>
              <w:rPr>
                <w:b w:val="false"/>
                <w:bCs w:val="false"/>
                <w:i w:val="false"/>
                <w:iCs w:val="false"/>
                <w:color w:val="2B2B2B"/>
                <w:sz w:val="21"/>
                <w:szCs w:val="21"/>
              </w:rPr>
              <w:t xml:space="preserve">Penetapan kebutuhan perawatan paliatif ginekologi holistik menggunakan kombinasi pertanyaan skrining dan instrumen skor berikut, diadaptasi dari kriteria konsultasi paliatif NCCN Guidelines: Palliative Care (Versi 3.2026) dan rekomendasi integrasi dini ASCO (Smith dkk., 2012; Ferrell dkk., 2017):</w:t>
            </w:r>
          </w:p>
          <w:p>
            <w:pPr>
              <w:spacing w:after="60" w:before="140"/>
            </w:pPr>
            <w:r>
              <w:rPr>
                <w:b/>
                <w:bCs/>
                <w:color w:val="7A1F3D"/>
                <w:sz w:val="21"/>
                <w:szCs w:val="21"/>
              </w:rPr>
              <w:t xml:space="preserve">A. Surprise Question (skrining awal, wajib pada setiap pasien ginekologi stadium lanjut)</w:t>
            </w:r>
          </w:p>
          <w:p>
            <w:pPr>
              <w:spacing w:after="100" w:before="40" w:line="276"/>
            </w:pPr>
            <w:r>
              <w:rPr>
                <w:b w:val="false"/>
                <w:bCs w:val="false"/>
                <w:i w:val="false"/>
                <w:iCs w:val="false"/>
                <w:color w:val="2B2B2B"/>
                <w:sz w:val="21"/>
                <w:szCs w:val="21"/>
              </w:rPr>
              <w:t xml:space="preserve">"Apakah saya akan terkejut jika pasien ini meninggal dalam 12 bulan ke depan?" — bila jawaban TIDAK (tidak terkejut), rujuk tim paliatif segera.</w:t>
            </w:r>
          </w:p>
          <w:p>
            <w:pPr>
              <w:spacing w:after="60" w:before="140"/>
            </w:pPr>
            <w:r>
              <w:rPr>
                <w:b/>
                <w:bCs/>
                <w:color w:val="7A1F3D"/>
                <w:sz w:val="21"/>
                <w:szCs w:val="21"/>
              </w:rPr>
              <w:t xml:space="preserve">B. Kriteria Objektif Integrasi Paliatif</w:t>
            </w:r>
          </w:p>
        </w:tc>
      </w:tr>
    </w:tbl>
    <w:tbl>
      <w:tblPr>
        <w:tblW w:type="dxa" w:w="9360"/>
        <w:tblBorders>
          <w:top w:val="single" w:color="D9C3CC" w:sz="4"/>
          <w:left w:val="single" w:color="D9C3CC" w:sz="4"/>
          <w:bottom w:val="single" w:color="D9C3CC" w:sz="4"/>
          <w:right w:val="single" w:color="D9C3CC" w:sz="4"/>
          <w:insideH w:val="single" w:color="auto" w:sz="4"/>
          <w:insideV w:val="single" w:color="auto" w:sz="4"/>
        </w:tblBorders>
      </w:tblPr>
      <w:tblGrid>
        <w:gridCol w:w="1000"/>
        <w:gridCol w:w="5060"/>
        <w:gridCol w:w="3300"/>
      </w:tblGrid>
      <w:tr>
        <w:trPr>
          <w:tblHeader/>
        </w:trPr>
        <w:tc>
          <w:tcPr>
            <w:tcW w:type="dxa" w:w="1000"/>
            <w:shd w:fill="7A1F3D" w:color="auto" w:val="clear"/>
            <w:tcMar>
              <w:top w:type="dxa" w:w="80"/>
              <w:left w:type="dxa" w:w="120"/>
              <w:bottom w:type="dxa" w:w="80"/>
              <w:right w:type="dxa" w:w="120"/>
            </w:tcMar>
            <w:vAlign w:val="center"/>
          </w:tcPr>
          <w:p>
            <w:r>
              <w:rPr>
                <w:b/>
                <w:bCs/>
                <w:color w:val="FFFFFF"/>
                <w:sz w:val="19"/>
                <w:szCs w:val="19"/>
              </w:rPr>
              <w:t xml:space="preserve">No</w:t>
            </w:r>
          </w:p>
        </w:tc>
        <w:tc>
          <w:tcPr>
            <w:tcW w:type="dxa" w:w="5060"/>
            <w:shd w:fill="7A1F3D" w:color="auto" w:val="clear"/>
            <w:tcMar>
              <w:top w:type="dxa" w:w="80"/>
              <w:left w:type="dxa" w:w="120"/>
              <w:bottom w:type="dxa" w:w="80"/>
              <w:right w:type="dxa" w:w="120"/>
            </w:tcMar>
            <w:vAlign w:val="center"/>
          </w:tcPr>
          <w:p>
            <w:r>
              <w:rPr>
                <w:b/>
                <w:bCs/>
                <w:color w:val="FFFFFF"/>
                <w:sz w:val="19"/>
                <w:szCs w:val="19"/>
              </w:rPr>
              <w:t xml:space="preserve">Kriteria</w:t>
            </w:r>
          </w:p>
        </w:tc>
        <w:tc>
          <w:tcPr>
            <w:tcW w:type="dxa" w:w="3300"/>
            <w:shd w:fill="7A1F3D" w:color="auto" w:val="clear"/>
            <w:tcMar>
              <w:top w:type="dxa" w:w="80"/>
              <w:left w:type="dxa" w:w="120"/>
              <w:bottom w:type="dxa" w:w="80"/>
              <w:right w:type="dxa" w:w="120"/>
            </w:tcMar>
            <w:vAlign w:val="center"/>
          </w:tcPr>
          <w:p>
            <w:r>
              <w:rPr>
                <w:b/>
                <w:bCs/>
                <w:color w:val="FFFFFF"/>
                <w:sz w:val="19"/>
                <w:szCs w:val="19"/>
              </w:rPr>
              <w:t xml:space="preserve">Ambang Batas</w:t>
            </w:r>
          </w:p>
        </w:tc>
      </w:tr>
      <w:tr>
        <w:tc>
          <w:tcPr>
            <w:tcW w:type="dxa" w:w="1000"/>
            <w:shd w:fill="FFFFFF" w:color="auto" w:val="clear"/>
            <w:tcMar>
              <w:top w:type="dxa" w:w="70"/>
              <w:left w:type="dxa" w:w="120"/>
              <w:bottom w:type="dxa" w:w="70"/>
              <w:right w:type="dxa" w:w="120"/>
            </w:tcMar>
          </w:tcPr>
          <w:p>
            <w:pPr>
              <w:spacing w:after="0"/>
            </w:pPr>
            <w:r>
              <w:rPr>
                <w:color w:val="2B2B2B"/>
                <w:sz w:val="19"/>
                <w:szCs w:val="19"/>
              </w:rPr>
              <w:t xml:space="preserve">1</w:t>
            </w:r>
          </w:p>
        </w:tc>
        <w:tc>
          <w:tcPr>
            <w:tcW w:type="dxa" w:w="5060"/>
            <w:shd w:fill="FFFFFF" w:color="auto" w:val="clear"/>
            <w:tcMar>
              <w:top w:type="dxa" w:w="70"/>
              <w:left w:type="dxa" w:w="120"/>
              <w:bottom w:type="dxa" w:w="70"/>
              <w:right w:type="dxa" w:w="120"/>
            </w:tcMar>
          </w:tcPr>
          <w:p>
            <w:pPr>
              <w:spacing w:after="0"/>
            </w:pPr>
            <w:r>
              <w:rPr>
                <w:color w:val="2B2B2B"/>
                <w:sz w:val="19"/>
                <w:szCs w:val="19"/>
              </w:rPr>
              <w:t xml:space="preserve">Stadium keganasan ginekologi</w:t>
            </w:r>
          </w:p>
        </w:tc>
        <w:tc>
          <w:tcPr>
            <w:tcW w:type="dxa" w:w="3300"/>
            <w:shd w:fill="FFFFFF" w:color="auto" w:val="clear"/>
            <w:tcMar>
              <w:top w:type="dxa" w:w="70"/>
              <w:left w:type="dxa" w:w="120"/>
              <w:bottom w:type="dxa" w:w="70"/>
              <w:right w:type="dxa" w:w="120"/>
            </w:tcMar>
          </w:tcPr>
          <w:p>
            <w:pPr>
              <w:spacing w:after="0"/>
            </w:pPr>
            <w:r>
              <w:rPr>
                <w:color w:val="2B2B2B"/>
                <w:sz w:val="19"/>
                <w:szCs w:val="19"/>
              </w:rPr>
              <w:t xml:space="preserve">FIGO Stadium III–IV, atau rekuren pasca-lini terapi ke-2</w:t>
            </w:r>
          </w:p>
        </w:tc>
      </w:tr>
      <w:tr>
        <w:tc>
          <w:tcPr>
            <w:tcW w:type="dxa" w:w="1000"/>
            <w:shd w:fill="F2F2F2" w:color="auto" w:val="clear"/>
            <w:tcMar>
              <w:top w:type="dxa" w:w="70"/>
              <w:left w:type="dxa" w:w="120"/>
              <w:bottom w:type="dxa" w:w="70"/>
              <w:right w:type="dxa" w:w="120"/>
            </w:tcMar>
          </w:tcPr>
          <w:p>
            <w:pPr>
              <w:spacing w:after="0"/>
            </w:pPr>
            <w:r>
              <w:rPr>
                <w:color w:val="2B2B2B"/>
                <w:sz w:val="19"/>
                <w:szCs w:val="19"/>
              </w:rPr>
              <w:t xml:space="preserve">2</w:t>
            </w:r>
          </w:p>
        </w:tc>
        <w:tc>
          <w:tcPr>
            <w:tcW w:type="dxa" w:w="5060"/>
            <w:shd w:fill="F2F2F2" w:color="auto" w:val="clear"/>
            <w:tcMar>
              <w:top w:type="dxa" w:w="70"/>
              <w:left w:type="dxa" w:w="120"/>
              <w:bottom w:type="dxa" w:w="70"/>
              <w:right w:type="dxa" w:w="120"/>
            </w:tcMar>
          </w:tcPr>
          <w:p>
            <w:pPr>
              <w:spacing w:after="0"/>
            </w:pPr>
            <w:r>
              <w:rPr>
                <w:color w:val="2B2B2B"/>
                <w:sz w:val="19"/>
                <w:szCs w:val="19"/>
              </w:rPr>
              <w:t xml:space="preserve">Status performa</w:t>
            </w:r>
          </w:p>
        </w:tc>
        <w:tc>
          <w:tcPr>
            <w:tcW w:type="dxa" w:w="3300"/>
            <w:shd w:fill="F2F2F2" w:color="auto" w:val="clear"/>
            <w:tcMar>
              <w:top w:type="dxa" w:w="70"/>
              <w:left w:type="dxa" w:w="120"/>
              <w:bottom w:type="dxa" w:w="70"/>
              <w:right w:type="dxa" w:w="120"/>
            </w:tcMar>
          </w:tcPr>
          <w:p>
            <w:pPr>
              <w:spacing w:after="0"/>
            </w:pPr>
            <w:r>
              <w:rPr>
                <w:color w:val="2B2B2B"/>
                <w:sz w:val="19"/>
                <w:szCs w:val="19"/>
              </w:rPr>
              <w:t xml:space="preserve">ECOG ≥ 3 atau PPSv2 ≤ 50%</w:t>
            </w:r>
          </w:p>
        </w:tc>
      </w:tr>
      <w:tr>
        <w:tc>
          <w:tcPr>
            <w:tcW w:type="dxa" w:w="1000"/>
            <w:shd w:fill="FFFFFF" w:color="auto" w:val="clear"/>
            <w:tcMar>
              <w:top w:type="dxa" w:w="70"/>
              <w:left w:type="dxa" w:w="120"/>
              <w:bottom w:type="dxa" w:w="70"/>
              <w:right w:type="dxa" w:w="120"/>
            </w:tcMar>
          </w:tcPr>
          <w:p>
            <w:pPr>
              <w:spacing w:after="0"/>
            </w:pPr>
            <w:r>
              <w:rPr>
                <w:color w:val="2B2B2B"/>
                <w:sz w:val="19"/>
                <w:szCs w:val="19"/>
              </w:rPr>
              <w:t xml:space="preserve">3</w:t>
            </w:r>
          </w:p>
        </w:tc>
        <w:tc>
          <w:tcPr>
            <w:tcW w:type="dxa" w:w="5060"/>
            <w:shd w:fill="FFFFFF" w:color="auto" w:val="clear"/>
            <w:tcMar>
              <w:top w:type="dxa" w:w="70"/>
              <w:left w:type="dxa" w:w="120"/>
              <w:bottom w:type="dxa" w:w="70"/>
              <w:right w:type="dxa" w:w="120"/>
            </w:tcMar>
          </w:tcPr>
          <w:p>
            <w:pPr>
              <w:spacing w:after="0"/>
            </w:pPr>
            <w:r>
              <w:rPr>
                <w:color w:val="2B2B2B"/>
                <w:sz w:val="19"/>
                <w:szCs w:val="19"/>
              </w:rPr>
              <w:t xml:space="preserve">Beban gejala tidak terkontrol</w:t>
            </w:r>
          </w:p>
        </w:tc>
        <w:tc>
          <w:tcPr>
            <w:tcW w:type="dxa" w:w="3300"/>
            <w:shd w:fill="FFFFFF" w:color="auto" w:val="clear"/>
            <w:tcMar>
              <w:top w:type="dxa" w:w="70"/>
              <w:left w:type="dxa" w:w="120"/>
              <w:bottom w:type="dxa" w:w="70"/>
              <w:right w:type="dxa" w:w="120"/>
            </w:tcMar>
          </w:tcPr>
          <w:p>
            <w:pPr>
              <w:spacing w:after="0"/>
            </w:pPr>
            <w:r>
              <w:rPr>
                <w:color w:val="2B2B2B"/>
                <w:sz w:val="19"/>
                <w:szCs w:val="19"/>
              </w:rPr>
              <w:t xml:space="preserve">≥ 2 gejala berat menetap (nyeri, mual/muntah, dispnea) meski terapi standar</w:t>
            </w:r>
          </w:p>
        </w:tc>
      </w:tr>
      <w:tr>
        <w:tc>
          <w:tcPr>
            <w:tcW w:type="dxa" w:w="1000"/>
            <w:shd w:fill="F2F2F2" w:color="auto" w:val="clear"/>
            <w:tcMar>
              <w:top w:type="dxa" w:w="70"/>
              <w:left w:type="dxa" w:w="120"/>
              <w:bottom w:type="dxa" w:w="70"/>
              <w:right w:type="dxa" w:w="120"/>
            </w:tcMar>
          </w:tcPr>
          <w:p>
            <w:pPr>
              <w:spacing w:after="0"/>
            </w:pPr>
            <w:r>
              <w:rPr>
                <w:color w:val="2B2B2B"/>
                <w:sz w:val="19"/>
                <w:szCs w:val="19"/>
              </w:rPr>
              <w:t xml:space="preserve">4</w:t>
            </w:r>
          </w:p>
        </w:tc>
        <w:tc>
          <w:tcPr>
            <w:tcW w:type="dxa" w:w="5060"/>
            <w:shd w:fill="F2F2F2" w:color="auto" w:val="clear"/>
            <w:tcMar>
              <w:top w:type="dxa" w:w="70"/>
              <w:left w:type="dxa" w:w="120"/>
              <w:bottom w:type="dxa" w:w="70"/>
              <w:right w:type="dxa" w:w="120"/>
            </w:tcMar>
          </w:tcPr>
          <w:p>
            <w:pPr>
              <w:spacing w:after="0"/>
            </w:pPr>
            <w:r>
              <w:rPr>
                <w:color w:val="2B2B2B"/>
                <w:sz w:val="19"/>
                <w:szCs w:val="19"/>
              </w:rPr>
              <w:t xml:space="preserve">Komplikasi lanjut</w:t>
            </w:r>
          </w:p>
        </w:tc>
        <w:tc>
          <w:tcPr>
            <w:tcW w:type="dxa" w:w="3300"/>
            <w:shd w:fill="F2F2F2" w:color="auto" w:val="clear"/>
            <w:tcMar>
              <w:top w:type="dxa" w:w="70"/>
              <w:left w:type="dxa" w:w="120"/>
              <w:bottom w:type="dxa" w:w="70"/>
              <w:right w:type="dxa" w:w="120"/>
            </w:tcMar>
          </w:tcPr>
          <w:p>
            <w:pPr>
              <w:spacing w:after="0"/>
            </w:pPr>
            <w:r>
              <w:rPr>
                <w:color w:val="2B2B2B"/>
                <w:sz w:val="19"/>
                <w:szCs w:val="19"/>
              </w:rPr>
              <w:t xml:space="preserve">Obstruksi usus maligna berulang, asites refrakter, fistula, gagal organ progresif</w:t>
            </w:r>
          </w:p>
        </w:tc>
      </w:tr>
      <w:tr>
        <w:tc>
          <w:tcPr>
            <w:tcW w:type="dxa" w:w="1000"/>
            <w:shd w:fill="FFFFFF" w:color="auto" w:val="clear"/>
            <w:tcMar>
              <w:top w:type="dxa" w:w="70"/>
              <w:left w:type="dxa" w:w="120"/>
              <w:bottom w:type="dxa" w:w="70"/>
              <w:right w:type="dxa" w:w="120"/>
            </w:tcMar>
          </w:tcPr>
          <w:p>
            <w:pPr>
              <w:spacing w:after="0"/>
            </w:pPr>
            <w:r>
              <w:rPr>
                <w:color w:val="2B2B2B"/>
                <w:sz w:val="19"/>
                <w:szCs w:val="19"/>
              </w:rPr>
              <w:t xml:space="preserve">5</w:t>
            </w:r>
          </w:p>
        </w:tc>
        <w:tc>
          <w:tcPr>
            <w:tcW w:type="dxa" w:w="5060"/>
            <w:shd w:fill="FFFFFF" w:color="auto" w:val="clear"/>
            <w:tcMar>
              <w:top w:type="dxa" w:w="70"/>
              <w:left w:type="dxa" w:w="120"/>
              <w:bottom w:type="dxa" w:w="70"/>
              <w:right w:type="dxa" w:w="120"/>
            </w:tcMar>
          </w:tcPr>
          <w:p>
            <w:pPr>
              <w:spacing w:after="0"/>
            </w:pPr>
            <w:r>
              <w:rPr>
                <w:color w:val="2B2B2B"/>
                <w:sz w:val="19"/>
                <w:szCs w:val="19"/>
              </w:rPr>
              <w:t xml:space="preserve">Keputusan pasien/keluarga</w:t>
            </w:r>
          </w:p>
        </w:tc>
        <w:tc>
          <w:tcPr>
            <w:tcW w:type="dxa" w:w="3300"/>
            <w:shd w:fill="FFFFFF" w:color="auto" w:val="clear"/>
            <w:tcMar>
              <w:top w:type="dxa" w:w="70"/>
              <w:left w:type="dxa" w:w="120"/>
              <w:bottom w:type="dxa" w:w="70"/>
              <w:right w:type="dxa" w:w="120"/>
            </w:tcMar>
          </w:tcPr>
          <w:p>
            <w:pPr>
              <w:spacing w:after="0"/>
            </w:pPr>
            <w:r>
              <w:rPr>
                <w:color w:val="2B2B2B"/>
                <w:sz w:val="19"/>
                <w:szCs w:val="19"/>
              </w:rPr>
              <w:t xml:space="preserve">Preferensi eksplisit menghentikan terapi kuratif dan fokus kenyamanan</w:t>
            </w:r>
          </w:p>
        </w:tc>
      </w:tr>
    </w:tbl>
    <w:p>
      <w:pPr>
        <w:spacing w:after="100" w:before="0"/>
      </w:pPr>
    </w:p>
    <w:p>
      <w:pPr>
        <w:spacing w:after="60" w:before="140"/>
      </w:pPr>
      <w:r>
        <w:rPr>
          <w:b/>
          <w:bCs/>
          <w:color w:val="7A1F3D"/>
          <w:sz w:val="21"/>
          <w:szCs w:val="21"/>
        </w:rPr>
        <w:t xml:space="preserve">C. Kriteria Fase Terminal (Dying Phase) — untuk aktivasi protokol end-of-life</w:t>
      </w:r>
    </w:p>
    <w:p>
      <w:pPr>
        <w:pStyle w:val="ListParagraph"/>
        <w:numPr>
          <w:ilvl w:val="0"/>
          <w:numId w:val="2"/>
        </w:numPr>
        <w:spacing w:after="60" w:before="20" w:line="268"/>
      </w:pPr>
      <w:r>
        <w:rPr>
          <w:b w:val="false"/>
          <w:bCs w:val="false"/>
          <w:color w:val="2B2B2B"/>
          <w:sz w:val="21"/>
          <w:szCs w:val="21"/>
        </w:rPr>
        <w:t xml:space="preserve">Minimal 2 dari: penurunan kesadaran progresif, kesulitan menelan total, perubahan pola napas (Cheyne-Stokes/napas agonal), sirkulasi perifer memburuk (akral dingin, mottling), dan/atau penilaian klinis tim bahwa kematian diperkirakan dalam hitungan jam–hari, konsisten dengan indikator prognostik PPSv2 10–20% (Anderson dkk., 1996).</w:t>
      </w:r>
    </w:p>
    <w:p>
      <w:pPr>
        <w:spacing w:after="12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shd w:fill="7A1F3D" w:color="auto" w:val="clear"/>
            <w:tcMar>
              <w:top w:type="dxa" w:w="120"/>
              <w:left w:type="dxa" w:w="200"/>
              <w:bottom w:type="dxa" w:w="120"/>
              <w:right w:type="dxa" w:w="200"/>
            </w:tcMar>
            <w:vAlign w:val="center"/>
          </w:tcPr>
          <w:p>
            <w:pPr>
              <w:spacing w:after="0" w:before="0"/>
            </w:pPr>
            <w:r>
              <w:rPr>
                <w:rFonts w:ascii="Calibri" w:cs="Calibri" w:eastAsia="Calibri" w:hAnsi="Calibri"/>
                <w:b/>
                <w:bCs/>
                <w:color w:val="FFFFFF"/>
                <w:sz w:val="24"/>
                <w:szCs w:val="24"/>
              </w:rPr>
              <w:t xml:space="preserve">5. </w:t>
            </w:r>
            <w:r>
              <w:rPr>
                <w:rFonts w:ascii="Calibri" w:cs="Calibri" w:eastAsia="Calibri" w:hAnsi="Calibri"/>
                <w:b/>
                <w:bCs/>
                <w:color w:val="FFFFFF"/>
                <w:sz w:val="24"/>
                <w:szCs w:val="24"/>
              </w:rPr>
              <w:t xml:space="preserve">Diagnosis Kerja</w:t>
            </w:r>
          </w:p>
        </w:tc>
      </w:tr>
    </w:tbl>
    <w:tbl>
      <w:tblPr>
        <w:tblW w:type="dxa" w:w="9360"/>
        <w:tblBorders>
          <w:top w:val="single" w:color="E3B9C7" w:sz="4"/>
          <w:left w:val="single" w:color="E3B9C7" w:sz="4"/>
          <w:bottom w:val="single" w:color="E3B9C7" w:sz="4"/>
          <w:right w:val="single" w:color="E3B9C7" w:sz="4"/>
          <w:insideH w:val="single" w:color="auto" w:sz="4"/>
          <w:insideV w:val="single" w:color="auto" w:sz="4"/>
        </w:tblBorders>
      </w:tblPr>
      <w:tblGrid>
        <w:gridCol w:w="9360"/>
      </w:tblGrid>
      <w:tr>
        <w:tc>
          <w:tcPr>
            <w:tcW w:type="dxa" w:w="9360"/>
            <w:shd w:fill="FFFFFF" w:color="auto" w:val="clear"/>
            <w:tcMar>
              <w:top w:type="dxa" w:w="160"/>
              <w:left w:type="dxa" w:w="220"/>
              <w:bottom w:type="dxa" w:w="200"/>
              <w:right w:type="dxa" w:w="220"/>
            </w:tcMar>
          </w:tcPr>
          <w:p>
            <w:pPr>
              <w:pStyle w:val="ListParagraph"/>
              <w:numPr>
                <w:ilvl w:val="0"/>
                <w:numId w:val="2"/>
              </w:numPr>
              <w:spacing w:after="60" w:before="20" w:line="268"/>
            </w:pPr>
            <w:r>
              <w:rPr>
                <w:b w:val="false"/>
                <w:bCs w:val="false"/>
                <w:color w:val="2B2B2B"/>
                <w:sz w:val="21"/>
                <w:szCs w:val="21"/>
              </w:rPr>
              <w:t xml:space="preserve">Kanker ginekologi (ovarium/serviks/endometrium/vulva, sebutkan sesuai kasus) stadium lanjut/rekuren dengan kebutuhan perawatan paliatif holistik — fase paliatif dini.</w:t>
            </w:r>
          </w:p>
          <w:p>
            <w:pPr>
              <w:pStyle w:val="ListParagraph"/>
              <w:numPr>
                <w:ilvl w:val="0"/>
                <w:numId w:val="2"/>
              </w:numPr>
              <w:spacing w:after="60" w:before="20" w:line="268"/>
            </w:pPr>
            <w:r>
              <w:rPr>
                <w:b w:val="false"/>
                <w:bCs w:val="false"/>
                <w:color w:val="2B2B2B"/>
                <w:sz w:val="21"/>
                <w:szCs w:val="21"/>
              </w:rPr>
              <w:t xml:space="preserve">Kanker ginekologi stadium terminal dengan beban gejala kompleks — fase paliatif lanjut, memerlukan pengendalian gejala intensif dan dukungan keluarga.</w:t>
            </w:r>
          </w:p>
          <w:p>
            <w:pPr>
              <w:pStyle w:val="ListParagraph"/>
              <w:numPr>
                <w:ilvl w:val="0"/>
                <w:numId w:val="2"/>
              </w:numPr>
              <w:spacing w:after="60" w:before="20" w:line="268"/>
            </w:pPr>
            <w:r>
              <w:rPr>
                <w:b w:val="false"/>
                <w:bCs w:val="false"/>
                <w:color w:val="2B2B2B"/>
                <w:sz w:val="21"/>
                <w:szCs w:val="21"/>
              </w:rPr>
              <w:t xml:space="preserve">Fase menjelang ajal (dying phase) pada keganasan ginekologi stadium akhir — memerlukan aktivasi protokol end-of-life care.</w:t>
            </w:r>
          </w:p>
        </w:tc>
      </w:tr>
    </w:tbl>
    <w:p>
      <w:pPr>
        <w:spacing w:after="12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shd w:fill="7A1F3D" w:color="auto" w:val="clear"/>
            <w:tcMar>
              <w:top w:type="dxa" w:w="120"/>
              <w:left w:type="dxa" w:w="200"/>
              <w:bottom w:type="dxa" w:w="120"/>
              <w:right w:type="dxa" w:w="200"/>
            </w:tcMar>
            <w:vAlign w:val="center"/>
          </w:tcPr>
          <w:p>
            <w:pPr>
              <w:spacing w:after="0" w:before="0"/>
            </w:pPr>
            <w:r>
              <w:rPr>
                <w:rFonts w:ascii="Calibri" w:cs="Calibri" w:eastAsia="Calibri" w:hAnsi="Calibri"/>
                <w:b/>
                <w:bCs/>
                <w:color w:val="FFFFFF"/>
                <w:sz w:val="24"/>
                <w:szCs w:val="24"/>
              </w:rPr>
              <w:t xml:space="preserve">6. </w:t>
            </w:r>
            <w:r>
              <w:rPr>
                <w:rFonts w:ascii="Calibri" w:cs="Calibri" w:eastAsia="Calibri" w:hAnsi="Calibri"/>
                <w:b/>
                <w:bCs/>
                <w:color w:val="FFFFFF"/>
                <w:sz w:val="24"/>
                <w:szCs w:val="24"/>
              </w:rPr>
              <w:t xml:space="preserve">Diagnosis Banding</w:t>
            </w:r>
          </w:p>
        </w:tc>
      </w:tr>
    </w:tbl>
    <w:tbl>
      <w:tblPr>
        <w:tblW w:type="dxa" w:w="9360"/>
        <w:tblBorders>
          <w:top w:val="single" w:color="E3B9C7" w:sz="4"/>
          <w:left w:val="single" w:color="E3B9C7" w:sz="4"/>
          <w:bottom w:val="single" w:color="E3B9C7" w:sz="4"/>
          <w:right w:val="single" w:color="E3B9C7" w:sz="4"/>
          <w:insideH w:val="single" w:color="auto" w:sz="4"/>
          <w:insideV w:val="single" w:color="auto" w:sz="4"/>
        </w:tblBorders>
      </w:tblPr>
      <w:tblGrid>
        <w:gridCol w:w="9360"/>
      </w:tblGrid>
      <w:tr>
        <w:tc>
          <w:tcPr>
            <w:tcW w:type="dxa" w:w="9360"/>
            <w:shd w:fill="FFFFFF" w:color="auto" w:val="clear"/>
            <w:tcMar>
              <w:top w:type="dxa" w:w="160"/>
              <w:left w:type="dxa" w:w="220"/>
              <w:bottom w:type="dxa" w:w="200"/>
              <w:right w:type="dxa" w:w="220"/>
            </w:tcMar>
          </w:tcPr>
          <w:p>
            <w:pPr>
              <w:spacing w:after="100" w:before="40" w:line="276"/>
            </w:pPr>
            <w:r>
              <w:rPr>
                <w:b w:val="false"/>
                <w:bCs w:val="false"/>
                <w:i w:val="false"/>
                <w:iCs w:val="false"/>
                <w:color w:val="2B2B2B"/>
                <w:sz w:val="21"/>
                <w:szCs w:val="21"/>
              </w:rPr>
              <w:t xml:space="preserve">Sebelum menetapkan suatu gejala sebagai bagian ireversibel dari perjalanan penyakit terminal, penyebab reversibel berikut WAJIB disingkirkan terlebih dahulu:</w:t>
            </w:r>
          </w:p>
          <w:p>
            <w:pPr>
              <w:pStyle w:val="ListParagraph"/>
              <w:numPr>
                <w:ilvl w:val="0"/>
                <w:numId w:val="2"/>
              </w:numPr>
              <w:spacing w:after="60" w:before="20" w:line="268"/>
            </w:pPr>
            <w:r>
              <w:rPr>
                <w:b w:val="false"/>
                <w:bCs w:val="false"/>
                <w:color w:val="2B2B2B"/>
                <w:sz w:val="21"/>
                <w:szCs w:val="21"/>
              </w:rPr>
              <w:t xml:space="preserve">Nyeri: bedakan nyeri nosiseptif tumor vs nyeri neuropatik vs nyeri akibat komplikasi lain (infeksi saluran kemih, konstipasi berat, retensi urin), sesuai kerangka asesmen multidimensi ESMO Clinical Practice Guidelines: Management of Cancer Pain in Adult Patients (Fallon dkk., 2018).</w:t>
            </w:r>
          </w:p>
          <w:p>
            <w:pPr>
              <w:pStyle w:val="ListParagraph"/>
              <w:numPr>
                <w:ilvl w:val="0"/>
                <w:numId w:val="2"/>
              </w:numPr>
              <w:spacing w:after="60" w:before="20" w:line="268"/>
            </w:pPr>
            <w:r>
              <w:rPr>
                <w:b w:val="false"/>
                <w:bCs w:val="false"/>
                <w:color w:val="2B2B2B"/>
                <w:sz w:val="21"/>
                <w:szCs w:val="21"/>
              </w:rPr>
              <w:t xml:space="preserve">Obstruksi usus: bedakan obstruksi mekanik maligna (memerlukan pertimbangan dekompresi/stenting) vs konstipasi opioid-induced (reversibel dengan laksatif) vs ileus fungsional.</w:t>
            </w:r>
          </w:p>
          <w:p>
            <w:pPr>
              <w:pStyle w:val="ListParagraph"/>
              <w:numPr>
                <w:ilvl w:val="0"/>
                <w:numId w:val="2"/>
              </w:numPr>
              <w:spacing w:after="60" w:before="20" w:line="268"/>
            </w:pPr>
            <w:r>
              <w:rPr>
                <w:b w:val="false"/>
                <w:bCs w:val="false"/>
                <w:color w:val="2B2B2B"/>
                <w:sz w:val="21"/>
                <w:szCs w:val="21"/>
              </w:rPr>
              <w:t xml:space="preserve">Delirium terminal vs delirium reversibel (akibat infeksi, gangguan elektrolit, retensi urin/obstipasi, efek samping obat) — delirium reversibel wajib dikoreksi dahulu sebelum diklasifikasikan sebagai gejala fase terminal, sesuai prinsip evaluasi penyebab reversibel dalam Kerangka Kerja EAPC untuk Sedasi Paliatif (Cherny &amp; Radbruch, 2009; Surges dkk., 2024).</w:t>
            </w:r>
          </w:p>
          <w:p>
            <w:pPr>
              <w:pStyle w:val="ListParagraph"/>
              <w:numPr>
                <w:ilvl w:val="0"/>
                <w:numId w:val="2"/>
              </w:numPr>
              <w:spacing w:after="60" w:before="20" w:line="268"/>
            </w:pPr>
            <w:r>
              <w:rPr>
                <w:b w:val="false"/>
                <w:bCs w:val="false"/>
                <w:color w:val="2B2B2B"/>
                <w:sz w:val="21"/>
                <w:szCs w:val="21"/>
              </w:rPr>
              <w:t xml:space="preserve">Depresi klinis yang memerlukan tata laksana psikiatri vs kesedihan antisipatif (anticipatory grief) yang wajar pada situasi paliatif.</w:t>
            </w:r>
          </w:p>
          <w:p>
            <w:pPr>
              <w:pStyle w:val="ListParagraph"/>
              <w:numPr>
                <w:ilvl w:val="0"/>
                <w:numId w:val="2"/>
              </w:numPr>
              <w:spacing w:after="60" w:before="20" w:line="268"/>
            </w:pPr>
            <w:r>
              <w:rPr>
                <w:b w:val="false"/>
                <w:bCs w:val="false"/>
                <w:color w:val="2B2B2B"/>
                <w:sz w:val="21"/>
                <w:szCs w:val="21"/>
              </w:rPr>
              <w:t xml:space="preserve">Dispnea akibat efusi pleura/emboli paru (berpotensi ditangani paliatif spesifik, misalnya torakosentesis) vs dispnea akibat kelemahan umum fase terminal.</w:t>
            </w:r>
          </w:p>
        </w:tc>
      </w:tr>
    </w:tbl>
    <w:p>
      <w:pPr>
        <w:spacing w:after="12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shd w:fill="7A1F3D" w:color="auto" w:val="clear"/>
            <w:tcMar>
              <w:top w:type="dxa" w:w="120"/>
              <w:left w:type="dxa" w:w="200"/>
              <w:bottom w:type="dxa" w:w="120"/>
              <w:right w:type="dxa" w:w="200"/>
            </w:tcMar>
            <w:vAlign w:val="center"/>
          </w:tcPr>
          <w:p>
            <w:pPr>
              <w:spacing w:after="0" w:before="0"/>
            </w:pPr>
            <w:r>
              <w:rPr>
                <w:rFonts w:ascii="Calibri" w:cs="Calibri" w:eastAsia="Calibri" w:hAnsi="Calibri"/>
                <w:b/>
                <w:bCs/>
                <w:color w:val="FFFFFF"/>
                <w:sz w:val="24"/>
                <w:szCs w:val="24"/>
              </w:rPr>
              <w:t xml:space="preserve">7. </w:t>
            </w:r>
            <w:r>
              <w:rPr>
                <w:rFonts w:ascii="Calibri" w:cs="Calibri" w:eastAsia="Calibri" w:hAnsi="Calibri"/>
                <w:b/>
                <w:bCs/>
                <w:color w:val="FFFFFF"/>
                <w:sz w:val="24"/>
                <w:szCs w:val="24"/>
              </w:rPr>
              <w:t xml:space="preserve">Pemeriksaan Penunjang</w:t>
            </w:r>
          </w:p>
        </w:tc>
      </w:tr>
    </w:tbl>
    <w:tbl>
      <w:tblPr>
        <w:tblW w:type="dxa" w:w="9360"/>
        <w:tblBorders>
          <w:top w:val="single" w:color="E3B9C7" w:sz="4"/>
          <w:left w:val="single" w:color="E3B9C7" w:sz="4"/>
          <w:bottom w:val="single" w:color="E3B9C7" w:sz="4"/>
          <w:right w:val="single" w:color="E3B9C7" w:sz="4"/>
          <w:insideH w:val="single" w:color="auto" w:sz="4"/>
          <w:insideV w:val="single" w:color="auto" w:sz="4"/>
        </w:tblBorders>
      </w:tblPr>
      <w:tblGrid>
        <w:gridCol w:w="9360"/>
      </w:tblGrid>
      <w:tr>
        <w:tc>
          <w:tcPr>
            <w:tcW w:type="dxa" w:w="9360"/>
            <w:shd w:fill="FFFFFF" w:color="auto" w:val="clear"/>
            <w:tcMar>
              <w:top w:type="dxa" w:w="160"/>
              <w:left w:type="dxa" w:w="220"/>
              <w:bottom w:type="dxa" w:w="200"/>
              <w:right w:type="dxa" w:w="220"/>
            </w:tcMar>
          </w:tcPr>
          <w:p>
            <w:pPr>
              <w:spacing w:after="100" w:before="40" w:line="276"/>
            </w:pPr>
            <w:r>
              <w:rPr>
                <w:b w:val="false"/>
                <w:bCs w:val="false"/>
                <w:i w:val="false"/>
                <w:iCs w:val="false"/>
                <w:color w:val="2B2B2B"/>
                <w:sz w:val="21"/>
                <w:szCs w:val="21"/>
              </w:rPr>
              <w:t xml:space="preserve">Pemeriksaan penunjang pada perawatan paliatif bersifat SELEKTIF — hanya dilakukan bila hasilnya akan mengubah tata laksana kenyamanan pasien, bukan untuk restaging rutin.</w:t>
            </w:r>
          </w:p>
          <w:p>
            <w:pPr>
              <w:spacing w:after="60" w:before="140"/>
            </w:pPr>
            <w:r>
              <w:rPr>
                <w:b/>
                <w:bCs/>
                <w:color w:val="7A1F3D"/>
                <w:sz w:val="21"/>
                <w:szCs w:val="21"/>
              </w:rPr>
              <w:t xml:space="preserve">Laboratorium (sesuai indikasi gejala)</w:t>
            </w:r>
          </w:p>
          <w:p>
            <w:pPr>
              <w:pStyle w:val="ListParagraph"/>
              <w:numPr>
                <w:ilvl w:val="0"/>
                <w:numId w:val="2"/>
              </w:numPr>
              <w:spacing w:after="60" w:before="20" w:line="268"/>
            </w:pPr>
            <w:r>
              <w:rPr>
                <w:b w:val="false"/>
                <w:bCs w:val="false"/>
                <w:color w:val="2B2B2B"/>
                <w:sz w:val="21"/>
                <w:szCs w:val="21"/>
              </w:rPr>
              <w:t xml:space="preserve">Darah perifer lengkap, elektrolit, fungsi ginjal dan hati, albumin serum (bila curiga malnutrisi/efusi/asites).</w:t>
            </w:r>
          </w:p>
          <w:p>
            <w:pPr>
              <w:spacing w:after="60" w:before="140"/>
            </w:pPr>
            <w:r>
              <w:rPr>
                <w:b/>
                <w:bCs/>
                <w:color w:val="7A1F3D"/>
                <w:sz w:val="21"/>
                <w:szCs w:val="21"/>
              </w:rPr>
              <w:t xml:space="preserve">Pencitraan (sesuai indikasi gejala, bukan rutin)</w:t>
            </w:r>
          </w:p>
          <w:p>
            <w:pPr>
              <w:pStyle w:val="ListParagraph"/>
              <w:numPr>
                <w:ilvl w:val="0"/>
                <w:numId w:val="2"/>
              </w:numPr>
              <w:spacing w:after="60" w:before="20" w:line="268"/>
            </w:pPr>
            <w:r>
              <w:rPr>
                <w:b w:val="false"/>
                <w:bCs w:val="false"/>
                <w:color w:val="2B2B2B"/>
                <w:sz w:val="21"/>
                <w:szCs w:val="21"/>
              </w:rPr>
              <w:t xml:space="preserve">USG abdomen (evaluasi asites/obstruksi), foto polos abdomen (curiga obstruksi usus), USG Doppler tungkai (curiga DVT pada limfedema akut).</w:t>
            </w:r>
          </w:p>
          <w:p>
            <w:pPr>
              <w:spacing w:after="60" w:before="140"/>
            </w:pPr>
            <w:r>
              <w:rPr>
                <w:b/>
                <w:bCs/>
                <w:color w:val="7A1F3D"/>
                <w:sz w:val="21"/>
                <w:szCs w:val="21"/>
              </w:rPr>
              <w:t xml:space="preserve">Instrumen Asesmen Terstruktur (WAJIB pada setiap kunjungan paliatif)</w:t>
            </w:r>
          </w:p>
          <w:p>
            <w:pPr>
              <w:pStyle w:val="ListParagraph"/>
              <w:numPr>
                <w:ilvl w:val="0"/>
                <w:numId w:val="2"/>
              </w:numPr>
              <w:spacing w:after="60" w:before="20" w:line="268"/>
            </w:pPr>
            <w:r>
              <w:rPr>
                <w:b w:val="false"/>
                <w:bCs w:val="false"/>
                <w:color w:val="2B2B2B"/>
                <w:sz w:val="21"/>
                <w:szCs w:val="21"/>
              </w:rPr>
              <w:t xml:space="preserve">Skala nyeri: Numeric Rating Scale (NRS) atau Visual Analogue Scale (VAS), sebagaimana direkomendasikan ESMO Clinical Practice Guidelines (Fallon dkk., 2018) sebagai instrumen tervalidasi dan paling sering digunakan.</w:t>
            </w:r>
          </w:p>
          <w:p>
            <w:pPr>
              <w:pStyle w:val="ListParagraph"/>
              <w:numPr>
                <w:ilvl w:val="0"/>
                <w:numId w:val="2"/>
              </w:numPr>
              <w:spacing w:after="60" w:before="20" w:line="268"/>
            </w:pPr>
            <w:r>
              <w:rPr>
                <w:b w:val="false"/>
                <w:bCs w:val="false"/>
                <w:color w:val="2B2B2B"/>
                <w:sz w:val="21"/>
                <w:szCs w:val="21"/>
              </w:rPr>
              <w:t xml:space="preserve">Skala gejala menyeluruh: Edmonton Symptom Assessment System (ESAS).</w:t>
            </w:r>
          </w:p>
          <w:p>
            <w:pPr>
              <w:pStyle w:val="ListParagraph"/>
              <w:numPr>
                <w:ilvl w:val="0"/>
                <w:numId w:val="2"/>
              </w:numPr>
              <w:spacing w:after="60" w:before="20" w:line="268"/>
            </w:pPr>
            <w:r>
              <w:rPr>
                <w:b w:val="false"/>
                <w:bCs w:val="false"/>
                <w:color w:val="2B2B2B"/>
                <w:sz w:val="21"/>
                <w:szCs w:val="21"/>
              </w:rPr>
              <w:t xml:space="preserve">Skala psikologis: Hospital Anxiety and Depression Scale (HADS).</w:t>
            </w:r>
          </w:p>
          <w:p>
            <w:pPr>
              <w:pStyle w:val="ListParagraph"/>
              <w:numPr>
                <w:ilvl w:val="0"/>
                <w:numId w:val="2"/>
              </w:numPr>
              <w:spacing w:after="60" w:before="20" w:line="268"/>
            </w:pPr>
            <w:r>
              <w:rPr>
                <w:b w:val="false"/>
                <w:bCs w:val="false"/>
                <w:color w:val="2B2B2B"/>
                <w:sz w:val="21"/>
                <w:szCs w:val="21"/>
              </w:rPr>
              <w:t xml:space="preserve">Asesmen spiritual: FICA (Faith, Importance, Community, Address in care).</w:t>
            </w:r>
          </w:p>
          <w:p>
            <w:pPr>
              <w:pStyle w:val="ListParagraph"/>
              <w:numPr>
                <w:ilvl w:val="0"/>
                <w:numId w:val="2"/>
              </w:numPr>
              <w:spacing w:after="60" w:before="20" w:line="268"/>
            </w:pPr>
            <w:r>
              <w:rPr>
                <w:b w:val="false"/>
                <w:bCs w:val="false"/>
                <w:color w:val="2B2B2B"/>
                <w:sz w:val="21"/>
                <w:szCs w:val="21"/>
              </w:rPr>
              <w:t xml:space="preserve">Status fungsional: ECOG Performance Status atau Palliative Performance Scale versi 2 (PPSv2).</w:t>
            </w:r>
          </w:p>
        </w:tc>
      </w:tr>
    </w:tbl>
    <w:p>
      <w:pPr>
        <w:spacing w:after="12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shd w:fill="7A1F3D" w:color="auto" w:val="clear"/>
            <w:tcMar>
              <w:top w:type="dxa" w:w="120"/>
              <w:left w:type="dxa" w:w="200"/>
              <w:bottom w:type="dxa" w:w="120"/>
              <w:right w:type="dxa" w:w="200"/>
            </w:tcMar>
            <w:vAlign w:val="center"/>
          </w:tcPr>
          <w:p>
            <w:pPr>
              <w:spacing w:after="0" w:before="0"/>
            </w:pPr>
            <w:r>
              <w:rPr>
                <w:rFonts w:ascii="Calibri" w:cs="Calibri" w:eastAsia="Calibri" w:hAnsi="Calibri"/>
                <w:b/>
                <w:bCs/>
                <w:color w:val="FFFFFF"/>
                <w:sz w:val="24"/>
                <w:szCs w:val="24"/>
              </w:rPr>
              <w:t xml:space="preserve">8. </w:t>
            </w:r>
            <w:r>
              <w:rPr>
                <w:rFonts w:ascii="Calibri" w:cs="Calibri" w:eastAsia="Calibri" w:hAnsi="Calibri"/>
                <w:b/>
                <w:bCs/>
                <w:color w:val="FFFFFF"/>
                <w:sz w:val="24"/>
                <w:szCs w:val="24"/>
              </w:rPr>
              <w:t xml:space="preserve">Tata Laksana (Terapi)</w:t>
            </w:r>
          </w:p>
        </w:tc>
      </w:tr>
    </w:tbl>
    <w:tbl>
      <w:tblPr>
        <w:tblW w:type="dxa" w:w="9360"/>
        <w:tblBorders>
          <w:top w:val="single" w:color="E3B9C7" w:sz="4"/>
          <w:left w:val="single" w:color="E3B9C7" w:sz="4"/>
          <w:bottom w:val="single" w:color="E3B9C7" w:sz="4"/>
          <w:right w:val="single" w:color="E3B9C7" w:sz="4"/>
          <w:insideH w:val="single" w:color="auto" w:sz="4"/>
          <w:insideV w:val="single" w:color="auto" w:sz="4"/>
        </w:tblBorders>
      </w:tblPr>
      <w:tblGrid>
        <w:gridCol w:w="9360"/>
      </w:tblGrid>
      <w:tr>
        <w:tc>
          <w:tcPr>
            <w:tcW w:type="dxa" w:w="9360"/>
            <w:shd w:fill="FFFFFF" w:color="auto" w:val="clear"/>
            <w:tcMar>
              <w:top w:type="dxa" w:w="160"/>
              <w:left w:type="dxa" w:w="220"/>
              <w:bottom w:type="dxa" w:w="200"/>
              <w:right w:type="dxa" w:w="220"/>
            </w:tcMar>
          </w:tcPr>
          <w:p>
            <w:pPr>
              <w:spacing w:after="100" w:before="40" w:line="276"/>
            </w:pPr>
            <w:r>
              <w:rPr>
                <w:b w:val="false"/>
                <w:bCs w:val="false"/>
                <w:i w:val="false"/>
                <w:iCs w:val="false"/>
                <w:color w:val="2B2B2B"/>
                <w:sz w:val="21"/>
                <w:szCs w:val="21"/>
              </w:rPr>
              <w:t xml:space="preserve">Tata laksana bersifat holistik-interdisipliner mencakup empat domain (fisik, psikologis, sosial, spiritual) yang berjalan paralel sejak fase paliatif dini hingga fase pasca-kematian (bereavement). End-of-life care dan dukungan keluarga merupakan KOMPONEN WAJIB, bukan pelengkap opsional, sejalan dengan rekomendasi integrasi paliatif dini ASCO (Smith dkk., 2012; Ferrell dkk., 2017).</w:t>
            </w:r>
          </w:p>
          <w:p>
            <w:pPr>
              <w:spacing w:after="60" w:before="140"/>
            </w:pPr>
            <w:r>
              <w:rPr>
                <w:b/>
                <w:bCs/>
                <w:color w:val="7A1F3D"/>
                <w:sz w:val="21"/>
                <w:szCs w:val="21"/>
              </w:rPr>
              <w:t xml:space="preserve">8.1 Alur Tata Laksana Paliatif Holistik</w:t>
            </w:r>
          </w:p>
          <w:tbl>
            <w:tblPr>
              <w:tblW w:type="dxa" w:w="9360"/>
              <w:tblBorders>
                <w:top w:val="single" w:color="7A1F3D" w:sz="4"/>
                <w:left w:val="single" w:color="7A1F3D" w:sz="4"/>
                <w:bottom w:val="single" w:color="7A1F3D" w:sz="4"/>
                <w:right w:val="single" w:color="7A1F3D" w:sz="4"/>
                <w:insideH w:val="single" w:color="auto" w:sz="4"/>
                <w:insideV w:val="single" w:color="auto" w:sz="4"/>
              </w:tblBorders>
            </w:tblPr>
            <w:tblGrid>
              <w:gridCol w:w="9360"/>
            </w:tblGrid>
            <w:tr>
              <w:tc>
                <w:tcPr>
                  <w:tcW w:type="dxa" w:w="9360"/>
                  <w:shd w:fill="F3E3E9" w:color="auto" w:val="clear"/>
                  <w:tcMar>
                    <w:top w:type="dxa" w:w="100"/>
                    <w:left w:type="dxa" w:w="220"/>
                    <w:bottom w:type="dxa" w:w="100"/>
                    <w:right w:type="dxa" w:w="220"/>
                  </w:tcMar>
                </w:tcPr>
                <w:p>
                  <w:pPr>
                    <w:spacing w:after="0" w:before="0"/>
                    <w:jc w:val="center"/>
                  </w:pPr>
                  <w:r>
                    <w:rPr>
                      <w:b/>
                      <w:bCs/>
                      <w:color w:val="7A1F3D"/>
                      <w:sz w:val="20"/>
                      <w:szCs w:val="20"/>
                    </w:rPr>
                    <w:t xml:space="preserve">Skrining &amp; Asesmen Awal (Surprise Question, ESAS, PPSv2, FICA)</w:t>
                  </w:r>
                </w:p>
              </w:tc>
            </w:tr>
          </w:tbl>
          <w:p>
            <w:pPr>
              <w:spacing w:after="20" w:before="20"/>
              <w:jc w:val="center"/>
            </w:pPr>
            <w:r>
              <w:rPr>
                <w:b/>
                <w:bCs/>
                <w:color w:val="B08D57"/>
                <w:sz w:val="28"/>
                <w:szCs w:val="28"/>
              </w:rPr>
              <w:t xml:space="preserve">↓</w:t>
            </w:r>
          </w:p>
          <w:tbl>
            <w:tblPr>
              <w:tblW w:type="dxa" w:w="9360"/>
              <w:tblBorders>
                <w:top w:val="single" w:color="7A1F3D" w:sz="4"/>
                <w:left w:val="single" w:color="7A1F3D" w:sz="4"/>
                <w:bottom w:val="single" w:color="7A1F3D" w:sz="4"/>
                <w:right w:val="single" w:color="7A1F3D" w:sz="4"/>
                <w:insideH w:val="single" w:color="auto" w:sz="4"/>
                <w:insideV w:val="single" w:color="auto" w:sz="4"/>
              </w:tblBorders>
            </w:tblPr>
            <w:tblGrid>
              <w:gridCol w:w="9360"/>
            </w:tblGrid>
            <w:tr>
              <w:tc>
                <w:tcPr>
                  <w:tcW w:type="dxa" w:w="9360"/>
                  <w:shd w:fill="F3E3E9" w:color="auto" w:val="clear"/>
                  <w:tcMar>
                    <w:top w:type="dxa" w:w="100"/>
                    <w:left w:type="dxa" w:w="220"/>
                    <w:bottom w:type="dxa" w:w="100"/>
                    <w:right w:type="dxa" w:w="220"/>
                  </w:tcMar>
                </w:tcPr>
                <w:p>
                  <w:pPr>
                    <w:spacing w:after="0" w:before="0"/>
                    <w:jc w:val="center"/>
                  </w:pPr>
                  <w:r>
                    <w:rPr>
                      <w:b/>
                      <w:bCs/>
                      <w:color w:val="7A1F3D"/>
                      <w:sz w:val="20"/>
                      <w:szCs w:val="20"/>
                    </w:rPr>
                    <w:t xml:space="preserve">Family Meeting I: Diskusi Diagnosis, Prognosis &amp; Advance Care Planning</w:t>
                  </w:r>
                </w:p>
              </w:tc>
            </w:tr>
          </w:tbl>
          <w:p>
            <w:pPr>
              <w:spacing w:after="20" w:before="20"/>
              <w:jc w:val="center"/>
            </w:pPr>
            <w:r>
              <w:rPr>
                <w:b/>
                <w:bCs/>
                <w:color w:val="B08D57"/>
                <w:sz w:val="28"/>
                <w:szCs w:val="28"/>
              </w:rPr>
              <w:t xml:space="preserve">↓</w:t>
            </w:r>
          </w:p>
          <w:tbl>
            <w:tblPr>
              <w:tblW w:type="dxa" w:w="9360"/>
              <w:tblBorders>
                <w:top w:val="single" w:color="7A1F3D" w:sz="4"/>
                <w:left w:val="single" w:color="7A1F3D" w:sz="4"/>
                <w:bottom w:val="single" w:color="7A1F3D" w:sz="4"/>
                <w:right w:val="single" w:color="7A1F3D" w:sz="4"/>
                <w:insideH w:val="single" w:color="auto" w:sz="4"/>
                <w:insideV w:val="single" w:color="auto" w:sz="4"/>
              </w:tblBorders>
            </w:tblPr>
            <w:tblGrid>
              <w:gridCol w:w="9360"/>
            </w:tblGrid>
            <w:tr>
              <w:tc>
                <w:tcPr>
                  <w:tcW w:type="dxa" w:w="9360"/>
                  <w:shd w:fill="F3E3E9" w:color="auto" w:val="clear"/>
                  <w:tcMar>
                    <w:top w:type="dxa" w:w="100"/>
                    <w:left w:type="dxa" w:w="220"/>
                    <w:bottom w:type="dxa" w:w="100"/>
                    <w:right w:type="dxa" w:w="220"/>
                  </w:tcMar>
                </w:tcPr>
                <w:p>
                  <w:pPr>
                    <w:spacing w:after="0" w:before="0"/>
                    <w:jc w:val="center"/>
                  </w:pPr>
                  <w:r>
                    <w:rPr>
                      <w:b/>
                      <w:bCs/>
                      <w:color w:val="7A1F3D"/>
                      <w:sz w:val="20"/>
                      <w:szCs w:val="20"/>
                    </w:rPr>
                    <w:t xml:space="preserve">Kontrol Gejala Aktif (Nyeri, GI, Perdarahan, Asites, Limfedema, Psikologis)</w:t>
                  </w:r>
                </w:p>
              </w:tc>
            </w:tr>
          </w:tbl>
          <w:p>
            <w:pPr>
              <w:spacing w:after="20" w:before="20"/>
              <w:jc w:val="center"/>
            </w:pPr>
            <w:r>
              <w:rPr>
                <w:b/>
                <w:bCs/>
                <w:color w:val="B08D57"/>
                <w:sz w:val="28"/>
                <w:szCs w:val="28"/>
              </w:rPr>
              <w:t xml:space="preserve">↓</w:t>
            </w:r>
          </w:p>
          <w:tbl>
            <w:tblPr>
              <w:tblW w:type="dxa" w:w="9360"/>
              <w:tblBorders>
                <w:top w:val="single" w:color="7A1F3D" w:sz="4"/>
                <w:left w:val="single" w:color="7A1F3D" w:sz="4"/>
                <w:bottom w:val="single" w:color="7A1F3D" w:sz="4"/>
                <w:right w:val="single" w:color="7A1F3D" w:sz="4"/>
                <w:insideH w:val="single" w:color="auto" w:sz="4"/>
                <w:insideV w:val="single" w:color="auto" w:sz="4"/>
              </w:tblBorders>
            </w:tblPr>
            <w:tblGrid>
              <w:gridCol w:w="9360"/>
            </w:tblGrid>
            <w:tr>
              <w:tc>
                <w:tcPr>
                  <w:tcW w:type="dxa" w:w="9360"/>
                  <w:shd w:fill="F3E3E9" w:color="auto" w:val="clear"/>
                  <w:tcMar>
                    <w:top w:type="dxa" w:w="100"/>
                    <w:left w:type="dxa" w:w="220"/>
                    <w:bottom w:type="dxa" w:w="100"/>
                    <w:right w:type="dxa" w:w="220"/>
                  </w:tcMar>
                </w:tcPr>
                <w:p>
                  <w:pPr>
                    <w:spacing w:after="0" w:before="0"/>
                    <w:jc w:val="center"/>
                  </w:pPr>
                  <w:r>
                    <w:rPr>
                      <w:b/>
                      <w:bCs/>
                      <w:color w:val="7A1F3D"/>
                      <w:sz w:val="20"/>
                      <w:szCs w:val="20"/>
                    </w:rPr>
                    <w:t xml:space="preserve">Evaluasi Berkala (reasesmen gejala tiap kunjungan/24–72 jam rawat inap)</w:t>
                  </w:r>
                </w:p>
              </w:tc>
            </w:tr>
          </w:tbl>
          <w:p>
            <w:pPr>
              <w:spacing w:after="20" w:before="20"/>
              <w:jc w:val="center"/>
            </w:pPr>
            <w:r>
              <w:rPr>
                <w:b/>
                <w:bCs/>
                <w:color w:val="B08D57"/>
                <w:sz w:val="28"/>
                <w:szCs w:val="28"/>
              </w:rPr>
              <w:t xml:space="preserve">↓</w:t>
            </w:r>
          </w:p>
          <w:tbl>
            <w:tblPr>
              <w:tblW w:type="dxa" w:w="9360"/>
              <w:tblBorders>
                <w:top w:val="single" w:color="7A1F3D" w:sz="4"/>
                <w:left w:val="single" w:color="7A1F3D" w:sz="4"/>
                <w:bottom w:val="single" w:color="7A1F3D" w:sz="4"/>
                <w:right w:val="single" w:color="7A1F3D" w:sz="4"/>
                <w:insideH w:val="single" w:color="auto" w:sz="4"/>
                <w:insideV w:val="single" w:color="auto" w:sz="4"/>
              </w:tblBorders>
            </w:tblPr>
            <w:tblGrid>
              <w:gridCol w:w="9360"/>
            </w:tblGrid>
            <w:tr>
              <w:tc>
                <w:tcPr>
                  <w:tcW w:type="dxa" w:w="9360"/>
                  <w:shd w:fill="F3E3E9" w:color="auto" w:val="clear"/>
                  <w:tcMar>
                    <w:top w:type="dxa" w:w="100"/>
                    <w:left w:type="dxa" w:w="220"/>
                    <w:bottom w:type="dxa" w:w="100"/>
                    <w:right w:type="dxa" w:w="220"/>
                  </w:tcMar>
                </w:tcPr>
                <w:p>
                  <w:pPr>
                    <w:spacing w:after="0" w:before="0"/>
                    <w:jc w:val="center"/>
                  </w:pPr>
                  <w:r>
                    <w:rPr>
                      <w:b/>
                      <w:bCs/>
                      <w:color w:val="7A1F3D"/>
                      <w:sz w:val="20"/>
                      <w:szCs w:val="20"/>
                    </w:rPr>
                    <w:t xml:space="preserve">Deteksi Fase Terminal (≥2 kriteria dying phase)</w:t>
                  </w:r>
                </w:p>
              </w:tc>
            </w:tr>
          </w:tbl>
          <w:p>
            <w:pPr>
              <w:spacing w:after="20" w:before="20"/>
              <w:jc w:val="center"/>
            </w:pPr>
            <w:r>
              <w:rPr>
                <w:b/>
                <w:bCs/>
                <w:color w:val="B08D57"/>
                <w:sz w:val="28"/>
                <w:szCs w:val="28"/>
              </w:rPr>
              <w:t xml:space="preserve">↓</w:t>
            </w:r>
          </w:p>
          <w:tbl>
            <w:tblPr>
              <w:tblW w:type="dxa" w:w="9360"/>
              <w:tblBorders>
                <w:top w:val="single" w:color="7A1F3D" w:sz="4"/>
                <w:left w:val="single" w:color="7A1F3D" w:sz="4"/>
                <w:bottom w:val="single" w:color="7A1F3D" w:sz="4"/>
                <w:right w:val="single" w:color="7A1F3D" w:sz="4"/>
                <w:insideH w:val="single" w:color="auto" w:sz="4"/>
                <w:insideV w:val="single" w:color="auto" w:sz="4"/>
              </w:tblBorders>
            </w:tblPr>
            <w:tblGrid>
              <w:gridCol w:w="9360"/>
            </w:tblGrid>
            <w:tr>
              <w:tc>
                <w:tcPr>
                  <w:tcW w:type="dxa" w:w="9360"/>
                  <w:shd w:fill="F3E3E9" w:color="auto" w:val="clear"/>
                  <w:tcMar>
                    <w:top w:type="dxa" w:w="100"/>
                    <w:left w:type="dxa" w:w="220"/>
                    <w:bottom w:type="dxa" w:w="100"/>
                    <w:right w:type="dxa" w:w="220"/>
                  </w:tcMar>
                </w:tcPr>
                <w:p>
                  <w:pPr>
                    <w:spacing w:after="0" w:before="0"/>
                    <w:jc w:val="center"/>
                  </w:pPr>
                  <w:r>
                    <w:rPr>
                      <w:b/>
                      <w:bCs/>
                      <w:color w:val="7A1F3D"/>
                      <w:sz w:val="20"/>
                      <w:szCs w:val="20"/>
                    </w:rPr>
                    <w:t xml:space="preserve">Aktivasi Protokol End-of-Life Care &amp; Family Meeting II</w:t>
                  </w:r>
                </w:p>
              </w:tc>
            </w:tr>
          </w:tbl>
          <w:p>
            <w:pPr>
              <w:spacing w:after="20" w:before="20"/>
              <w:jc w:val="center"/>
            </w:pPr>
            <w:r>
              <w:rPr>
                <w:b/>
                <w:bCs/>
                <w:color w:val="B08D57"/>
                <w:sz w:val="28"/>
                <w:szCs w:val="28"/>
              </w:rPr>
              <w:t xml:space="preserve">↓</w:t>
            </w:r>
          </w:p>
          <w:tbl>
            <w:tblPr>
              <w:tblW w:type="dxa" w:w="9360"/>
              <w:tblBorders>
                <w:top w:val="single" w:color="7A1F3D" w:sz="4"/>
                <w:left w:val="single" w:color="7A1F3D" w:sz="4"/>
                <w:bottom w:val="single" w:color="7A1F3D" w:sz="4"/>
                <w:right w:val="single" w:color="7A1F3D" w:sz="4"/>
                <w:insideH w:val="single" w:color="auto" w:sz="4"/>
                <w:insideV w:val="single" w:color="auto" w:sz="4"/>
              </w:tblBorders>
            </w:tblPr>
            <w:tblGrid>
              <w:gridCol w:w="9360"/>
            </w:tblGrid>
            <w:tr>
              <w:tc>
                <w:tcPr>
                  <w:tcW w:type="dxa" w:w="9360"/>
                  <w:shd w:fill="F3E3E9" w:color="auto" w:val="clear"/>
                  <w:tcMar>
                    <w:top w:type="dxa" w:w="100"/>
                    <w:left w:type="dxa" w:w="220"/>
                    <w:bottom w:type="dxa" w:w="100"/>
                    <w:right w:type="dxa" w:w="220"/>
                  </w:tcMar>
                </w:tcPr>
                <w:p>
                  <w:pPr>
                    <w:spacing w:after="0" w:before="0"/>
                    <w:jc w:val="center"/>
                  </w:pPr>
                  <w:r>
                    <w:rPr>
                      <w:b/>
                      <w:bCs/>
                      <w:color w:val="7A1F3D"/>
                      <w:sz w:val="20"/>
                      <w:szCs w:val="20"/>
                    </w:rPr>
                    <w:t xml:space="preserve">Dukungan Berkabung (Bereavement Support) Pasca-Kematian</w:t>
                  </w:r>
                </w:p>
              </w:tc>
            </w:tr>
          </w:tbl>
          <w:p>
            <w:pPr>
              <w:spacing w:after="80" w:before="0"/>
            </w:pPr>
          </w:p>
          <w:p>
            <w:pPr>
              <w:spacing w:after="60" w:before="140"/>
            </w:pPr>
            <w:r>
              <w:rPr>
                <w:b/>
                <w:bCs/>
                <w:color w:val="7A1F3D"/>
                <w:sz w:val="21"/>
                <w:szCs w:val="21"/>
              </w:rPr>
              <w:t xml:space="preserve">8.2 Manajemen Nyeri (WHO Analgesic Ladder)</w:t>
            </w:r>
          </w:p>
          <w:p>
            <w:pPr>
              <w:spacing w:after="100" w:before="40" w:line="276"/>
            </w:pPr>
            <w:r>
              <w:rPr>
                <w:b w:val="false"/>
                <w:bCs w:val="false"/>
                <w:i w:val="false"/>
                <w:iCs w:val="false"/>
                <w:color w:val="2B2B2B"/>
                <w:sz w:val="21"/>
                <w:szCs w:val="21"/>
              </w:rPr>
              <w:t xml:space="preserve">Berdasarkan WHO Guidelines for the Pharmacological and Radiotherapeutic Management of Cancer Pain in Adults and Adolescents (2018) dan ESMO Clinical Practice Guidelines: Management of Cancer Pain in Adult Patients (Fallon dkk., 2018), terapi opioid untuk nyeri sedang-berat langsung dimulai sesuai kebutuhan tanpa harus melalui tahap opioid lemah bila nyeri sudah berat sejak awal.</w:t>
            </w:r>
          </w:p>
          <w:tbl>
            <w:tblPr>
              <w:tblW w:type="dxa" w:w="9360"/>
              <w:tblBorders>
                <w:top w:val="single" w:color="D9C3CC" w:sz="4"/>
                <w:left w:val="single" w:color="D9C3CC" w:sz="4"/>
                <w:bottom w:val="single" w:color="D9C3CC" w:sz="4"/>
                <w:right w:val="single" w:color="D9C3CC" w:sz="4"/>
                <w:insideH w:val="single" w:color="auto" w:sz="4"/>
                <w:insideV w:val="single" w:color="auto" w:sz="4"/>
              </w:tblBorders>
            </w:tblPr>
            <w:tblGrid>
              <w:gridCol w:w="1800"/>
              <w:gridCol w:w="3200"/>
              <w:gridCol w:w="4360"/>
            </w:tblGrid>
            <w:tr>
              <w:trPr>
                <w:tblHeader/>
              </w:trPr>
              <w:tc>
                <w:tcPr>
                  <w:tcW w:type="dxa" w:w="1800"/>
                  <w:shd w:fill="7A1F3D" w:color="auto" w:val="clear"/>
                  <w:tcMar>
                    <w:top w:type="dxa" w:w="80"/>
                    <w:left w:type="dxa" w:w="120"/>
                    <w:bottom w:type="dxa" w:w="80"/>
                    <w:right w:type="dxa" w:w="120"/>
                  </w:tcMar>
                  <w:vAlign w:val="center"/>
                </w:tcPr>
                <w:p>
                  <w:r>
                    <w:rPr>
                      <w:b/>
                      <w:bCs/>
                      <w:color w:val="FFFFFF"/>
                      <w:sz w:val="19"/>
                      <w:szCs w:val="19"/>
                    </w:rPr>
                    <w:t xml:space="preserve">Tahap</w:t>
                  </w:r>
                </w:p>
              </w:tc>
              <w:tc>
                <w:tcPr>
                  <w:tcW w:type="dxa" w:w="3200"/>
                  <w:shd w:fill="7A1F3D" w:color="auto" w:val="clear"/>
                  <w:tcMar>
                    <w:top w:type="dxa" w:w="80"/>
                    <w:left w:type="dxa" w:w="120"/>
                    <w:bottom w:type="dxa" w:w="80"/>
                    <w:right w:type="dxa" w:w="120"/>
                  </w:tcMar>
                  <w:vAlign w:val="center"/>
                </w:tcPr>
                <w:p>
                  <w:r>
                    <w:rPr>
                      <w:b/>
                      <w:bCs/>
                      <w:color w:val="FFFFFF"/>
                      <w:sz w:val="19"/>
                      <w:szCs w:val="19"/>
                    </w:rPr>
                    <w:t xml:space="preserve">Terapi</w:t>
                  </w:r>
                </w:p>
              </w:tc>
              <w:tc>
                <w:tcPr>
                  <w:tcW w:type="dxa" w:w="4360"/>
                  <w:shd w:fill="7A1F3D" w:color="auto" w:val="clear"/>
                  <w:tcMar>
                    <w:top w:type="dxa" w:w="80"/>
                    <w:left w:type="dxa" w:w="120"/>
                    <w:bottom w:type="dxa" w:w="80"/>
                    <w:right w:type="dxa" w:w="120"/>
                  </w:tcMar>
                  <w:vAlign w:val="center"/>
                </w:tcPr>
                <w:p>
                  <w:r>
                    <w:rPr>
                      <w:b/>
                      <w:bCs/>
                      <w:color w:val="FFFFFF"/>
                      <w:sz w:val="19"/>
                      <w:szCs w:val="19"/>
                    </w:rPr>
                    <w:t xml:space="preserve">Dosis/Rentang &amp; Peringatan</w:t>
                  </w:r>
                </w:p>
              </w:tc>
            </w:tr>
            <w:tr>
              <w:tc>
                <w:tcPr>
                  <w:tcW w:type="dxa" w:w="1800"/>
                  <w:shd w:fill="FFFFFF" w:color="auto" w:val="clear"/>
                  <w:tcMar>
                    <w:top w:type="dxa" w:w="70"/>
                    <w:left w:type="dxa" w:w="120"/>
                    <w:bottom w:type="dxa" w:w="70"/>
                    <w:right w:type="dxa" w:w="120"/>
                  </w:tcMar>
                </w:tcPr>
                <w:p>
                  <w:pPr>
                    <w:spacing w:after="0"/>
                  </w:pPr>
                  <w:r>
                    <w:rPr>
                      <w:color w:val="2B2B2B"/>
                      <w:sz w:val="19"/>
                      <w:szCs w:val="19"/>
                    </w:rPr>
                    <w:t xml:space="preserve">I — Nyeri ringan</w:t>
                  </w:r>
                </w:p>
              </w:tc>
              <w:tc>
                <w:tcPr>
                  <w:tcW w:type="dxa" w:w="3200"/>
                  <w:shd w:fill="FFFFFF" w:color="auto" w:val="clear"/>
                  <w:tcMar>
                    <w:top w:type="dxa" w:w="70"/>
                    <w:left w:type="dxa" w:w="120"/>
                    <w:bottom w:type="dxa" w:w="70"/>
                    <w:right w:type="dxa" w:w="120"/>
                  </w:tcMar>
                </w:tcPr>
                <w:p>
                  <w:pPr>
                    <w:spacing w:after="0"/>
                  </w:pPr>
                  <w:r>
                    <w:rPr>
                      <w:color w:val="2B2B2B"/>
                      <w:sz w:val="19"/>
                      <w:szCs w:val="19"/>
                    </w:rPr>
                    <w:t xml:space="preserve">Parasetamol ± AINS</w:t>
                  </w:r>
                </w:p>
              </w:tc>
              <w:tc>
                <w:tcPr>
                  <w:tcW w:type="dxa" w:w="4360"/>
                  <w:shd w:fill="FFFFFF" w:color="auto" w:val="clear"/>
                  <w:tcMar>
                    <w:top w:type="dxa" w:w="70"/>
                    <w:left w:type="dxa" w:w="120"/>
                    <w:bottom w:type="dxa" w:w="70"/>
                    <w:right w:type="dxa" w:w="120"/>
                  </w:tcMar>
                </w:tcPr>
                <w:p>
                  <w:pPr>
                    <w:spacing w:after="0"/>
                  </w:pPr>
                  <w:r>
                    <w:rPr>
                      <w:color w:val="2B2B2B"/>
                      <w:sz w:val="19"/>
                      <w:szCs w:val="19"/>
                    </w:rPr>
                    <w:t xml:space="preserve">Parasetamol 500–1000 mg/6–8 jam (maks 4 g/hari); AINS hindari bila gangguan ginjal/perdarahan aktif</w:t>
                  </w:r>
                </w:p>
              </w:tc>
            </w:tr>
            <w:tr>
              <w:tc>
                <w:tcPr>
                  <w:tcW w:type="dxa" w:w="1800"/>
                  <w:shd w:fill="F2F2F2" w:color="auto" w:val="clear"/>
                  <w:tcMar>
                    <w:top w:type="dxa" w:w="70"/>
                    <w:left w:type="dxa" w:w="120"/>
                    <w:bottom w:type="dxa" w:w="70"/>
                    <w:right w:type="dxa" w:w="120"/>
                  </w:tcMar>
                </w:tcPr>
                <w:p>
                  <w:pPr>
                    <w:spacing w:after="0"/>
                  </w:pPr>
                  <w:r>
                    <w:rPr>
                      <w:color w:val="2B2B2B"/>
                      <w:sz w:val="19"/>
                      <w:szCs w:val="19"/>
                    </w:rPr>
                    <w:t xml:space="preserve">II — Nyeri sedang</w:t>
                  </w:r>
                </w:p>
              </w:tc>
              <w:tc>
                <w:tcPr>
                  <w:tcW w:type="dxa" w:w="3200"/>
                  <w:shd w:fill="F2F2F2" w:color="auto" w:val="clear"/>
                  <w:tcMar>
                    <w:top w:type="dxa" w:w="70"/>
                    <w:left w:type="dxa" w:w="120"/>
                    <w:bottom w:type="dxa" w:w="70"/>
                    <w:right w:type="dxa" w:w="120"/>
                  </w:tcMar>
                </w:tcPr>
                <w:p>
                  <w:pPr>
                    <w:spacing w:after="0"/>
                  </w:pPr>
                  <w:r>
                    <w:rPr>
                      <w:color w:val="2B2B2B"/>
                      <w:sz w:val="19"/>
                      <w:szCs w:val="19"/>
                    </w:rPr>
                    <w:t xml:space="preserve">Opioid lemah (tramadol) + non-opioid</w:t>
                  </w:r>
                </w:p>
              </w:tc>
              <w:tc>
                <w:tcPr>
                  <w:tcW w:type="dxa" w:w="4360"/>
                  <w:shd w:fill="F2F2F2" w:color="auto" w:val="clear"/>
                  <w:tcMar>
                    <w:top w:type="dxa" w:w="70"/>
                    <w:left w:type="dxa" w:w="120"/>
                    <w:bottom w:type="dxa" w:w="70"/>
                    <w:right w:type="dxa" w:w="120"/>
                  </w:tcMar>
                </w:tcPr>
                <w:p>
                  <w:pPr>
                    <w:spacing w:after="0"/>
                  </w:pPr>
                  <w:r>
                    <w:rPr>
                      <w:color w:val="2B2B2B"/>
                      <w:sz w:val="19"/>
                      <w:szCs w:val="19"/>
                    </w:rPr>
                    <w:t xml:space="preserve">Tramadol 50–100 mg/6–8 jam (maks 400 mg/hari); hati-hati kejang, interaksi serotonergik</w:t>
                  </w:r>
                </w:p>
              </w:tc>
            </w:tr>
            <w:tr>
              <w:tc>
                <w:tcPr>
                  <w:tcW w:type="dxa" w:w="1800"/>
                  <w:shd w:fill="FFFFFF" w:color="auto" w:val="clear"/>
                  <w:tcMar>
                    <w:top w:type="dxa" w:w="70"/>
                    <w:left w:type="dxa" w:w="120"/>
                    <w:bottom w:type="dxa" w:w="70"/>
                    <w:right w:type="dxa" w:w="120"/>
                  </w:tcMar>
                </w:tcPr>
                <w:p>
                  <w:pPr>
                    <w:spacing w:after="0"/>
                  </w:pPr>
                  <w:r>
                    <w:rPr>
                      <w:color w:val="2B2B2B"/>
                      <w:sz w:val="19"/>
                      <w:szCs w:val="19"/>
                    </w:rPr>
                    <w:t xml:space="preserve">III — Nyeri berat</w:t>
                  </w:r>
                </w:p>
              </w:tc>
              <w:tc>
                <w:tcPr>
                  <w:tcW w:type="dxa" w:w="3200"/>
                  <w:shd w:fill="FFFFFF" w:color="auto" w:val="clear"/>
                  <w:tcMar>
                    <w:top w:type="dxa" w:w="70"/>
                    <w:left w:type="dxa" w:w="120"/>
                    <w:bottom w:type="dxa" w:w="70"/>
                    <w:right w:type="dxa" w:w="120"/>
                  </w:tcMar>
                </w:tcPr>
                <w:p>
                  <w:pPr>
                    <w:spacing w:after="0"/>
                  </w:pPr>
                  <w:r>
                    <w:rPr>
                      <w:color w:val="2B2B2B"/>
                      <w:sz w:val="19"/>
                      <w:szCs w:val="19"/>
                    </w:rPr>
                    <w:t xml:space="preserve">Opioid kuat (morfin oral/IV)</w:t>
                  </w:r>
                </w:p>
              </w:tc>
              <w:tc>
                <w:tcPr>
                  <w:tcW w:type="dxa" w:w="4360"/>
                  <w:shd w:fill="FFFFFF" w:color="auto" w:val="clear"/>
                  <w:tcMar>
                    <w:top w:type="dxa" w:w="70"/>
                    <w:left w:type="dxa" w:w="120"/>
                    <w:bottom w:type="dxa" w:w="70"/>
                    <w:right w:type="dxa" w:w="120"/>
                  </w:tcMar>
                </w:tcPr>
                <w:p>
                  <w:pPr>
                    <w:spacing w:after="0"/>
                  </w:pPr>
                  <w:r>
                    <w:rPr>
                      <w:color w:val="2B2B2B"/>
                      <w:sz w:val="19"/>
                      <w:szCs w:val="19"/>
                    </w:rPr>
                    <w:t xml:space="preserve">Morfin oral mulai 5–10 mg/4 jam, titrasi naik 25–50% bila nyeri belum terkontrol; morfin IV dosis ekuivalen 1/3 oral; sediakan breakthrough dose 1/6 dosis harian</w:t>
                  </w:r>
                </w:p>
              </w:tc>
            </w:tr>
            <w:tr>
              <w:tc>
                <w:tcPr>
                  <w:tcW w:type="dxa" w:w="1800"/>
                  <w:shd w:fill="F2F2F2" w:color="auto" w:val="clear"/>
                  <w:tcMar>
                    <w:top w:type="dxa" w:w="70"/>
                    <w:left w:type="dxa" w:w="120"/>
                    <w:bottom w:type="dxa" w:w="70"/>
                    <w:right w:type="dxa" w:w="120"/>
                  </w:tcMar>
                </w:tcPr>
                <w:p>
                  <w:pPr>
                    <w:spacing w:after="0"/>
                  </w:pPr>
                  <w:r>
                    <w:rPr>
                      <w:color w:val="2B2B2B"/>
                      <w:sz w:val="19"/>
                      <w:szCs w:val="19"/>
                    </w:rPr>
                    <w:t xml:space="preserve">Adjuvan</w:t>
                  </w:r>
                </w:p>
              </w:tc>
              <w:tc>
                <w:tcPr>
                  <w:tcW w:type="dxa" w:w="3200"/>
                  <w:shd w:fill="F2F2F2" w:color="auto" w:val="clear"/>
                  <w:tcMar>
                    <w:top w:type="dxa" w:w="70"/>
                    <w:left w:type="dxa" w:w="120"/>
                    <w:bottom w:type="dxa" w:w="70"/>
                    <w:right w:type="dxa" w:w="120"/>
                  </w:tcMar>
                </w:tcPr>
                <w:p>
                  <w:pPr>
                    <w:spacing w:after="0"/>
                  </w:pPr>
                  <w:r>
                    <w:rPr>
                      <w:color w:val="2B2B2B"/>
                      <w:sz w:val="19"/>
                      <w:szCs w:val="19"/>
                    </w:rPr>
                    <w:t xml:space="preserve">Gabapentin/amitriptilin (nyeri neuropatik), deksametason (nyeri kompresi tumor)</w:t>
                  </w:r>
                </w:p>
              </w:tc>
              <w:tc>
                <w:tcPr>
                  <w:tcW w:type="dxa" w:w="4360"/>
                  <w:shd w:fill="F2F2F2" w:color="auto" w:val="clear"/>
                  <w:tcMar>
                    <w:top w:type="dxa" w:w="70"/>
                    <w:left w:type="dxa" w:w="120"/>
                    <w:bottom w:type="dxa" w:w="70"/>
                    <w:right w:type="dxa" w:w="120"/>
                  </w:tcMar>
                </w:tcPr>
                <w:p>
                  <w:pPr>
                    <w:spacing w:after="0"/>
                  </w:pPr>
                  <w:r>
                    <w:rPr>
                      <w:color w:val="2B2B2B"/>
                      <w:sz w:val="19"/>
                      <w:szCs w:val="19"/>
                    </w:rPr>
                    <w:t xml:space="preserve">Gabapentin mulai 100–300 mg malam hari, titrasi bertahap; deksametason 4–8 mg/hari untuk edema peritumoral</w:t>
                  </w:r>
                </w:p>
              </w:tc>
            </w:tr>
          </w:tbl>
          <w:p>
            <w:pPr>
              <w:spacing w:after="100" w:before="40" w:line="276"/>
            </w:pPr>
            <w:r>
              <w:rPr>
                <w:b w:val="false"/>
                <w:bCs w:val="false"/>
                <w:i w:val="false"/>
                <w:iCs w:val="false"/>
                <w:color w:val="2B2B2B"/>
                <w:sz w:val="21"/>
                <w:szCs w:val="21"/>
              </w:rPr>
              <w:t xml:space="preserve">Peringatan keamanan opioid: rekonsiliasi obat, edukasi penyimpanan aman, dan pemantauan efek samping (konstipasi, sedasi, depresi napas) WAJIB dilakukan sesuai SGO Clinical Practice Statement mengenai keseimbangan efikasi, aksesibilitas, dan keamanan penggunaan opioid pada onkologi ginekologi (Lefkowits dkk., 2017).</w:t>
            </w:r>
          </w:p>
          <w:p>
            <w:pPr>
              <w:spacing w:after="80" w:before="0"/>
            </w:pPr>
          </w:p>
          <w:p>
            <w:pPr>
              <w:spacing w:after="60" w:before="140"/>
            </w:pPr>
            <w:r>
              <w:rPr>
                <w:b/>
                <w:bCs/>
                <w:color w:val="7A1F3D"/>
                <w:sz w:val="21"/>
                <w:szCs w:val="21"/>
              </w:rPr>
              <w:t xml:space="preserve">8.3 Manajemen Gejala Gastrointestinal</w:t>
            </w:r>
          </w:p>
          <w:p>
            <w:pPr>
              <w:pStyle w:val="ListParagraph"/>
              <w:numPr>
                <w:ilvl w:val="0"/>
                <w:numId w:val="2"/>
              </w:numPr>
              <w:spacing w:after="60" w:before="20" w:line="268"/>
            </w:pPr>
            <w:r>
              <w:rPr>
                <w:b w:val="false"/>
                <w:bCs w:val="false"/>
                <w:color w:val="2B2B2B"/>
                <w:sz w:val="21"/>
                <w:szCs w:val="21"/>
              </w:rPr>
              <w:t xml:space="preserve">Mual/muntah: metoklopramid 10 mg/8 jam (hindari pada obstruksi usus komplit karena prokinetik dapat memperberat) atau ondansetron 4–8 mg/8–12 jam; haloperidol dosis rendah 0,5–1,5 mg untuk mual akibat opioid/metabolik.</w:t>
            </w:r>
          </w:p>
          <w:p>
            <w:pPr>
              <w:pStyle w:val="ListParagraph"/>
              <w:numPr>
                <w:ilvl w:val="0"/>
                <w:numId w:val="2"/>
              </w:numPr>
              <w:spacing w:after="60" w:before="20" w:line="268"/>
            </w:pPr>
            <w:r>
              <w:rPr>
                <w:b w:val="false"/>
                <w:bCs w:val="false"/>
                <w:color w:val="2B2B2B"/>
                <w:sz w:val="21"/>
                <w:szCs w:val="21"/>
              </w:rPr>
              <w:t xml:space="preserve">Obstruksi usus maligna: tata laksana konservatif dahulu (nil per oral sementara, dekompresi nasogastrik bila perlu, oktreotid 100–300 mcg/8 jam subkutan untuk mengurangi sekresi GI, kortikosteroid deksametason 6–16 mg/hari); pertimbangkan konsul bedah untuk stenting/kolostomi paliatif bila obstruksi tunggal dan status performa memungkinkan.</w:t>
            </w:r>
          </w:p>
          <w:p>
            <w:pPr>
              <w:pStyle w:val="ListParagraph"/>
              <w:numPr>
                <w:ilvl w:val="0"/>
                <w:numId w:val="2"/>
              </w:numPr>
              <w:spacing w:after="60" w:before="20" w:line="268"/>
            </w:pPr>
            <w:r>
              <w:rPr>
                <w:b w:val="false"/>
                <w:bCs w:val="false"/>
                <w:color w:val="2B2B2B"/>
                <w:sz w:val="21"/>
                <w:szCs w:val="21"/>
              </w:rPr>
              <w:t xml:space="preserve">Konstipasi (terutama opioid-induced): laksatif stimulan/osmotik rutin (bukan pencahar bulk) sejak awal pemberian opioid, dosis dititrasi hingga BAB teratur.</w:t>
            </w:r>
          </w:p>
          <w:p>
            <w:pPr>
              <w:spacing w:after="80" w:before="0"/>
            </w:pPr>
          </w:p>
          <w:p>
            <w:pPr>
              <w:spacing w:after="60" w:before="140"/>
            </w:pPr>
            <w:r>
              <w:rPr>
                <w:b/>
                <w:bCs/>
                <w:color w:val="7A1F3D"/>
                <w:sz w:val="21"/>
                <w:szCs w:val="21"/>
              </w:rPr>
              <w:t xml:space="preserve">8.4 Manajemen Perdarahan Pervaginam dan Keputihan Maligna</w:t>
            </w:r>
          </w:p>
          <w:p>
            <w:pPr>
              <w:pStyle w:val="ListParagraph"/>
              <w:numPr>
                <w:ilvl w:val="0"/>
                <w:numId w:val="2"/>
              </w:numPr>
              <w:spacing w:after="60" w:before="20" w:line="268"/>
            </w:pPr>
            <w:r>
              <w:rPr>
                <w:b w:val="false"/>
                <w:bCs w:val="false"/>
                <w:color w:val="2B2B2B"/>
                <w:sz w:val="21"/>
                <w:szCs w:val="21"/>
              </w:rPr>
              <w:t xml:space="preserve">Asam traneksamat 500–1000 mg/8 jam oral/IV untuk perdarahan difus dari permukaan tumor.</w:t>
            </w:r>
          </w:p>
          <w:p>
            <w:pPr>
              <w:pStyle w:val="ListParagraph"/>
              <w:numPr>
                <w:ilvl w:val="0"/>
                <w:numId w:val="2"/>
              </w:numPr>
              <w:spacing w:after="60" w:before="20" w:line="268"/>
            </w:pPr>
            <w:r>
              <w:rPr>
                <w:b w:val="false"/>
                <w:bCs w:val="false"/>
                <w:color w:val="2B2B2B"/>
                <w:sz w:val="21"/>
                <w:szCs w:val="21"/>
              </w:rPr>
              <w:t xml:space="preserve">Tampon vagina dengan kasa yang direndam larutan adrenalin encer atau formalin topikal (di bawah supervisi onkologi ginekologi) untuk perdarahan permukaan aktif.</w:t>
            </w:r>
          </w:p>
          <w:p>
            <w:pPr>
              <w:pStyle w:val="ListParagraph"/>
              <w:numPr>
                <w:ilvl w:val="0"/>
                <w:numId w:val="2"/>
              </w:numPr>
              <w:spacing w:after="60" w:before="20" w:line="268"/>
            </w:pPr>
            <w:r>
              <w:rPr>
                <w:b w:val="false"/>
                <w:bCs w:val="false"/>
                <w:color w:val="2B2B2B"/>
                <w:sz w:val="21"/>
                <w:szCs w:val="21"/>
              </w:rPr>
              <w:t xml:space="preserve">Radioterapi paliatif hemostatik (dosis tunggal/fraksi pendek) untuk perdarahan tumor lokal yang tidak terkontrol dengan terapi lokal.</w:t>
            </w:r>
          </w:p>
          <w:p>
            <w:pPr>
              <w:pStyle w:val="ListParagraph"/>
              <w:numPr>
                <w:ilvl w:val="0"/>
                <w:numId w:val="2"/>
              </w:numPr>
              <w:spacing w:after="60" w:before="20" w:line="268"/>
            </w:pPr>
            <w:r>
              <w:rPr>
                <w:b w:val="false"/>
                <w:bCs w:val="false"/>
                <w:color w:val="2B2B2B"/>
                <w:sz w:val="21"/>
                <w:szCs w:val="21"/>
              </w:rPr>
              <w:t xml:space="preserve">Keputihan berbau/fistula: irigasi metronidazol topikal, penggunaan pembalut/perban penyerap bau, edukasi perawatan luka.</w:t>
            </w:r>
          </w:p>
          <w:p>
            <w:pPr>
              <w:spacing w:after="80" w:before="0"/>
            </w:pPr>
          </w:p>
          <w:p>
            <w:pPr>
              <w:spacing w:after="60" w:before="140"/>
            </w:pPr>
            <w:r>
              <w:rPr>
                <w:b/>
                <w:bCs/>
                <w:color w:val="7A1F3D"/>
                <w:sz w:val="21"/>
                <w:szCs w:val="21"/>
              </w:rPr>
              <w:t xml:space="preserve">8.5 Manajemen Asites dan Limfedema</w:t>
            </w:r>
          </w:p>
          <w:p>
            <w:pPr>
              <w:pStyle w:val="ListParagraph"/>
              <w:numPr>
                <w:ilvl w:val="0"/>
                <w:numId w:val="2"/>
              </w:numPr>
              <w:spacing w:after="60" w:before="20" w:line="268"/>
            </w:pPr>
            <w:r>
              <w:rPr>
                <w:b w:val="false"/>
                <w:bCs w:val="false"/>
                <w:color w:val="2B2B2B"/>
                <w:sz w:val="21"/>
                <w:szCs w:val="21"/>
              </w:rPr>
              <w:t xml:space="preserve">Asites simtomatik: parasentesis paliatif intermiten (kecepatan aspirasi bertahap untuk mencegah hipotensi), diuretik (spironolakton ± furosemid) sebagai terapi tambahan bila asites bukan murni maligna.</w:t>
            </w:r>
          </w:p>
          <w:p>
            <w:pPr>
              <w:pStyle w:val="ListParagraph"/>
              <w:numPr>
                <w:ilvl w:val="0"/>
                <w:numId w:val="2"/>
              </w:numPr>
              <w:spacing w:after="60" w:before="20" w:line="268"/>
            </w:pPr>
            <w:r>
              <w:rPr>
                <w:b w:val="false"/>
                <w:bCs w:val="false"/>
                <w:color w:val="2B2B2B"/>
                <w:sz w:val="21"/>
                <w:szCs w:val="21"/>
              </w:rPr>
              <w:t xml:space="preserve">Limfedema tungkai: terapi dekongestif kombinasi (bandaging kompresi bertingkat, elevasi tungkai, latihan gerak ringan), rujuk fisioterapi limfedema bila tersedia.</w:t>
            </w:r>
          </w:p>
          <w:p>
            <w:pPr>
              <w:spacing w:after="80" w:before="0"/>
            </w:pPr>
          </w:p>
          <w:p>
            <w:pPr>
              <w:spacing w:after="60" w:before="140"/>
            </w:pPr>
            <w:r>
              <w:rPr>
                <w:b/>
                <w:bCs/>
                <w:color w:val="7A1F3D"/>
                <w:sz w:val="21"/>
                <w:szCs w:val="21"/>
              </w:rPr>
              <w:t xml:space="preserve">8.6 Dukungan Psikologis, Sosial, dan Spiritual</w:t>
            </w:r>
          </w:p>
          <w:p>
            <w:pPr>
              <w:pStyle w:val="ListParagraph"/>
              <w:numPr>
                <w:ilvl w:val="0"/>
                <w:numId w:val="2"/>
              </w:numPr>
              <w:spacing w:after="60" w:before="20" w:line="268"/>
            </w:pPr>
            <w:r>
              <w:rPr>
                <w:b w:val="false"/>
                <w:bCs w:val="false"/>
                <w:color w:val="2B2B2B"/>
                <w:sz w:val="21"/>
                <w:szCs w:val="21"/>
              </w:rPr>
              <w:t xml:space="preserve">Psikologis: konseling suportif terjadwal, terapi farmakologis bila memenuhi kriteria depresi/ansietas klinis (mis. sertralin 25–50 mg/hari, titrasi bertahap), teknik relaksasi/mindfulness.</w:t>
            </w:r>
          </w:p>
          <w:p>
            <w:pPr>
              <w:pStyle w:val="ListParagraph"/>
              <w:numPr>
                <w:ilvl w:val="0"/>
                <w:numId w:val="2"/>
              </w:numPr>
              <w:spacing w:after="60" w:before="20" w:line="268"/>
            </w:pPr>
            <w:r>
              <w:rPr>
                <w:b w:val="false"/>
                <w:bCs w:val="false"/>
                <w:color w:val="2B2B2B"/>
                <w:sz w:val="21"/>
                <w:szCs w:val="21"/>
              </w:rPr>
              <w:t xml:space="preserve">Sosial: skrining kebutuhan sosial terstruktur (finansial, pekerjaan, transportasi, tempat tinggal, literasi kesehatan, beban pengasuh) menggunakan instrumen tervalidasi sesuai SGO Clinical Practice Statement (Esselen dkk., 2020); rujukan ke pekerja sosial medis untuk sumber daya komunitas dan fasilitasi akses BPJS/asuransi.</w:t>
            </w:r>
          </w:p>
          <w:p>
            <w:pPr>
              <w:pStyle w:val="ListParagraph"/>
              <w:numPr>
                <w:ilvl w:val="0"/>
                <w:numId w:val="2"/>
              </w:numPr>
              <w:spacing w:after="60" w:before="20" w:line="268"/>
            </w:pPr>
            <w:r>
              <w:rPr>
                <w:b w:val="false"/>
                <w:bCs w:val="false"/>
                <w:color w:val="2B2B2B"/>
                <w:sz w:val="21"/>
                <w:szCs w:val="21"/>
              </w:rPr>
              <w:t xml:space="preserve">Spiritual: fasilitasi kunjungan rohaniwan sesuai keyakinan pasien, ruang privasi untuk ritual keagamaan, dukungan pemaknaan hidup (life review).</w:t>
            </w:r>
          </w:p>
          <w:p>
            <w:pPr>
              <w:spacing w:after="80" w:before="0"/>
            </w:pPr>
          </w:p>
          <w:p>
            <w:pPr>
              <w:spacing w:after="60" w:before="140"/>
            </w:pPr>
            <w:r>
              <w:rPr>
                <w:b/>
                <w:bCs/>
                <w:color w:val="7A1F3D"/>
                <w:sz w:val="21"/>
                <w:szCs w:val="21"/>
              </w:rPr>
              <w:t xml:space="preserve">8.7 End-of-Life Care (Fase Menjelang Ajal) — Komponen Wajib</w:t>
            </w:r>
          </w:p>
          <w:p>
            <w:pPr>
              <w:pStyle w:val="ListParagraph"/>
              <w:numPr>
                <w:ilvl w:val="0"/>
                <w:numId w:val="2"/>
              </w:numPr>
              <w:spacing w:after="60" w:before="20" w:line="268"/>
            </w:pPr>
            <w:r>
              <w:rPr>
                <w:b w:val="false"/>
                <w:bCs w:val="false"/>
                <w:color w:val="2B2B2B"/>
                <w:sz w:val="21"/>
                <w:szCs w:val="21"/>
              </w:rPr>
              <w:t xml:space="preserve">Begitu kriteria dying phase terpenuhi (lihat Komponen 4C), aktifkan protokol kenyamanan: hentikan pemeriksaan/tindakan yang tidak lagi memberi manfaat kenyamanan (pemantauan tanda vital rutin, pengambilan darah), pertahankan hanya intervensi yang meningkatkan kenyamanan, sejalan dengan algoritma perawatan akhir hayat NCCN Guidelines: Palliative Care (Versi 3.2026).</w:t>
            </w:r>
          </w:p>
          <w:p>
            <w:pPr>
              <w:pStyle w:val="ListParagraph"/>
              <w:numPr>
                <w:ilvl w:val="0"/>
                <w:numId w:val="2"/>
              </w:numPr>
              <w:spacing w:after="60" w:before="20" w:line="268"/>
            </w:pPr>
            <w:r>
              <w:rPr>
                <w:b w:val="false"/>
                <w:bCs w:val="false"/>
                <w:color w:val="2B2B2B"/>
                <w:sz w:val="21"/>
                <w:szCs w:val="21"/>
              </w:rPr>
              <w:t xml:space="preserve">Nyeri/sesak pada fase terminal: lanjutkan/titrasi opioid subkutan/IV kontinu sesuai kebutuhan, dosis breakthrough tersedia setiap saat.</w:t>
            </w:r>
          </w:p>
          <w:p>
            <w:pPr>
              <w:pStyle w:val="ListParagraph"/>
              <w:numPr>
                <w:ilvl w:val="0"/>
                <w:numId w:val="2"/>
              </w:numPr>
              <w:spacing w:after="60" w:before="20" w:line="268"/>
            </w:pPr>
            <w:r>
              <w:rPr>
                <w:b w:val="false"/>
                <w:bCs w:val="false"/>
                <w:color w:val="2B2B2B"/>
                <w:sz w:val="21"/>
                <w:szCs w:val="21"/>
              </w:rPr>
              <w:t xml:space="preserve">Delirium terminal/gelisah (terminal restlessness): midazolam subkutan 2,5–5 mg, dapat diulang atau infus kontinu 10–20 mg/24 jam, dititrasi hingga tenang; singkirkan dahulu penyebab reversibel (retensi urin, nyeri tak terkontrol) sebelum sedasi. Indikasi, proses persetujuan, dan pemantauan sedasi paliatif WAJIB mengikuti 10 poin Kerangka Kerja European Association for Palliative Care (EAPC) untuk Penggunaan Sedasi dalam Perawatan Paliatif (Cherny &amp; Radbruch, 2009), yang telah diperbarui melalui studi Delphi internasional (Surges dkk., 2024).</w:t>
            </w:r>
          </w:p>
          <w:p>
            <w:pPr>
              <w:pStyle w:val="ListParagraph"/>
              <w:numPr>
                <w:ilvl w:val="0"/>
                <w:numId w:val="2"/>
              </w:numPr>
              <w:spacing w:after="60" w:before="20" w:line="268"/>
            </w:pPr>
            <w:r>
              <w:rPr>
                <w:b w:val="false"/>
                <w:bCs w:val="false"/>
                <w:color w:val="2B2B2B"/>
                <w:sz w:val="21"/>
                <w:szCs w:val="21"/>
              </w:rPr>
              <w:t xml:space="preserve">Sekret jalan napas ("death rattle"): hyoscine butylbromide 20 mg subkutan setiap 4–6 jam atau infus kontinu, reposisi pasien (semi-lateral), edukasi keluarga bahwa suara ini umumnya tidak menandakan penderitaan pasien.</w:t>
            </w:r>
          </w:p>
          <w:p>
            <w:pPr>
              <w:pStyle w:val="ListParagraph"/>
              <w:numPr>
                <w:ilvl w:val="0"/>
                <w:numId w:val="2"/>
              </w:numPr>
              <w:spacing w:after="60" w:before="20" w:line="268"/>
            </w:pPr>
            <w:r>
              <w:rPr>
                <w:b w:val="false"/>
                <w:bCs w:val="false"/>
                <w:color w:val="2B2B2B"/>
                <w:sz w:val="21"/>
                <w:szCs w:val="21"/>
              </w:rPr>
              <w:t xml:space="preserve">Nutrisi/hidrasi fase terminal: hentikan pemberian nutrisi/cairan agresif bila tidak lagi memberi manfaat kenyamanan dan telah didiskusikan dengan keluarga; perawatan mulut (oral care) rutin tetap wajib untuk kenyamanan.</w:t>
            </w:r>
          </w:p>
          <w:p>
            <w:pPr>
              <w:pStyle w:val="ListParagraph"/>
              <w:numPr>
                <w:ilvl w:val="0"/>
                <w:numId w:val="2"/>
              </w:numPr>
              <w:spacing w:after="60" w:before="20" w:line="268"/>
            </w:pPr>
            <w:r>
              <w:rPr>
                <w:b w:val="false"/>
                <w:bCs w:val="false"/>
                <w:color w:val="2B2B2B"/>
                <w:sz w:val="21"/>
                <w:szCs w:val="21"/>
              </w:rPr>
              <w:t xml:space="preserve">Dokumentasi keputusan Do-Not-Attempt-Resuscitation (DNAR) bila telah disepakati bersama pasien (selagi kompeten) dan/atau keluarga, dicatat eksplisit dalam rekam medis dan diketahui seluruh tim jaga.</w:t>
            </w:r>
          </w:p>
          <w:p>
            <w:pPr>
              <w:spacing w:after="80" w:before="0"/>
            </w:pPr>
          </w:p>
          <w:p>
            <w:pPr>
              <w:spacing w:after="60" w:before="140"/>
            </w:pPr>
            <w:r>
              <w:rPr>
                <w:b/>
                <w:bCs/>
                <w:color w:val="7A1F3D"/>
                <w:sz w:val="21"/>
                <w:szCs w:val="21"/>
              </w:rPr>
              <w:t xml:space="preserve">8.8 Kolaborasi Tim Paliatif — Peran Eksplisit Setiap Anggota (Komponen Wajib)</w:t>
            </w:r>
          </w:p>
          <w:p>
            <w:pPr>
              <w:spacing w:after="100" w:before="40" w:line="276"/>
            </w:pPr>
            <w:r>
              <w:rPr>
                <w:b w:val="false"/>
                <w:bCs w:val="false"/>
                <w:i w:val="false"/>
                <w:iCs w:val="false"/>
                <w:color w:val="2B2B2B"/>
                <w:sz w:val="21"/>
                <w:szCs w:val="21"/>
              </w:rPr>
              <w:t xml:space="preserve">Model tim interdisipliner berikut mengacu pada standar tim multidisiplin kanker Kementerian Kesehatan RI dan kerangka kompetensi kolaboratif ASCO/SGO:</w:t>
            </w:r>
          </w:p>
          <w:tbl>
            <w:tblPr>
              <w:tblW w:type="dxa" w:w="9360"/>
              <w:tblBorders>
                <w:top w:val="single" w:color="D9C3CC" w:sz="4"/>
                <w:left w:val="single" w:color="D9C3CC" w:sz="4"/>
                <w:bottom w:val="single" w:color="D9C3CC" w:sz="4"/>
                <w:right w:val="single" w:color="D9C3CC" w:sz="4"/>
                <w:insideH w:val="single" w:color="auto" w:sz="4"/>
                <w:insideV w:val="single" w:color="auto" w:sz="4"/>
              </w:tblBorders>
            </w:tblPr>
            <w:tblGrid>
              <w:gridCol w:w="3400"/>
              <w:gridCol w:w="5960"/>
            </w:tblGrid>
            <w:tr>
              <w:trPr>
                <w:tblHeader/>
              </w:trPr>
              <w:tc>
                <w:tcPr>
                  <w:tcW w:type="dxa" w:w="3400"/>
                  <w:shd w:fill="7A1F3D" w:color="auto" w:val="clear"/>
                  <w:tcMar>
                    <w:top w:type="dxa" w:w="80"/>
                    <w:left w:type="dxa" w:w="120"/>
                    <w:bottom w:type="dxa" w:w="80"/>
                    <w:right w:type="dxa" w:w="120"/>
                  </w:tcMar>
                  <w:vAlign w:val="center"/>
                </w:tcPr>
                <w:p>
                  <w:r>
                    <w:rPr>
                      <w:b/>
                      <w:bCs/>
                      <w:color w:val="FFFFFF"/>
                      <w:sz w:val="19"/>
                      <w:szCs w:val="19"/>
                    </w:rPr>
                    <w:t xml:space="preserve">Anggota Tim</w:t>
                  </w:r>
                </w:p>
              </w:tc>
              <w:tc>
                <w:tcPr>
                  <w:tcW w:type="dxa" w:w="5960"/>
                  <w:shd w:fill="7A1F3D" w:color="auto" w:val="clear"/>
                  <w:tcMar>
                    <w:top w:type="dxa" w:w="80"/>
                    <w:left w:type="dxa" w:w="120"/>
                    <w:bottom w:type="dxa" w:w="80"/>
                    <w:right w:type="dxa" w:w="120"/>
                  </w:tcMar>
                  <w:vAlign w:val="center"/>
                </w:tcPr>
                <w:p>
                  <w:r>
                    <w:rPr>
                      <w:b/>
                      <w:bCs/>
                      <w:color w:val="FFFFFF"/>
                      <w:sz w:val="19"/>
                      <w:szCs w:val="19"/>
                    </w:rPr>
                    <w:t xml:space="preserve">Peran Eksplisit</w:t>
                  </w:r>
                </w:p>
              </w:tc>
            </w:tr>
            <w:tr>
              <w:tc>
                <w:tcPr>
                  <w:tcW w:type="dxa" w:w="3400"/>
                  <w:shd w:fill="FFFFFF" w:color="auto" w:val="clear"/>
                  <w:tcMar>
                    <w:top w:type="dxa" w:w="70"/>
                    <w:left w:type="dxa" w:w="120"/>
                    <w:bottom w:type="dxa" w:w="70"/>
                    <w:right w:type="dxa" w:w="120"/>
                  </w:tcMar>
                </w:tcPr>
                <w:p>
                  <w:pPr>
                    <w:spacing w:after="0"/>
                  </w:pPr>
                  <w:r>
                    <w:rPr>
                      <w:color w:val="2B2B2B"/>
                      <w:sz w:val="19"/>
                      <w:szCs w:val="19"/>
                    </w:rPr>
                    <w:t xml:space="preserve">Dokter Sp.OG Subsp. Obginsos (Koordinator Medis)</w:t>
                  </w:r>
                </w:p>
              </w:tc>
              <w:tc>
                <w:tcPr>
                  <w:tcW w:type="dxa" w:w="5960"/>
                  <w:shd w:fill="FFFFFF" w:color="auto" w:val="clear"/>
                  <w:tcMar>
                    <w:top w:type="dxa" w:w="70"/>
                    <w:left w:type="dxa" w:w="120"/>
                    <w:bottom w:type="dxa" w:w="70"/>
                    <w:right w:type="dxa" w:w="120"/>
                  </w:tcMar>
                </w:tcPr>
                <w:p>
                  <w:pPr>
                    <w:spacing w:after="0"/>
                  </w:pPr>
                  <w:r>
                    <w:rPr>
                      <w:color w:val="2B2B2B"/>
                      <w:sz w:val="19"/>
                      <w:szCs w:val="19"/>
                    </w:rPr>
                    <w:t xml:space="preserve">Menetapkan diagnosis kerja paliatif, memimpin family meeting, menjadi penanggung jawab utama keputusan medis dan DNAR</w:t>
                  </w:r>
                </w:p>
              </w:tc>
            </w:tr>
            <w:tr>
              <w:tc>
                <w:tcPr>
                  <w:tcW w:type="dxa" w:w="3400"/>
                  <w:shd w:fill="F2F2F2" w:color="auto" w:val="clear"/>
                  <w:tcMar>
                    <w:top w:type="dxa" w:w="70"/>
                    <w:left w:type="dxa" w:w="120"/>
                    <w:bottom w:type="dxa" w:w="70"/>
                    <w:right w:type="dxa" w:w="120"/>
                  </w:tcMar>
                </w:tcPr>
                <w:p>
                  <w:pPr>
                    <w:spacing w:after="0"/>
                  </w:pPr>
                  <w:r>
                    <w:rPr>
                      <w:color w:val="2B2B2B"/>
                      <w:sz w:val="19"/>
                      <w:szCs w:val="19"/>
                    </w:rPr>
                    <w:t xml:space="preserve">Dokter/Konsultan Paliatif atau Anestesi Nyeri</w:t>
                  </w:r>
                </w:p>
              </w:tc>
              <w:tc>
                <w:tcPr>
                  <w:tcW w:type="dxa" w:w="5960"/>
                  <w:shd w:fill="F2F2F2" w:color="auto" w:val="clear"/>
                  <w:tcMar>
                    <w:top w:type="dxa" w:w="70"/>
                    <w:left w:type="dxa" w:w="120"/>
                    <w:bottom w:type="dxa" w:w="70"/>
                    <w:right w:type="dxa" w:w="120"/>
                  </w:tcMar>
                </w:tcPr>
                <w:p>
                  <w:pPr>
                    <w:spacing w:after="0"/>
                  </w:pPr>
                  <w:r>
                    <w:rPr>
                      <w:color w:val="2B2B2B"/>
                      <w:sz w:val="19"/>
                      <w:szCs w:val="19"/>
                    </w:rPr>
                    <w:t xml:space="preserve">Optimalisasi manajemen nyeri kompleks dan sedasi paliatif pada fase terminal</w:t>
                  </w:r>
                </w:p>
              </w:tc>
            </w:tr>
            <w:tr>
              <w:tc>
                <w:tcPr>
                  <w:tcW w:type="dxa" w:w="3400"/>
                  <w:shd w:fill="FFFFFF" w:color="auto" w:val="clear"/>
                  <w:tcMar>
                    <w:top w:type="dxa" w:w="70"/>
                    <w:left w:type="dxa" w:w="120"/>
                    <w:bottom w:type="dxa" w:w="70"/>
                    <w:right w:type="dxa" w:w="120"/>
                  </w:tcMar>
                </w:tcPr>
                <w:p>
                  <w:pPr>
                    <w:spacing w:after="0"/>
                  </w:pPr>
                  <w:r>
                    <w:rPr>
                      <w:color w:val="2B2B2B"/>
                      <w:sz w:val="19"/>
                      <w:szCs w:val="19"/>
                    </w:rPr>
                    <w:t xml:space="preserve">Perawat Paliatif</w:t>
                  </w:r>
                </w:p>
              </w:tc>
              <w:tc>
                <w:tcPr>
                  <w:tcW w:type="dxa" w:w="5960"/>
                  <w:shd w:fill="FFFFFF" w:color="auto" w:val="clear"/>
                  <w:tcMar>
                    <w:top w:type="dxa" w:w="70"/>
                    <w:left w:type="dxa" w:w="120"/>
                    <w:bottom w:type="dxa" w:w="70"/>
                    <w:right w:type="dxa" w:w="120"/>
                  </w:tcMar>
                </w:tcPr>
                <w:p>
                  <w:pPr>
                    <w:spacing w:after="0"/>
                  </w:pPr>
                  <w:r>
                    <w:rPr>
                      <w:color w:val="2B2B2B"/>
                      <w:sz w:val="19"/>
                      <w:szCs w:val="19"/>
                    </w:rPr>
                    <w:t xml:space="preserve">Koordinasi asuhan harian, edukasi keluarga di sisi tempat tidur, pemantauan gejala berkelanjutan, penghubung antar-disiplin</w:t>
                  </w:r>
                </w:p>
              </w:tc>
            </w:tr>
            <w:tr>
              <w:tc>
                <w:tcPr>
                  <w:tcW w:type="dxa" w:w="3400"/>
                  <w:shd w:fill="F2F2F2" w:color="auto" w:val="clear"/>
                  <w:tcMar>
                    <w:top w:type="dxa" w:w="70"/>
                    <w:left w:type="dxa" w:w="120"/>
                    <w:bottom w:type="dxa" w:w="70"/>
                    <w:right w:type="dxa" w:w="120"/>
                  </w:tcMar>
                </w:tcPr>
                <w:p>
                  <w:pPr>
                    <w:spacing w:after="0"/>
                  </w:pPr>
                  <w:r>
                    <w:rPr>
                      <w:color w:val="2B2B2B"/>
                      <w:sz w:val="19"/>
                      <w:szCs w:val="19"/>
                    </w:rPr>
                    <w:t xml:space="preserve">Psikolog/Psikiater</w:t>
                  </w:r>
                </w:p>
              </w:tc>
              <w:tc>
                <w:tcPr>
                  <w:tcW w:type="dxa" w:w="5960"/>
                  <w:shd w:fill="F2F2F2" w:color="auto" w:val="clear"/>
                  <w:tcMar>
                    <w:top w:type="dxa" w:w="70"/>
                    <w:left w:type="dxa" w:w="120"/>
                    <w:bottom w:type="dxa" w:w="70"/>
                    <w:right w:type="dxa" w:w="120"/>
                  </w:tcMar>
                </w:tcPr>
                <w:p>
                  <w:pPr>
                    <w:spacing w:after="0"/>
                  </w:pPr>
                  <w:r>
                    <w:rPr>
                      <w:color w:val="2B2B2B"/>
                      <w:sz w:val="19"/>
                      <w:szCs w:val="19"/>
                    </w:rPr>
                    <w:t xml:space="preserve">Asesmen dan tata laksana ansietas/depresi, dukungan psikologis pasien dan keluarga</w:t>
                  </w:r>
                </w:p>
              </w:tc>
            </w:tr>
            <w:tr>
              <w:tc>
                <w:tcPr>
                  <w:tcW w:type="dxa" w:w="3400"/>
                  <w:shd w:fill="FFFFFF" w:color="auto" w:val="clear"/>
                  <w:tcMar>
                    <w:top w:type="dxa" w:w="70"/>
                    <w:left w:type="dxa" w:w="120"/>
                    <w:bottom w:type="dxa" w:w="70"/>
                    <w:right w:type="dxa" w:w="120"/>
                  </w:tcMar>
                </w:tcPr>
                <w:p>
                  <w:pPr>
                    <w:spacing w:after="0"/>
                  </w:pPr>
                  <w:r>
                    <w:rPr>
                      <w:color w:val="2B2B2B"/>
                      <w:sz w:val="19"/>
                      <w:szCs w:val="19"/>
                    </w:rPr>
                    <w:t xml:space="preserve">Pekerja Sosial Medis</w:t>
                  </w:r>
                </w:p>
              </w:tc>
              <w:tc>
                <w:tcPr>
                  <w:tcW w:type="dxa" w:w="5960"/>
                  <w:shd w:fill="FFFFFF" w:color="auto" w:val="clear"/>
                  <w:tcMar>
                    <w:top w:type="dxa" w:w="70"/>
                    <w:left w:type="dxa" w:w="120"/>
                    <w:bottom w:type="dxa" w:w="70"/>
                    <w:right w:type="dxa" w:w="120"/>
                  </w:tcMar>
                </w:tcPr>
                <w:p>
                  <w:pPr>
                    <w:spacing w:after="0"/>
                  </w:pPr>
                  <w:r>
                    <w:rPr>
                      <w:color w:val="2B2B2B"/>
                      <w:sz w:val="19"/>
                      <w:szCs w:val="19"/>
                    </w:rPr>
                    <w:t xml:space="preserve">Skrining dan asesmen kebutuhan sosial-ekonomi (SGO, 2020), fasilitasi akses layanan/asuransi, mediasi keluarga</w:t>
                  </w:r>
                </w:p>
              </w:tc>
            </w:tr>
            <w:tr>
              <w:tc>
                <w:tcPr>
                  <w:tcW w:type="dxa" w:w="3400"/>
                  <w:shd w:fill="F2F2F2" w:color="auto" w:val="clear"/>
                  <w:tcMar>
                    <w:top w:type="dxa" w:w="70"/>
                    <w:left w:type="dxa" w:w="120"/>
                    <w:bottom w:type="dxa" w:w="70"/>
                    <w:right w:type="dxa" w:w="120"/>
                  </w:tcMar>
                </w:tcPr>
                <w:p>
                  <w:pPr>
                    <w:spacing w:after="0"/>
                  </w:pPr>
                  <w:r>
                    <w:rPr>
                      <w:color w:val="2B2B2B"/>
                      <w:sz w:val="19"/>
                      <w:szCs w:val="19"/>
                    </w:rPr>
                    <w:t xml:space="preserve">Rohaniwan</w:t>
                  </w:r>
                </w:p>
              </w:tc>
              <w:tc>
                <w:tcPr>
                  <w:tcW w:type="dxa" w:w="5960"/>
                  <w:shd w:fill="F2F2F2" w:color="auto" w:val="clear"/>
                  <w:tcMar>
                    <w:top w:type="dxa" w:w="70"/>
                    <w:left w:type="dxa" w:w="120"/>
                    <w:bottom w:type="dxa" w:w="70"/>
                    <w:right w:type="dxa" w:w="120"/>
                  </w:tcMar>
                </w:tcPr>
                <w:p>
                  <w:pPr>
                    <w:spacing w:after="0"/>
                  </w:pPr>
                  <w:r>
                    <w:rPr>
                      <w:color w:val="2B2B2B"/>
                      <w:sz w:val="19"/>
                      <w:szCs w:val="19"/>
                    </w:rPr>
                    <w:t xml:space="preserve">Pendampingan spiritual sesuai keyakinan pasien, dukungan pemaknaan akhir hayat</w:t>
                  </w:r>
                </w:p>
              </w:tc>
            </w:tr>
            <w:tr>
              <w:tc>
                <w:tcPr>
                  <w:tcW w:type="dxa" w:w="3400"/>
                  <w:shd w:fill="FFFFFF" w:color="auto" w:val="clear"/>
                  <w:tcMar>
                    <w:top w:type="dxa" w:w="70"/>
                    <w:left w:type="dxa" w:w="120"/>
                    <w:bottom w:type="dxa" w:w="70"/>
                    <w:right w:type="dxa" w:w="120"/>
                  </w:tcMar>
                </w:tcPr>
                <w:p>
                  <w:pPr>
                    <w:spacing w:after="0"/>
                  </w:pPr>
                  <w:r>
                    <w:rPr>
                      <w:color w:val="2B2B2B"/>
                      <w:sz w:val="19"/>
                      <w:szCs w:val="19"/>
                    </w:rPr>
                    <w:t xml:space="preserve">Ahli Gizi Klinis</w:t>
                  </w:r>
                </w:p>
              </w:tc>
              <w:tc>
                <w:tcPr>
                  <w:tcW w:type="dxa" w:w="5960"/>
                  <w:shd w:fill="FFFFFF" w:color="auto" w:val="clear"/>
                  <w:tcMar>
                    <w:top w:type="dxa" w:w="70"/>
                    <w:left w:type="dxa" w:w="120"/>
                    <w:bottom w:type="dxa" w:w="70"/>
                    <w:right w:type="dxa" w:w="120"/>
                  </w:tcMar>
                </w:tcPr>
                <w:p>
                  <w:pPr>
                    <w:spacing w:after="0"/>
                  </w:pPr>
                  <w:r>
                    <w:rPr>
                      <w:color w:val="2B2B2B"/>
                      <w:sz w:val="19"/>
                      <w:szCs w:val="19"/>
                    </w:rPr>
                    <w:t xml:space="preserve">Rekomendasi nutrisi paliatif yang berfokus kenyamanan, bukan target kalori kuratif</w:t>
                  </w:r>
                </w:p>
              </w:tc>
            </w:tr>
            <w:tr>
              <w:tc>
                <w:tcPr>
                  <w:tcW w:type="dxa" w:w="3400"/>
                  <w:shd w:fill="F2F2F2" w:color="auto" w:val="clear"/>
                  <w:tcMar>
                    <w:top w:type="dxa" w:w="70"/>
                    <w:left w:type="dxa" w:w="120"/>
                    <w:bottom w:type="dxa" w:w="70"/>
                    <w:right w:type="dxa" w:w="120"/>
                  </w:tcMar>
                </w:tcPr>
                <w:p>
                  <w:pPr>
                    <w:spacing w:after="0"/>
                  </w:pPr>
                  <w:r>
                    <w:rPr>
                      <w:color w:val="2B2B2B"/>
                      <w:sz w:val="19"/>
                      <w:szCs w:val="19"/>
                    </w:rPr>
                    <w:t xml:space="preserve">Apoteker Klinis</w:t>
                  </w:r>
                </w:p>
              </w:tc>
              <w:tc>
                <w:tcPr>
                  <w:tcW w:type="dxa" w:w="5960"/>
                  <w:shd w:fill="F2F2F2" w:color="auto" w:val="clear"/>
                  <w:tcMar>
                    <w:top w:type="dxa" w:w="70"/>
                    <w:left w:type="dxa" w:w="120"/>
                    <w:bottom w:type="dxa" w:w="70"/>
                    <w:right w:type="dxa" w:w="120"/>
                  </w:tcMar>
                </w:tcPr>
                <w:p>
                  <w:pPr>
                    <w:spacing w:after="0"/>
                  </w:pPr>
                  <w:r>
                    <w:rPr>
                      <w:color w:val="2B2B2B"/>
                      <w:sz w:val="19"/>
                      <w:szCs w:val="19"/>
                    </w:rPr>
                    <w:t xml:space="preserve">Rekonsiliasi obat, optimalisasi rute pemberian (oral→subkutan) saat fase terminal, edukasi keamanan opioid (Lefkowits dkk., 2017)</w:t>
                  </w:r>
                </w:p>
              </w:tc>
            </w:tr>
          </w:tbl>
          <w:p>
            <w:pPr>
              <w:spacing w:after="80" w:before="0"/>
            </w:pPr>
          </w:p>
          <w:p>
            <w:pPr>
              <w:spacing w:after="60" w:before="140"/>
            </w:pPr>
            <w:r>
              <w:rPr>
                <w:b/>
                <w:bCs/>
                <w:color w:val="7A1F3D"/>
                <w:sz w:val="21"/>
                <w:szCs w:val="21"/>
              </w:rPr>
              <w:t xml:space="preserve">8.9 Dukungan Keluarga (Komponen Wajib)</w:t>
            </w:r>
          </w:p>
          <w:p>
            <w:pPr>
              <w:pStyle w:val="ListParagraph"/>
              <w:numPr>
                <w:ilvl w:val="0"/>
                <w:numId w:val="2"/>
              </w:numPr>
              <w:spacing w:after="60" w:before="20" w:line="268"/>
            </w:pPr>
            <w:r>
              <w:rPr>
                <w:b w:val="false"/>
                <w:bCs w:val="false"/>
                <w:color w:val="2B2B2B"/>
                <w:sz w:val="21"/>
                <w:szCs w:val="21"/>
              </w:rPr>
              <w:t xml:space="preserve">Family meeting terjadwal (minimal 2 kali: saat penetapan diagnosis paliatif dan saat memasuki fase terminal) untuk menyamakan pemahaman prognosis dan rencana asuhan.</w:t>
            </w:r>
          </w:p>
          <w:p>
            <w:pPr>
              <w:pStyle w:val="ListParagraph"/>
              <w:numPr>
                <w:ilvl w:val="0"/>
                <w:numId w:val="2"/>
              </w:numPr>
              <w:spacing w:after="60" w:before="20" w:line="268"/>
            </w:pPr>
            <w:r>
              <w:rPr>
                <w:b w:val="false"/>
                <w:bCs w:val="false"/>
                <w:color w:val="2B2B2B"/>
                <w:sz w:val="21"/>
                <w:szCs w:val="21"/>
              </w:rPr>
              <w:t xml:space="preserve">Edukasi caregiver mengenai tanda-tanda fase terminal agar keluarga tidak panik dan dapat mendampingi dengan tenang.</w:t>
            </w:r>
          </w:p>
          <w:p>
            <w:pPr>
              <w:pStyle w:val="ListParagraph"/>
              <w:numPr>
                <w:ilvl w:val="0"/>
                <w:numId w:val="2"/>
              </w:numPr>
              <w:spacing w:after="60" w:before="20" w:line="268"/>
            </w:pPr>
            <w:r>
              <w:rPr>
                <w:b w:val="false"/>
                <w:bCs w:val="false"/>
                <w:color w:val="2B2B2B"/>
                <w:sz w:val="21"/>
                <w:szCs w:val="21"/>
              </w:rPr>
              <w:t xml:space="preserve">Dukungan berkabung (bereavement support) pasca-kematian: kunjungan/telepon susulan dalam 2–4 minggu, rujukan konseling duka cita bila terdapat tanda duka cita terkomplikasi (complicated grief).</w:t>
            </w:r>
          </w:p>
          <w:p>
            <w:pPr>
              <w:spacing w:after="80" w:before="0"/>
            </w:pPr>
          </w:p>
          <w:p>
            <w:pPr>
              <w:spacing w:after="60" w:before="140"/>
            </w:pPr>
            <w:r>
              <w:rPr>
                <w:b/>
                <w:bCs/>
                <w:color w:val="7A1F3D"/>
                <w:sz w:val="21"/>
                <w:szCs w:val="21"/>
              </w:rPr>
              <w:t xml:space="preserve">8.10 Aspek Etikolegal dan Kerahasiaan</w:t>
            </w:r>
          </w:p>
          <w:p>
            <w:pPr>
              <w:spacing w:after="100" w:before="40" w:line="276"/>
            </w:pPr>
            <w:r>
              <w:rPr>
                <w:b w:val="false"/>
                <w:bCs w:val="false"/>
                <w:i w:val="false"/>
                <w:iCs w:val="false"/>
                <w:color w:val="2B2B2B"/>
                <w:sz w:val="21"/>
                <w:szCs w:val="21"/>
              </w:rPr>
              <w:t xml:space="preserve">Sebelum keputusan penghentian terapi kuratif, pemberian sedasi paliatif, atau penetapan status DNAR, tim WAJIB terlebih dahulu memastikan kerangka hukum berikut dipenuhi:</w:t>
            </w:r>
          </w:p>
          <w:p>
            <w:pPr>
              <w:pStyle w:val="ListParagraph"/>
              <w:numPr>
                <w:ilvl w:val="0"/>
                <w:numId w:val="2"/>
              </w:numPr>
              <w:spacing w:after="60" w:before="20" w:line="268"/>
            </w:pPr>
            <w:r>
              <w:rPr>
                <w:b w:val="false"/>
                <w:bCs w:val="false"/>
                <w:color w:val="2B2B2B"/>
                <w:sz w:val="21"/>
                <w:szCs w:val="21"/>
              </w:rPr>
              <w:t xml:space="preserve">Undang-Undang Nomor 17 Tahun 2023 tentang Kesehatan beserta Peraturan Pemerintah Nomor 28 Tahun 2024 sebagai landasan hak pasien atas informasi kesehatan, persetujuan tindakan medis (informed consent), dan hak menolak tindakan.</w:t>
            </w:r>
          </w:p>
          <w:p>
            <w:pPr>
              <w:pStyle w:val="ListParagraph"/>
              <w:numPr>
                <w:ilvl w:val="0"/>
                <w:numId w:val="2"/>
              </w:numPr>
              <w:spacing w:after="60" w:before="20" w:line="268"/>
            </w:pPr>
            <w:r>
              <w:rPr>
                <w:b w:val="false"/>
                <w:bCs w:val="false"/>
                <w:color w:val="2B2B2B"/>
                <w:sz w:val="21"/>
                <w:szCs w:val="21"/>
              </w:rPr>
              <w:t xml:space="preserve">Keputusan Menteri Kesehatan RI Nomor HK.01.07/MENKES/2180/2023 tentang Pedoman Penyelenggaraan Pelayanan Paliatif sebagai acuan teknis alur pelayanan paliatif rawat jalan, rawat inap, dan gawat darurat di fasilitas pelayanan kesehatan Indonesia.</w:t>
            </w:r>
          </w:p>
          <w:p>
            <w:pPr>
              <w:pStyle w:val="ListParagraph"/>
              <w:numPr>
                <w:ilvl w:val="0"/>
                <w:numId w:val="2"/>
              </w:numPr>
              <w:spacing w:after="60" w:before="20" w:line="268"/>
            </w:pPr>
            <w:r>
              <w:rPr>
                <w:b w:val="false"/>
                <w:bCs w:val="false"/>
                <w:color w:val="2B2B2B"/>
                <w:sz w:val="21"/>
                <w:szCs w:val="21"/>
              </w:rPr>
              <w:t xml:space="preserve">Persetujuan tindakan kedokteran (informed consent) untuk setiap tindakan paliatif invasif (parasentesis, radioterapi paliatif) tetap wajib diperoleh dari pasien yang kompeten, atau dari keluarga/wali sah bila pasien tidak kompeten mengambil keputusan (mis. penurunan kesadaran).</w:t>
            </w:r>
          </w:p>
          <w:p>
            <w:pPr>
              <w:pStyle w:val="ListParagraph"/>
              <w:numPr>
                <w:ilvl w:val="0"/>
                <w:numId w:val="2"/>
              </w:numPr>
              <w:spacing w:after="60" w:before="20" w:line="268"/>
            </w:pPr>
            <w:r>
              <w:rPr>
                <w:b w:val="false"/>
                <w:bCs w:val="false"/>
                <w:color w:val="2B2B2B"/>
                <w:sz w:val="21"/>
                <w:szCs w:val="21"/>
              </w:rPr>
              <w:t xml:space="preserve">Keputusan DNAR dan penghentian intervensi yang tidak lagi bermanfaat (withholding/withdrawing futile treatment) BUKAN tindakan eutanasia dan sah secara etik-medis di Indonesia selama didasarkan pada penilaian medis obyektif, didiskusikan terbuka, dan didokumentasikan dengan persetujuan keluarga/wali.</w:t>
            </w:r>
          </w:p>
          <w:p>
            <w:pPr>
              <w:pStyle w:val="ListParagraph"/>
              <w:numPr>
                <w:ilvl w:val="0"/>
                <w:numId w:val="2"/>
              </w:numPr>
              <w:spacing w:after="60" w:before="20" w:line="268"/>
            </w:pPr>
            <w:r>
              <w:rPr>
                <w:b w:val="false"/>
                <w:bCs w:val="false"/>
                <w:color w:val="2B2B2B"/>
                <w:sz w:val="21"/>
                <w:szCs w:val="21"/>
              </w:rPr>
              <w:t xml:space="preserve">Kerahasiaan rekam medis dan informasi prognosis dijaga ketat; pengungkapan kepada pihak keluarga besar hanya dilakukan atas persetujuan pasien/wali sah sesuai ketentuan kerahasiaan medis yang berlaku.</w:t>
            </w:r>
          </w:p>
          <w:p>
            <w:pPr>
              <w:pStyle w:val="ListParagraph"/>
              <w:numPr>
                <w:ilvl w:val="0"/>
                <w:numId w:val="2"/>
              </w:numPr>
              <w:spacing w:after="60" w:before="20" w:line="268"/>
            </w:pPr>
            <w:r>
              <w:rPr>
                <w:b w:val="false"/>
                <w:bCs w:val="false"/>
                <w:color w:val="2B2B2B"/>
                <w:sz w:val="21"/>
                <w:szCs w:val="21"/>
              </w:rPr>
              <w:t xml:space="preserve">Kompetensi tim dalam pengambilan keputusan ini mengacu pada Keputusan Ketua Konsil Kesehatan Indonesia Nomor HK.01.02/KKI/1318/2026 tentang Standar Kompetensi Dokter Spesialis dan Subspesialis Bidang Obstetri dan Ginekologi, khususnya kompetensi Subspesialis Obstetri Ginekologi Sosial dalam aspek etikolegal dan pelayanan berbasis komunitas.</w:t>
            </w:r>
          </w:p>
        </w:tc>
      </w:tr>
    </w:tbl>
    <w:p>
      <w:pPr>
        <w:spacing w:after="12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shd w:fill="7A1F3D" w:color="auto" w:val="clear"/>
            <w:tcMar>
              <w:top w:type="dxa" w:w="120"/>
              <w:left w:type="dxa" w:w="200"/>
              <w:bottom w:type="dxa" w:w="120"/>
              <w:right w:type="dxa" w:w="200"/>
            </w:tcMar>
            <w:vAlign w:val="center"/>
          </w:tcPr>
          <w:p>
            <w:pPr>
              <w:spacing w:after="0" w:before="0"/>
            </w:pPr>
            <w:r>
              <w:rPr>
                <w:rFonts w:ascii="Calibri" w:cs="Calibri" w:eastAsia="Calibri" w:hAnsi="Calibri"/>
                <w:b/>
                <w:bCs/>
                <w:color w:val="FFFFFF"/>
                <w:sz w:val="24"/>
                <w:szCs w:val="24"/>
              </w:rPr>
              <w:t xml:space="preserve">9. </w:t>
            </w:r>
            <w:r>
              <w:rPr>
                <w:rFonts w:ascii="Calibri" w:cs="Calibri" w:eastAsia="Calibri" w:hAnsi="Calibri"/>
                <w:b/>
                <w:bCs/>
                <w:color w:val="FFFFFF"/>
                <w:sz w:val="24"/>
                <w:szCs w:val="24"/>
              </w:rPr>
              <w:t xml:space="preserve">Edukasi</w:t>
            </w:r>
          </w:p>
        </w:tc>
      </w:tr>
    </w:tbl>
    <w:tbl>
      <w:tblPr>
        <w:tblW w:type="dxa" w:w="9360"/>
        <w:tblBorders>
          <w:top w:val="single" w:color="E3B9C7" w:sz="4"/>
          <w:left w:val="single" w:color="E3B9C7" w:sz="4"/>
          <w:bottom w:val="single" w:color="E3B9C7" w:sz="4"/>
          <w:right w:val="single" w:color="E3B9C7" w:sz="4"/>
          <w:insideH w:val="single" w:color="auto" w:sz="4"/>
          <w:insideV w:val="single" w:color="auto" w:sz="4"/>
        </w:tblBorders>
      </w:tblPr>
      <w:tblGrid>
        <w:gridCol w:w="9360"/>
      </w:tblGrid>
      <w:tr>
        <w:tc>
          <w:tcPr>
            <w:tcW w:type="dxa" w:w="9360"/>
            <w:shd w:fill="FFFFFF" w:color="auto" w:val="clear"/>
            <w:tcMar>
              <w:top w:type="dxa" w:w="160"/>
              <w:left w:type="dxa" w:w="220"/>
              <w:bottom w:type="dxa" w:w="200"/>
              <w:right w:type="dxa" w:w="220"/>
            </w:tcMar>
          </w:tcPr>
          <w:p>
            <w:pPr>
              <w:pStyle w:val="ListParagraph"/>
              <w:numPr>
                <w:ilvl w:val="0"/>
                <w:numId w:val="2"/>
              </w:numPr>
              <w:spacing w:after="60" w:before="20" w:line="268"/>
            </w:pPr>
            <w:r>
              <w:rPr>
                <w:b w:val="false"/>
                <w:bCs w:val="false"/>
                <w:color w:val="2B2B2B"/>
                <w:sz w:val="21"/>
                <w:szCs w:val="21"/>
              </w:rPr>
              <w:t xml:space="preserve">Penjelasan jujur dan bertahap mengenai diagnosis, stadium, dan perjalanan penyakit yang diharapkan (illness trajectory), disesuaikan kesiapan pasien/keluarga menerima informasi.</w:t>
            </w:r>
          </w:p>
          <w:p>
            <w:pPr>
              <w:pStyle w:val="ListParagraph"/>
              <w:numPr>
                <w:ilvl w:val="0"/>
                <w:numId w:val="2"/>
              </w:numPr>
              <w:spacing w:after="60" w:before="20" w:line="268"/>
            </w:pPr>
            <w:r>
              <w:rPr>
                <w:b w:val="false"/>
                <w:bCs w:val="false"/>
                <w:color w:val="2B2B2B"/>
                <w:sz w:val="21"/>
                <w:szCs w:val="21"/>
              </w:rPr>
              <w:t xml:space="preserve">Edukasi pengenalan dan penanganan awal gejala di rumah (nyeri, mual, konstipasi) termasuk kapan harus segera menghubungi fasilitas kesehatan.</w:t>
            </w:r>
          </w:p>
          <w:p>
            <w:pPr>
              <w:pStyle w:val="ListParagraph"/>
              <w:numPr>
                <w:ilvl w:val="0"/>
                <w:numId w:val="2"/>
              </w:numPr>
              <w:spacing w:after="60" w:before="20" w:line="268"/>
            </w:pPr>
            <w:r>
              <w:rPr>
                <w:b w:val="false"/>
                <w:bCs w:val="false"/>
                <w:color w:val="2B2B2B"/>
                <w:sz w:val="21"/>
                <w:szCs w:val="21"/>
              </w:rPr>
              <w:t xml:space="preserve">Edukasi penggunaan opioid yang aman: efek samping umum (konstipasi, mual awal, mengantuk), mitos kecanduan pada penggunaan paliatif, penyimpanan obat yang aman, sesuai prinsip keamanan opioid SGO (Lefkowits dkk., 2017).</w:t>
            </w:r>
          </w:p>
          <w:p>
            <w:pPr>
              <w:pStyle w:val="ListParagraph"/>
              <w:numPr>
                <w:ilvl w:val="0"/>
                <w:numId w:val="2"/>
              </w:numPr>
              <w:spacing w:after="60" w:before="20" w:line="268"/>
            </w:pPr>
            <w:r>
              <w:rPr>
                <w:b w:val="false"/>
                <w:bCs w:val="false"/>
                <w:color w:val="2B2B2B"/>
                <w:sz w:val="21"/>
                <w:szCs w:val="21"/>
              </w:rPr>
              <w:t xml:space="preserve">Edukasi advance care planning: hak pasien menentukan preferensi tempat perawatan dan tindakan resusitasi, pentingnya mengomunikasikan preferensi ini kepada keluarga.</w:t>
            </w:r>
          </w:p>
          <w:p>
            <w:pPr>
              <w:pStyle w:val="ListParagraph"/>
              <w:numPr>
                <w:ilvl w:val="0"/>
                <w:numId w:val="2"/>
              </w:numPr>
              <w:spacing w:after="60" w:before="20" w:line="268"/>
            </w:pPr>
            <w:r>
              <w:rPr>
                <w:b w:val="false"/>
                <w:bCs w:val="false"/>
                <w:color w:val="2B2B2B"/>
                <w:sz w:val="21"/>
                <w:szCs w:val="21"/>
              </w:rPr>
              <w:t xml:space="preserve">Edukasi keluarga mengenai tanda-tanda fase terminal dan cara mendampingi pasien dengan tenang dan bermartabat.</w:t>
            </w:r>
          </w:p>
          <w:p>
            <w:pPr>
              <w:pStyle w:val="ListParagraph"/>
              <w:numPr>
                <w:ilvl w:val="0"/>
                <w:numId w:val="2"/>
              </w:numPr>
              <w:spacing w:after="60" w:before="20" w:line="268"/>
            </w:pPr>
            <w:r>
              <w:rPr>
                <w:b w:val="false"/>
                <w:bCs w:val="false"/>
                <w:color w:val="2B2B2B"/>
                <w:sz w:val="21"/>
                <w:szCs w:val="21"/>
              </w:rPr>
              <w:t xml:space="preserve">Informasi ketersediaan layanan hospice/rawat rumah (home-based palliative care) sesuai alur pelayanan paliatif rawat jalan pada Kepmenkes Nomor HK.01.07/MENKES/2180/2023, bila tersedia di wilayah setempat.</w:t>
            </w:r>
          </w:p>
        </w:tc>
      </w:tr>
    </w:tbl>
    <w:p>
      <w:pPr>
        <w:spacing w:after="12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shd w:fill="7A1F3D" w:color="auto" w:val="clear"/>
            <w:tcMar>
              <w:top w:type="dxa" w:w="120"/>
              <w:left w:type="dxa" w:w="200"/>
              <w:bottom w:type="dxa" w:w="120"/>
              <w:right w:type="dxa" w:w="200"/>
            </w:tcMar>
            <w:vAlign w:val="center"/>
          </w:tcPr>
          <w:p>
            <w:pPr>
              <w:spacing w:after="0" w:before="0"/>
            </w:pPr>
            <w:r>
              <w:rPr>
                <w:rFonts w:ascii="Calibri" w:cs="Calibri" w:eastAsia="Calibri" w:hAnsi="Calibri"/>
                <w:b/>
                <w:bCs/>
                <w:color w:val="FFFFFF"/>
                <w:sz w:val="24"/>
                <w:szCs w:val="24"/>
              </w:rPr>
              <w:t xml:space="preserve">10. </w:t>
            </w:r>
            <w:r>
              <w:rPr>
                <w:rFonts w:ascii="Calibri" w:cs="Calibri" w:eastAsia="Calibri" w:hAnsi="Calibri"/>
                <w:b/>
                <w:bCs/>
                <w:color w:val="FFFFFF"/>
                <w:sz w:val="24"/>
                <w:szCs w:val="24"/>
              </w:rPr>
              <w:t xml:space="preserve">Prognosis</w:t>
            </w:r>
          </w:p>
        </w:tc>
      </w:tr>
    </w:tbl>
    <w:tbl>
      <w:tblPr>
        <w:tblW w:type="dxa" w:w="9360"/>
        <w:tblBorders>
          <w:top w:val="single" w:color="E3B9C7" w:sz="4"/>
          <w:left w:val="single" w:color="E3B9C7" w:sz="4"/>
          <w:bottom w:val="single" w:color="E3B9C7" w:sz="4"/>
          <w:right w:val="single" w:color="E3B9C7" w:sz="4"/>
          <w:insideH w:val="single" w:color="auto" w:sz="4"/>
          <w:insideV w:val="single" w:color="auto" w:sz="4"/>
        </w:tblBorders>
      </w:tblPr>
      <w:tblGrid>
        <w:gridCol w:w="9360"/>
      </w:tblGrid>
      <w:tr>
        <w:tc>
          <w:tcPr>
            <w:tcW w:type="dxa" w:w="9360"/>
            <w:shd w:fill="FFFFFF" w:color="auto" w:val="clear"/>
            <w:tcMar>
              <w:top w:type="dxa" w:w="160"/>
              <w:left w:type="dxa" w:w="220"/>
              <w:bottom w:type="dxa" w:w="200"/>
              <w:right w:type="dxa" w:w="220"/>
            </w:tcMar>
          </w:tcPr>
          <w:p>
            <w:pPr>
              <w:spacing w:after="100" w:before="40" w:line="276"/>
            </w:pPr>
            <w:r>
              <w:rPr>
                <w:b w:val="false"/>
                <w:bCs w:val="false"/>
                <w:i w:val="false"/>
                <w:iCs w:val="false"/>
                <w:color w:val="2B2B2B"/>
                <w:sz w:val="21"/>
                <w:szCs w:val="21"/>
              </w:rPr>
              <w:t xml:space="preserve">Prognosis sangat bergantung pada stadium penyakit dasar, status performa, dan beban komorbid; estimasi harapan hidup menggunakan Palliative Performance Scale versi 2 (PPSv2) sebagai panduan — instrumen asli dikembangkan oleh Anderson dkk. (1996) dan digunakan luas secara internasional untuk komunikasi prognostik (PPS 10–20% umumnya berkorelasi dengan harapan hidup dalam hitungan hari).</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3120"/>
              <w:gridCol w:w="3120"/>
              <w:gridCol w:w="3120"/>
            </w:tblGrid>
            <w:tr>
              <w:tc>
                <w:tcPr>
                  <w:tcW w:type="dxa" w:w="2600"/>
                  <w:tcBorders>
                    <w:top w:val="single" w:color="F7ECEF" w:sz="4"/>
                    <w:left w:val="single" w:color="F7ECEF" w:sz="4"/>
                    <w:bottom w:val="single" w:color="F7ECEF" w:sz="4"/>
                    <w:right w:val="single" w:color="F7ECEF" w:sz="4"/>
                  </w:tcBorders>
                  <w:shd w:fill="F7ECEF" w:color="auto" w:val="clear"/>
                  <w:tcMar>
                    <w:top w:type="dxa" w:w="90"/>
                    <w:left w:type="dxa" w:w="160"/>
                    <w:bottom w:type="dxa" w:w="90"/>
                    <w:right w:type="dxa" w:w="160"/>
                  </w:tcMar>
                </w:tcPr>
                <w:p>
                  <w:pPr>
                    <w:jc w:val="center"/>
                  </w:pPr>
                  <w:r>
                    <w:rPr>
                      <w:b/>
                      <w:bCs/>
                      <w:color w:val="7A1F3D"/>
                      <w:sz w:val="18"/>
                      <w:szCs w:val="18"/>
                    </w:rPr>
                    <w:t xml:space="preserve">Ad vitam: dubia ad malam</w:t>
                  </w:r>
                </w:p>
              </w:tc>
              <w:tc>
                <w:tcPr>
                  <w:tcW w:type="dxa" w:w="2600"/>
                  <w:tcBorders>
                    <w:top w:val="single" w:color="F7ECEF" w:sz="4"/>
                    <w:left w:val="single" w:color="F7ECEF" w:sz="4"/>
                    <w:bottom w:val="single" w:color="F7ECEF" w:sz="4"/>
                    <w:right w:val="single" w:color="F7ECEF" w:sz="4"/>
                  </w:tcBorders>
                  <w:shd w:fill="F7ECEF" w:color="auto" w:val="clear"/>
                  <w:tcMar>
                    <w:top w:type="dxa" w:w="90"/>
                    <w:left w:type="dxa" w:w="160"/>
                    <w:bottom w:type="dxa" w:w="90"/>
                    <w:right w:type="dxa" w:w="160"/>
                  </w:tcMar>
                </w:tcPr>
                <w:p>
                  <w:pPr>
                    <w:jc w:val="center"/>
                  </w:pPr>
                  <w:r>
                    <w:rPr>
                      <w:b/>
                      <w:bCs/>
                      <w:color w:val="7A1F3D"/>
                      <w:sz w:val="18"/>
                      <w:szCs w:val="18"/>
                    </w:rPr>
                    <w:t xml:space="preserve">Ad functionam: dubia ad malam</w:t>
                  </w:r>
                </w:p>
              </w:tc>
              <w:tc>
                <w:tcPr>
                  <w:tcW w:type="dxa" w:w="2600"/>
                  <w:tcBorders>
                    <w:top w:val="single" w:color="F7ECEF" w:sz="4"/>
                    <w:left w:val="single" w:color="F7ECEF" w:sz="4"/>
                    <w:bottom w:val="single" w:color="F7ECEF" w:sz="4"/>
                    <w:right w:val="single" w:color="F7ECEF" w:sz="4"/>
                  </w:tcBorders>
                  <w:shd w:fill="F7ECEF" w:color="auto" w:val="clear"/>
                  <w:tcMar>
                    <w:top w:type="dxa" w:w="90"/>
                    <w:left w:type="dxa" w:w="160"/>
                    <w:bottom w:type="dxa" w:w="90"/>
                    <w:right w:type="dxa" w:w="160"/>
                  </w:tcMar>
                </w:tcPr>
                <w:p>
                  <w:pPr>
                    <w:jc w:val="center"/>
                  </w:pPr>
                  <w:r>
                    <w:rPr>
                      <w:b/>
                      <w:bCs/>
                      <w:color w:val="7A1F3D"/>
                      <w:sz w:val="18"/>
                      <w:szCs w:val="18"/>
                    </w:rPr>
                    <w:t xml:space="preserve">Ad sanationam: dubia</w:t>
                  </w:r>
                </w:p>
              </w:tc>
            </w:tr>
          </w:tbl>
          <w:p>
            <w:pPr>
              <w:spacing w:after="60" w:before="0"/>
            </w:pPr>
          </w:p>
          <w:p>
            <w:pPr>
              <w:spacing w:after="100" w:before="40" w:line="276"/>
            </w:pPr>
            <w:r>
              <w:rPr>
                <w:b w:val="false"/>
                <w:bCs w:val="false"/>
                <w:i w:val="false"/>
                <w:iCs w:val="false"/>
                <w:color w:val="2B2B2B"/>
                <w:sz w:val="21"/>
                <w:szCs w:val="21"/>
              </w:rPr>
              <w:t xml:space="preserve">Fokus prognosis pada perawatan paliatif bukan pada angka harapan hidup semata, melainkan pada pencapaian kualitas hidup dan kematian yang bermartabat (dignified death) sesuai preferensi pasien dan keluarga.</w:t>
            </w:r>
          </w:p>
        </w:tc>
      </w:tr>
    </w:tbl>
    <w:p>
      <w:pPr>
        <w:spacing w:after="12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shd w:fill="7A1F3D" w:color="auto" w:val="clear"/>
            <w:tcMar>
              <w:top w:type="dxa" w:w="120"/>
              <w:left w:type="dxa" w:w="200"/>
              <w:bottom w:type="dxa" w:w="120"/>
              <w:right w:type="dxa" w:w="200"/>
            </w:tcMar>
            <w:vAlign w:val="center"/>
          </w:tcPr>
          <w:p>
            <w:pPr>
              <w:spacing w:after="0" w:before="0"/>
            </w:pPr>
            <w:r>
              <w:rPr>
                <w:rFonts w:ascii="Calibri" w:cs="Calibri" w:eastAsia="Calibri" w:hAnsi="Calibri"/>
                <w:b/>
                <w:bCs/>
                <w:color w:val="FFFFFF"/>
                <w:sz w:val="24"/>
                <w:szCs w:val="24"/>
              </w:rPr>
              <w:t xml:space="preserve">11. </w:t>
            </w:r>
            <w:r>
              <w:rPr>
                <w:rFonts w:ascii="Calibri" w:cs="Calibri" w:eastAsia="Calibri" w:hAnsi="Calibri"/>
                <w:b/>
                <w:bCs/>
                <w:color w:val="FFFFFF"/>
                <w:sz w:val="24"/>
                <w:szCs w:val="24"/>
              </w:rPr>
              <w:t xml:space="preserve">Tingkat Evidens</w:t>
            </w:r>
          </w:p>
        </w:tc>
      </w:tr>
    </w:tbl>
    <w:tbl>
      <w:tblPr>
        <w:tblW w:type="dxa" w:w="9360"/>
        <w:tblBorders>
          <w:top w:val="single" w:color="E3B9C7" w:sz="4"/>
          <w:left w:val="single" w:color="E3B9C7" w:sz="4"/>
          <w:bottom w:val="single" w:color="E3B9C7" w:sz="4"/>
          <w:right w:val="single" w:color="E3B9C7" w:sz="4"/>
          <w:insideH w:val="single" w:color="auto" w:sz="4"/>
          <w:insideV w:val="single" w:color="auto" w:sz="4"/>
        </w:tblBorders>
      </w:tblPr>
      <w:tblGrid>
        <w:gridCol w:w="9360"/>
      </w:tblGrid>
      <w:tr>
        <w:tc>
          <w:tcPr>
            <w:tcW w:type="dxa" w:w="9360"/>
            <w:shd w:fill="FFFFFF" w:color="auto" w:val="clear"/>
            <w:tcMar>
              <w:top w:type="dxa" w:w="160"/>
              <w:left w:type="dxa" w:w="220"/>
              <w:bottom w:type="dxa" w:w="200"/>
              <w:right w:type="dxa" w:w="220"/>
            </w:tcMar>
          </w:tcPr>
          <w:tbl>
            <w:tblPr>
              <w:tblW w:type="dxa" w:w="9360"/>
              <w:tblBorders>
                <w:top w:val="single" w:color="D9C3CC" w:sz="4"/>
                <w:left w:val="single" w:color="D9C3CC" w:sz="4"/>
                <w:bottom w:val="single" w:color="D9C3CC" w:sz="4"/>
                <w:right w:val="single" w:color="D9C3CC" w:sz="4"/>
                <w:insideH w:val="single" w:color="auto" w:sz="4"/>
                <w:insideV w:val="single" w:color="auto" w:sz="4"/>
              </w:tblBorders>
            </w:tblPr>
            <w:tblGrid>
              <w:gridCol w:w="4360"/>
              <w:gridCol w:w="1600"/>
              <w:gridCol w:w="3400"/>
            </w:tblGrid>
            <w:tr>
              <w:trPr>
                <w:tblHeader/>
              </w:trPr>
              <w:tc>
                <w:tcPr>
                  <w:tcW w:type="dxa" w:w="4360"/>
                  <w:shd w:fill="7A1F3D" w:color="auto" w:val="clear"/>
                  <w:tcMar>
                    <w:top w:type="dxa" w:w="80"/>
                    <w:left w:type="dxa" w:w="120"/>
                    <w:bottom w:type="dxa" w:w="80"/>
                    <w:right w:type="dxa" w:w="120"/>
                  </w:tcMar>
                  <w:vAlign w:val="center"/>
                </w:tcPr>
                <w:p>
                  <w:r>
                    <w:rPr>
                      <w:b/>
                      <w:bCs/>
                      <w:color w:val="FFFFFF"/>
                      <w:sz w:val="19"/>
                      <w:szCs w:val="19"/>
                    </w:rPr>
                    <w:t xml:space="preserve">Komponen Tata Laksana</w:t>
                  </w:r>
                </w:p>
              </w:tc>
              <w:tc>
                <w:tcPr>
                  <w:tcW w:type="dxa" w:w="1600"/>
                  <w:shd w:fill="7A1F3D" w:color="auto" w:val="clear"/>
                  <w:tcMar>
                    <w:top w:type="dxa" w:w="80"/>
                    <w:left w:type="dxa" w:w="120"/>
                    <w:bottom w:type="dxa" w:w="80"/>
                    <w:right w:type="dxa" w:w="120"/>
                  </w:tcMar>
                  <w:vAlign w:val="center"/>
                </w:tcPr>
                <w:p>
                  <w:r>
                    <w:rPr>
                      <w:b/>
                      <w:bCs/>
                      <w:color w:val="FFFFFF"/>
                      <w:sz w:val="19"/>
                      <w:szCs w:val="19"/>
                    </w:rPr>
                    <w:t xml:space="preserve">Tingkat Evidens</w:t>
                  </w:r>
                </w:p>
              </w:tc>
              <w:tc>
                <w:tcPr>
                  <w:tcW w:type="dxa" w:w="3400"/>
                  <w:shd w:fill="7A1F3D" w:color="auto" w:val="clear"/>
                  <w:tcMar>
                    <w:top w:type="dxa" w:w="80"/>
                    <w:left w:type="dxa" w:w="120"/>
                    <w:bottom w:type="dxa" w:w="80"/>
                    <w:right w:type="dxa" w:w="120"/>
                  </w:tcMar>
                  <w:vAlign w:val="center"/>
                </w:tcPr>
                <w:p>
                  <w:r>
                    <w:rPr>
                      <w:b/>
                      <w:bCs/>
                      <w:color w:val="FFFFFF"/>
                      <w:sz w:val="19"/>
                      <w:szCs w:val="19"/>
                    </w:rPr>
                    <w:t xml:space="preserve">Rujukan Utama</w:t>
                  </w:r>
                </w:p>
              </w:tc>
            </w:tr>
            <w:tr>
              <w:tc>
                <w:tcPr>
                  <w:tcW w:type="dxa" w:w="4360"/>
                  <w:shd w:fill="FFFFFF" w:color="auto" w:val="clear"/>
                  <w:tcMar>
                    <w:top w:type="dxa" w:w="70"/>
                    <w:left w:type="dxa" w:w="120"/>
                    <w:bottom w:type="dxa" w:w="70"/>
                    <w:right w:type="dxa" w:w="120"/>
                  </w:tcMar>
                </w:tcPr>
                <w:p>
                  <w:pPr>
                    <w:spacing w:after="0"/>
                  </w:pPr>
                  <w:r>
                    <w:rPr>
                      <w:color w:val="2B2B2B"/>
                      <w:sz w:val="19"/>
                      <w:szCs w:val="19"/>
                    </w:rPr>
                    <w:t xml:space="preserve">Analgesik bertahap (WHO ladder) untuk nyeri kanker</w:t>
                  </w:r>
                </w:p>
              </w:tc>
              <w:tc>
                <w:tcPr>
                  <w:tcW w:type="dxa" w:w="1600"/>
                  <w:shd w:fill="FFFFFF" w:color="auto" w:val="clear"/>
                  <w:tcMar>
                    <w:top w:type="dxa" w:w="70"/>
                    <w:left w:type="dxa" w:w="120"/>
                    <w:bottom w:type="dxa" w:w="70"/>
                    <w:right w:type="dxa" w:w="120"/>
                  </w:tcMar>
                </w:tcPr>
                <w:p>
                  <w:pPr>
                    <w:spacing w:after="0"/>
                  </w:pPr>
                  <w:r>
                    <w:rPr>
                      <w:color w:val="2B2B2B"/>
                      <w:sz w:val="19"/>
                      <w:szCs w:val="19"/>
                    </w:rPr>
                    <w:t xml:space="preserve">I</w:t>
                  </w:r>
                </w:p>
              </w:tc>
              <w:tc>
                <w:tcPr>
                  <w:tcW w:type="dxa" w:w="3400"/>
                  <w:shd w:fill="FFFFFF" w:color="auto" w:val="clear"/>
                  <w:tcMar>
                    <w:top w:type="dxa" w:w="70"/>
                    <w:left w:type="dxa" w:w="120"/>
                    <w:bottom w:type="dxa" w:w="70"/>
                    <w:right w:type="dxa" w:w="120"/>
                  </w:tcMar>
                </w:tcPr>
                <w:p>
                  <w:pPr>
                    <w:spacing w:after="0"/>
                  </w:pPr>
                  <w:r>
                    <w:rPr>
                      <w:color w:val="2B2B2B"/>
                      <w:sz w:val="19"/>
                      <w:szCs w:val="19"/>
                    </w:rPr>
                    <w:t xml:space="preserve">WHO 2018; ESMO 2018</w:t>
                  </w:r>
                </w:p>
              </w:tc>
            </w:tr>
            <w:tr>
              <w:tc>
                <w:tcPr>
                  <w:tcW w:type="dxa" w:w="4360"/>
                  <w:shd w:fill="F2F2F2" w:color="auto" w:val="clear"/>
                  <w:tcMar>
                    <w:top w:type="dxa" w:w="70"/>
                    <w:left w:type="dxa" w:w="120"/>
                    <w:bottom w:type="dxa" w:w="70"/>
                    <w:right w:type="dxa" w:w="120"/>
                  </w:tcMar>
                </w:tcPr>
                <w:p>
                  <w:pPr>
                    <w:spacing w:after="0"/>
                  </w:pPr>
                  <w:r>
                    <w:rPr>
                      <w:color w:val="2B2B2B"/>
                      <w:sz w:val="19"/>
                      <w:szCs w:val="19"/>
                    </w:rPr>
                    <w:t xml:space="preserve">Oktreotid + kortikosteroid pada obstruksi usus maligna</w:t>
                  </w:r>
                </w:p>
              </w:tc>
              <w:tc>
                <w:tcPr>
                  <w:tcW w:type="dxa" w:w="1600"/>
                  <w:shd w:fill="F2F2F2" w:color="auto" w:val="clear"/>
                  <w:tcMar>
                    <w:top w:type="dxa" w:w="70"/>
                    <w:left w:type="dxa" w:w="120"/>
                    <w:bottom w:type="dxa" w:w="70"/>
                    <w:right w:type="dxa" w:w="120"/>
                  </w:tcMar>
                </w:tcPr>
                <w:p>
                  <w:pPr>
                    <w:spacing w:after="0"/>
                  </w:pPr>
                  <w:r>
                    <w:rPr>
                      <w:color w:val="2B2B2B"/>
                      <w:sz w:val="19"/>
                      <w:szCs w:val="19"/>
                    </w:rPr>
                    <w:t xml:space="preserve">II-2</w:t>
                  </w:r>
                </w:p>
              </w:tc>
              <w:tc>
                <w:tcPr>
                  <w:tcW w:type="dxa" w:w="3400"/>
                  <w:shd w:fill="F2F2F2" w:color="auto" w:val="clear"/>
                  <w:tcMar>
                    <w:top w:type="dxa" w:w="70"/>
                    <w:left w:type="dxa" w:w="120"/>
                    <w:bottom w:type="dxa" w:w="70"/>
                    <w:right w:type="dxa" w:w="120"/>
                  </w:tcMar>
                </w:tcPr>
                <w:p>
                  <w:pPr>
                    <w:spacing w:after="0"/>
                  </w:pPr>
                  <w:r>
                    <w:rPr>
                      <w:color w:val="2B2B2B"/>
                      <w:sz w:val="19"/>
                      <w:szCs w:val="19"/>
                    </w:rPr>
                    <w:t xml:space="preserve">Konsensus paliatif onkologi</w:t>
                  </w:r>
                </w:p>
              </w:tc>
            </w:tr>
            <w:tr>
              <w:tc>
                <w:tcPr>
                  <w:tcW w:type="dxa" w:w="4360"/>
                  <w:shd w:fill="FFFFFF" w:color="auto" w:val="clear"/>
                  <w:tcMar>
                    <w:top w:type="dxa" w:w="70"/>
                    <w:left w:type="dxa" w:w="120"/>
                    <w:bottom w:type="dxa" w:w="70"/>
                    <w:right w:type="dxa" w:w="120"/>
                  </w:tcMar>
                </w:tcPr>
                <w:p>
                  <w:pPr>
                    <w:spacing w:after="0"/>
                  </w:pPr>
                  <w:r>
                    <w:rPr>
                      <w:color w:val="2B2B2B"/>
                      <w:sz w:val="19"/>
                      <w:szCs w:val="19"/>
                    </w:rPr>
                    <w:t xml:space="preserve">Asam traneksamat untuk perdarahan tumor</w:t>
                  </w:r>
                </w:p>
              </w:tc>
              <w:tc>
                <w:tcPr>
                  <w:tcW w:type="dxa" w:w="1600"/>
                  <w:shd w:fill="FFFFFF" w:color="auto" w:val="clear"/>
                  <w:tcMar>
                    <w:top w:type="dxa" w:w="70"/>
                    <w:left w:type="dxa" w:w="120"/>
                    <w:bottom w:type="dxa" w:w="70"/>
                    <w:right w:type="dxa" w:w="120"/>
                  </w:tcMar>
                </w:tcPr>
                <w:p>
                  <w:pPr>
                    <w:spacing w:after="0"/>
                  </w:pPr>
                  <w:r>
                    <w:rPr>
                      <w:color w:val="2B2B2B"/>
                      <w:sz w:val="19"/>
                      <w:szCs w:val="19"/>
                    </w:rPr>
                    <w:t xml:space="preserve">II-2</w:t>
                  </w:r>
                </w:p>
              </w:tc>
              <w:tc>
                <w:tcPr>
                  <w:tcW w:type="dxa" w:w="3400"/>
                  <w:shd w:fill="FFFFFF" w:color="auto" w:val="clear"/>
                  <w:tcMar>
                    <w:top w:type="dxa" w:w="70"/>
                    <w:left w:type="dxa" w:w="120"/>
                    <w:bottom w:type="dxa" w:w="70"/>
                    <w:right w:type="dxa" w:w="120"/>
                  </w:tcMar>
                </w:tcPr>
                <w:p>
                  <w:pPr>
                    <w:spacing w:after="0"/>
                  </w:pPr>
                  <w:r>
                    <w:rPr>
                      <w:color w:val="2B2B2B"/>
                      <w:sz w:val="19"/>
                      <w:szCs w:val="19"/>
                    </w:rPr>
                    <w:t xml:space="preserve">Konsensus paliatif ginekologi</w:t>
                  </w:r>
                </w:p>
              </w:tc>
            </w:tr>
            <w:tr>
              <w:tc>
                <w:tcPr>
                  <w:tcW w:type="dxa" w:w="4360"/>
                  <w:shd w:fill="F2F2F2" w:color="auto" w:val="clear"/>
                  <w:tcMar>
                    <w:top w:type="dxa" w:w="70"/>
                    <w:left w:type="dxa" w:w="120"/>
                    <w:bottom w:type="dxa" w:w="70"/>
                    <w:right w:type="dxa" w:w="120"/>
                  </w:tcMar>
                </w:tcPr>
                <w:p>
                  <w:pPr>
                    <w:spacing w:after="0"/>
                  </w:pPr>
                  <w:r>
                    <w:rPr>
                      <w:color w:val="2B2B2B"/>
                      <w:sz w:val="19"/>
                      <w:szCs w:val="19"/>
                    </w:rPr>
                    <w:t xml:space="preserve">Sedasi paliatif (midazolam) untuk terminal restlessness refrakter</w:t>
                  </w:r>
                </w:p>
              </w:tc>
              <w:tc>
                <w:tcPr>
                  <w:tcW w:type="dxa" w:w="1600"/>
                  <w:shd w:fill="F2F2F2" w:color="auto" w:val="clear"/>
                  <w:tcMar>
                    <w:top w:type="dxa" w:w="70"/>
                    <w:left w:type="dxa" w:w="120"/>
                    <w:bottom w:type="dxa" w:w="70"/>
                    <w:right w:type="dxa" w:w="120"/>
                  </w:tcMar>
                </w:tcPr>
                <w:p>
                  <w:pPr>
                    <w:spacing w:after="0"/>
                  </w:pPr>
                  <w:r>
                    <w:rPr>
                      <w:color w:val="2B2B2B"/>
                      <w:sz w:val="19"/>
                      <w:szCs w:val="19"/>
                    </w:rPr>
                    <w:t xml:space="preserve">II-2</w:t>
                  </w:r>
                </w:p>
              </w:tc>
              <w:tc>
                <w:tcPr>
                  <w:tcW w:type="dxa" w:w="3400"/>
                  <w:shd w:fill="F2F2F2" w:color="auto" w:val="clear"/>
                  <w:tcMar>
                    <w:top w:type="dxa" w:w="70"/>
                    <w:left w:type="dxa" w:w="120"/>
                    <w:bottom w:type="dxa" w:w="70"/>
                    <w:right w:type="dxa" w:w="120"/>
                  </w:tcMar>
                </w:tcPr>
                <w:p>
                  <w:pPr>
                    <w:spacing w:after="0"/>
                  </w:pPr>
                  <w:r>
                    <w:rPr>
                      <w:color w:val="2B2B2B"/>
                      <w:sz w:val="19"/>
                      <w:szCs w:val="19"/>
                    </w:rPr>
                    <w:t xml:space="preserve">EAPC 2009; EAPC 2024</w:t>
                  </w:r>
                </w:p>
              </w:tc>
            </w:tr>
            <w:tr>
              <w:tc>
                <w:tcPr>
                  <w:tcW w:type="dxa" w:w="4360"/>
                  <w:shd w:fill="FFFFFF" w:color="auto" w:val="clear"/>
                  <w:tcMar>
                    <w:top w:type="dxa" w:w="70"/>
                    <w:left w:type="dxa" w:w="120"/>
                    <w:bottom w:type="dxa" w:w="70"/>
                    <w:right w:type="dxa" w:w="120"/>
                  </w:tcMar>
                </w:tcPr>
                <w:p>
                  <w:pPr>
                    <w:spacing w:after="0"/>
                  </w:pPr>
                  <w:r>
                    <w:rPr>
                      <w:color w:val="2B2B2B"/>
                      <w:sz w:val="19"/>
                      <w:szCs w:val="19"/>
                    </w:rPr>
                    <w:t xml:space="preserve">Hyoscine butylbromide untuk death rattle</w:t>
                  </w:r>
                </w:p>
              </w:tc>
              <w:tc>
                <w:tcPr>
                  <w:tcW w:type="dxa" w:w="1600"/>
                  <w:shd w:fill="FFFFFF" w:color="auto" w:val="clear"/>
                  <w:tcMar>
                    <w:top w:type="dxa" w:w="70"/>
                    <w:left w:type="dxa" w:w="120"/>
                    <w:bottom w:type="dxa" w:w="70"/>
                    <w:right w:type="dxa" w:w="120"/>
                  </w:tcMar>
                </w:tcPr>
                <w:p>
                  <w:pPr>
                    <w:spacing w:after="0"/>
                  </w:pPr>
                  <w:r>
                    <w:rPr>
                      <w:color w:val="2B2B2B"/>
                      <w:sz w:val="19"/>
                      <w:szCs w:val="19"/>
                    </w:rPr>
                    <w:t xml:space="preserve">II-3</w:t>
                  </w:r>
                </w:p>
              </w:tc>
              <w:tc>
                <w:tcPr>
                  <w:tcW w:type="dxa" w:w="3400"/>
                  <w:shd w:fill="FFFFFF" w:color="auto" w:val="clear"/>
                  <w:tcMar>
                    <w:top w:type="dxa" w:w="70"/>
                    <w:left w:type="dxa" w:w="120"/>
                    <w:bottom w:type="dxa" w:w="70"/>
                    <w:right w:type="dxa" w:w="120"/>
                  </w:tcMar>
                </w:tcPr>
                <w:p>
                  <w:pPr>
                    <w:spacing w:after="0"/>
                  </w:pPr>
                  <w:r>
                    <w:rPr>
                      <w:color w:val="2B2B2B"/>
                      <w:sz w:val="19"/>
                      <w:szCs w:val="19"/>
                    </w:rPr>
                    <w:t xml:space="preserve">Konsensus paliatif</w:t>
                  </w:r>
                </w:p>
              </w:tc>
            </w:tr>
            <w:tr>
              <w:tc>
                <w:tcPr>
                  <w:tcW w:type="dxa" w:w="4360"/>
                  <w:shd w:fill="F2F2F2" w:color="auto" w:val="clear"/>
                  <w:tcMar>
                    <w:top w:type="dxa" w:w="70"/>
                    <w:left w:type="dxa" w:w="120"/>
                    <w:bottom w:type="dxa" w:w="70"/>
                    <w:right w:type="dxa" w:w="120"/>
                  </w:tcMar>
                </w:tcPr>
                <w:p>
                  <w:pPr>
                    <w:spacing w:after="0"/>
                  </w:pPr>
                  <w:r>
                    <w:rPr>
                      <w:color w:val="2B2B2B"/>
                      <w:sz w:val="19"/>
                      <w:szCs w:val="19"/>
                    </w:rPr>
                    <w:t xml:space="preserve">Integrasi paliatif dini pada kanker stadium lanjut</w:t>
                  </w:r>
                </w:p>
              </w:tc>
              <w:tc>
                <w:tcPr>
                  <w:tcW w:type="dxa" w:w="1600"/>
                  <w:shd w:fill="F2F2F2" w:color="auto" w:val="clear"/>
                  <w:tcMar>
                    <w:top w:type="dxa" w:w="70"/>
                    <w:left w:type="dxa" w:w="120"/>
                    <w:bottom w:type="dxa" w:w="70"/>
                    <w:right w:type="dxa" w:w="120"/>
                  </w:tcMar>
                </w:tcPr>
                <w:p>
                  <w:pPr>
                    <w:spacing w:after="0"/>
                  </w:pPr>
                  <w:r>
                    <w:rPr>
                      <w:color w:val="2B2B2B"/>
                      <w:sz w:val="19"/>
                      <w:szCs w:val="19"/>
                    </w:rPr>
                    <w:t xml:space="preserve">I</w:t>
                  </w:r>
                </w:p>
              </w:tc>
              <w:tc>
                <w:tcPr>
                  <w:tcW w:type="dxa" w:w="3400"/>
                  <w:shd w:fill="F2F2F2" w:color="auto" w:val="clear"/>
                  <w:tcMar>
                    <w:top w:type="dxa" w:w="70"/>
                    <w:left w:type="dxa" w:w="120"/>
                    <w:bottom w:type="dxa" w:w="70"/>
                    <w:right w:type="dxa" w:w="120"/>
                  </w:tcMar>
                </w:tcPr>
                <w:p>
                  <w:pPr>
                    <w:spacing w:after="0"/>
                  </w:pPr>
                  <w:r>
                    <w:rPr>
                      <w:color w:val="2B2B2B"/>
                      <w:sz w:val="19"/>
                      <w:szCs w:val="19"/>
                    </w:rPr>
                    <w:t xml:space="preserve">ASCO 2012; ASCO 2017</w:t>
                  </w:r>
                </w:p>
              </w:tc>
            </w:tr>
            <w:tr>
              <w:tc>
                <w:tcPr>
                  <w:tcW w:type="dxa" w:w="4360"/>
                  <w:shd w:fill="FFFFFF" w:color="auto" w:val="clear"/>
                  <w:tcMar>
                    <w:top w:type="dxa" w:w="70"/>
                    <w:left w:type="dxa" w:w="120"/>
                    <w:bottom w:type="dxa" w:w="70"/>
                    <w:right w:type="dxa" w:w="120"/>
                  </w:tcMar>
                </w:tcPr>
                <w:p>
                  <w:pPr>
                    <w:spacing w:after="0"/>
                  </w:pPr>
                  <w:r>
                    <w:rPr>
                      <w:color w:val="2B2B2B"/>
                      <w:sz w:val="19"/>
                      <w:szCs w:val="19"/>
                    </w:rPr>
                    <w:t xml:space="preserve">Skrining kebutuhan sosial terstruktur pada onkologi ginekologi</w:t>
                  </w:r>
                </w:p>
              </w:tc>
              <w:tc>
                <w:tcPr>
                  <w:tcW w:type="dxa" w:w="1600"/>
                  <w:shd w:fill="FFFFFF" w:color="auto" w:val="clear"/>
                  <w:tcMar>
                    <w:top w:type="dxa" w:w="70"/>
                    <w:left w:type="dxa" w:w="120"/>
                    <w:bottom w:type="dxa" w:w="70"/>
                    <w:right w:type="dxa" w:w="120"/>
                  </w:tcMar>
                </w:tcPr>
                <w:p>
                  <w:pPr>
                    <w:spacing w:after="0"/>
                  </w:pPr>
                  <w:r>
                    <w:rPr>
                      <w:color w:val="2B2B2B"/>
                      <w:sz w:val="19"/>
                      <w:szCs w:val="19"/>
                    </w:rPr>
                    <w:t xml:space="preserve">II-2</w:t>
                  </w:r>
                </w:p>
              </w:tc>
              <w:tc>
                <w:tcPr>
                  <w:tcW w:type="dxa" w:w="3400"/>
                  <w:shd w:fill="FFFFFF" w:color="auto" w:val="clear"/>
                  <w:tcMar>
                    <w:top w:type="dxa" w:w="70"/>
                    <w:left w:type="dxa" w:w="120"/>
                    <w:bottom w:type="dxa" w:w="70"/>
                    <w:right w:type="dxa" w:w="120"/>
                  </w:tcMar>
                </w:tcPr>
                <w:p>
                  <w:pPr>
                    <w:spacing w:after="0"/>
                  </w:pPr>
                  <w:r>
                    <w:rPr>
                      <w:color w:val="2B2B2B"/>
                      <w:sz w:val="19"/>
                      <w:szCs w:val="19"/>
                    </w:rPr>
                    <w:t xml:space="preserve">SGO 2020 (Esselen dkk.)</w:t>
                  </w:r>
                </w:p>
              </w:tc>
            </w:tr>
            <w:tr>
              <w:tc>
                <w:tcPr>
                  <w:tcW w:type="dxa" w:w="4360"/>
                  <w:shd w:fill="F2F2F2" w:color="auto" w:val="clear"/>
                  <w:tcMar>
                    <w:top w:type="dxa" w:w="70"/>
                    <w:left w:type="dxa" w:w="120"/>
                    <w:bottom w:type="dxa" w:w="70"/>
                    <w:right w:type="dxa" w:w="120"/>
                  </w:tcMar>
                </w:tcPr>
                <w:p>
                  <w:pPr>
                    <w:spacing w:after="0"/>
                  </w:pPr>
                  <w:r>
                    <w:rPr>
                      <w:color w:val="2B2B2B"/>
                      <w:sz w:val="19"/>
                      <w:szCs w:val="19"/>
                    </w:rPr>
                    <w:t xml:space="preserve">Rekonsiliasi &amp; edukasi keamanan opioid pada onkologi ginekologi</w:t>
                  </w:r>
                </w:p>
              </w:tc>
              <w:tc>
                <w:tcPr>
                  <w:tcW w:type="dxa" w:w="1600"/>
                  <w:shd w:fill="F2F2F2" w:color="auto" w:val="clear"/>
                  <w:tcMar>
                    <w:top w:type="dxa" w:w="70"/>
                    <w:left w:type="dxa" w:w="120"/>
                    <w:bottom w:type="dxa" w:w="70"/>
                    <w:right w:type="dxa" w:w="120"/>
                  </w:tcMar>
                </w:tcPr>
                <w:p>
                  <w:pPr>
                    <w:spacing w:after="0"/>
                  </w:pPr>
                  <w:r>
                    <w:rPr>
                      <w:color w:val="2B2B2B"/>
                      <w:sz w:val="19"/>
                      <w:szCs w:val="19"/>
                    </w:rPr>
                    <w:t xml:space="preserve">II-2</w:t>
                  </w:r>
                </w:p>
              </w:tc>
              <w:tc>
                <w:tcPr>
                  <w:tcW w:type="dxa" w:w="3400"/>
                  <w:shd w:fill="F2F2F2" w:color="auto" w:val="clear"/>
                  <w:tcMar>
                    <w:top w:type="dxa" w:w="70"/>
                    <w:left w:type="dxa" w:w="120"/>
                    <w:bottom w:type="dxa" w:w="70"/>
                    <w:right w:type="dxa" w:w="120"/>
                  </w:tcMar>
                </w:tcPr>
                <w:p>
                  <w:pPr>
                    <w:spacing w:after="0"/>
                  </w:pPr>
                  <w:r>
                    <w:rPr>
                      <w:color w:val="2B2B2B"/>
                      <w:sz w:val="19"/>
                      <w:szCs w:val="19"/>
                    </w:rPr>
                    <w:t xml:space="preserve">SGO 2017 (Lefkowits dkk.)</w:t>
                  </w:r>
                </w:p>
              </w:tc>
            </w:tr>
          </w:tbl>
          <w:p/>
        </w:tc>
      </w:tr>
    </w:tbl>
    <w:p>
      <w:pPr>
        <w:spacing w:after="12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shd w:fill="7A1F3D" w:color="auto" w:val="clear"/>
            <w:tcMar>
              <w:top w:type="dxa" w:w="120"/>
              <w:left w:type="dxa" w:w="200"/>
              <w:bottom w:type="dxa" w:w="120"/>
              <w:right w:type="dxa" w:w="200"/>
            </w:tcMar>
            <w:vAlign w:val="center"/>
          </w:tcPr>
          <w:p>
            <w:pPr>
              <w:spacing w:after="0" w:before="0"/>
            </w:pPr>
            <w:r>
              <w:rPr>
                <w:rFonts w:ascii="Calibri" w:cs="Calibri" w:eastAsia="Calibri" w:hAnsi="Calibri"/>
                <w:b/>
                <w:bCs/>
                <w:color w:val="FFFFFF"/>
                <w:sz w:val="24"/>
                <w:szCs w:val="24"/>
              </w:rPr>
              <w:t xml:space="preserve">12. </w:t>
            </w:r>
            <w:r>
              <w:rPr>
                <w:rFonts w:ascii="Calibri" w:cs="Calibri" w:eastAsia="Calibri" w:hAnsi="Calibri"/>
                <w:b/>
                <w:bCs/>
                <w:color w:val="FFFFFF"/>
                <w:sz w:val="24"/>
                <w:szCs w:val="24"/>
              </w:rPr>
              <w:t xml:space="preserve">Tingkat Rekomendasi</w:t>
            </w:r>
          </w:p>
        </w:tc>
      </w:tr>
    </w:tbl>
    <w:tbl>
      <w:tblPr>
        <w:tblW w:type="dxa" w:w="9360"/>
        <w:tblBorders>
          <w:top w:val="single" w:color="E3B9C7" w:sz="4"/>
          <w:left w:val="single" w:color="E3B9C7" w:sz="4"/>
          <w:bottom w:val="single" w:color="E3B9C7" w:sz="4"/>
          <w:right w:val="single" w:color="E3B9C7" w:sz="4"/>
          <w:insideH w:val="single" w:color="auto" w:sz="4"/>
          <w:insideV w:val="single" w:color="auto" w:sz="4"/>
        </w:tblBorders>
      </w:tblPr>
      <w:tblGrid>
        <w:gridCol w:w="9360"/>
      </w:tblGrid>
      <w:tr>
        <w:tc>
          <w:tcPr>
            <w:tcW w:type="dxa" w:w="9360"/>
            <w:shd w:fill="FFFFFF" w:color="auto" w:val="clear"/>
            <w:tcMar>
              <w:top w:type="dxa" w:w="160"/>
              <w:left w:type="dxa" w:w="220"/>
              <w:bottom w:type="dxa" w:w="200"/>
              <w:right w:type="dxa" w:w="220"/>
            </w:tcMar>
          </w:tcPr>
          <w:tbl>
            <w:tblPr>
              <w:tblW w:type="dxa" w:w="9360"/>
              <w:tblBorders>
                <w:top w:val="single" w:color="D9C3CC" w:sz="4"/>
                <w:left w:val="single" w:color="D9C3CC" w:sz="4"/>
                <w:bottom w:val="single" w:color="D9C3CC" w:sz="4"/>
                <w:right w:val="single" w:color="D9C3CC" w:sz="4"/>
                <w:insideH w:val="single" w:color="auto" w:sz="4"/>
                <w:insideV w:val="single" w:color="auto" w:sz="4"/>
              </w:tblBorders>
            </w:tblPr>
            <w:tblGrid>
              <w:gridCol w:w="6360"/>
              <w:gridCol w:w="3000"/>
            </w:tblGrid>
            <w:tr>
              <w:trPr>
                <w:tblHeader/>
              </w:trPr>
              <w:tc>
                <w:tcPr>
                  <w:tcW w:type="dxa" w:w="6360"/>
                  <w:shd w:fill="7A1F3D" w:color="auto" w:val="clear"/>
                  <w:tcMar>
                    <w:top w:type="dxa" w:w="80"/>
                    <w:left w:type="dxa" w:w="120"/>
                    <w:bottom w:type="dxa" w:w="80"/>
                    <w:right w:type="dxa" w:w="120"/>
                  </w:tcMar>
                  <w:vAlign w:val="center"/>
                </w:tcPr>
                <w:p>
                  <w:r>
                    <w:rPr>
                      <w:b/>
                      <w:bCs/>
                      <w:color w:val="FFFFFF"/>
                      <w:sz w:val="19"/>
                      <w:szCs w:val="19"/>
                    </w:rPr>
                    <w:t xml:space="preserve">Komponen Tata Laksana</w:t>
                  </w:r>
                </w:p>
              </w:tc>
              <w:tc>
                <w:tcPr>
                  <w:tcW w:type="dxa" w:w="3000"/>
                  <w:shd w:fill="7A1F3D" w:color="auto" w:val="clear"/>
                  <w:tcMar>
                    <w:top w:type="dxa" w:w="80"/>
                    <w:left w:type="dxa" w:w="120"/>
                    <w:bottom w:type="dxa" w:w="80"/>
                    <w:right w:type="dxa" w:w="120"/>
                  </w:tcMar>
                  <w:vAlign w:val="center"/>
                </w:tcPr>
                <w:p>
                  <w:r>
                    <w:rPr>
                      <w:b/>
                      <w:bCs/>
                      <w:color w:val="FFFFFF"/>
                      <w:sz w:val="19"/>
                      <w:szCs w:val="19"/>
                    </w:rPr>
                    <w:t xml:space="preserve">Tingkat Rekomendasi</w:t>
                  </w:r>
                </w:p>
              </w:tc>
            </w:tr>
            <w:tr>
              <w:tc>
                <w:tcPr>
                  <w:tcW w:type="dxa" w:w="6360"/>
                  <w:shd w:fill="FFFFFF" w:color="auto" w:val="clear"/>
                  <w:tcMar>
                    <w:top w:type="dxa" w:w="70"/>
                    <w:left w:type="dxa" w:w="120"/>
                    <w:bottom w:type="dxa" w:w="70"/>
                    <w:right w:type="dxa" w:w="120"/>
                  </w:tcMar>
                </w:tcPr>
                <w:p>
                  <w:pPr>
                    <w:spacing w:after="0"/>
                  </w:pPr>
                  <w:r>
                    <w:rPr>
                      <w:color w:val="2B2B2B"/>
                      <w:sz w:val="19"/>
                      <w:szCs w:val="19"/>
                    </w:rPr>
                    <w:t xml:space="preserve">Analgesik bertahap (WHO ladder) untuk nyeri kanker</w:t>
                  </w:r>
                </w:p>
              </w:tc>
              <w:tc>
                <w:tcPr>
                  <w:tcW w:type="dxa" w:w="3000"/>
                  <w:shd w:fill="FFFFFF" w:color="auto" w:val="clear"/>
                  <w:tcMar>
                    <w:top w:type="dxa" w:w="70"/>
                    <w:left w:type="dxa" w:w="120"/>
                    <w:bottom w:type="dxa" w:w="70"/>
                    <w:right w:type="dxa" w:w="120"/>
                  </w:tcMar>
                </w:tcPr>
                <w:p>
                  <w:pPr>
                    <w:spacing w:after="0"/>
                  </w:pPr>
                  <w:r>
                    <w:rPr>
                      <w:color w:val="2B2B2B"/>
                      <w:sz w:val="19"/>
                      <w:szCs w:val="19"/>
                    </w:rPr>
                    <w:t xml:space="preserve">A</w:t>
                  </w:r>
                </w:p>
              </w:tc>
            </w:tr>
            <w:tr>
              <w:tc>
                <w:tcPr>
                  <w:tcW w:type="dxa" w:w="6360"/>
                  <w:shd w:fill="F2F2F2" w:color="auto" w:val="clear"/>
                  <w:tcMar>
                    <w:top w:type="dxa" w:w="70"/>
                    <w:left w:type="dxa" w:w="120"/>
                    <w:bottom w:type="dxa" w:w="70"/>
                    <w:right w:type="dxa" w:w="120"/>
                  </w:tcMar>
                </w:tcPr>
                <w:p>
                  <w:pPr>
                    <w:spacing w:after="0"/>
                  </w:pPr>
                  <w:r>
                    <w:rPr>
                      <w:color w:val="2B2B2B"/>
                      <w:sz w:val="19"/>
                      <w:szCs w:val="19"/>
                    </w:rPr>
                    <w:t xml:space="preserve">Oktreotid + kortikosteroid pada obstruksi usus maligna</w:t>
                  </w:r>
                </w:p>
              </w:tc>
              <w:tc>
                <w:tcPr>
                  <w:tcW w:type="dxa" w:w="3000"/>
                  <w:shd w:fill="F2F2F2" w:color="auto" w:val="clear"/>
                  <w:tcMar>
                    <w:top w:type="dxa" w:w="70"/>
                    <w:left w:type="dxa" w:w="120"/>
                    <w:bottom w:type="dxa" w:w="70"/>
                    <w:right w:type="dxa" w:w="120"/>
                  </w:tcMar>
                </w:tcPr>
                <w:p>
                  <w:pPr>
                    <w:spacing w:after="0"/>
                  </w:pPr>
                  <w:r>
                    <w:rPr>
                      <w:color w:val="2B2B2B"/>
                      <w:sz w:val="19"/>
                      <w:szCs w:val="19"/>
                    </w:rPr>
                    <w:t xml:space="preserve">B</w:t>
                  </w:r>
                </w:p>
              </w:tc>
            </w:tr>
            <w:tr>
              <w:tc>
                <w:tcPr>
                  <w:tcW w:type="dxa" w:w="6360"/>
                  <w:shd w:fill="FFFFFF" w:color="auto" w:val="clear"/>
                  <w:tcMar>
                    <w:top w:type="dxa" w:w="70"/>
                    <w:left w:type="dxa" w:w="120"/>
                    <w:bottom w:type="dxa" w:w="70"/>
                    <w:right w:type="dxa" w:w="120"/>
                  </w:tcMar>
                </w:tcPr>
                <w:p>
                  <w:pPr>
                    <w:spacing w:after="0"/>
                  </w:pPr>
                  <w:r>
                    <w:rPr>
                      <w:color w:val="2B2B2B"/>
                      <w:sz w:val="19"/>
                      <w:szCs w:val="19"/>
                    </w:rPr>
                    <w:t xml:space="preserve">Asam traneksamat untuk perdarahan tumor</w:t>
                  </w:r>
                </w:p>
              </w:tc>
              <w:tc>
                <w:tcPr>
                  <w:tcW w:type="dxa" w:w="3000"/>
                  <w:shd w:fill="FFFFFF" w:color="auto" w:val="clear"/>
                  <w:tcMar>
                    <w:top w:type="dxa" w:w="70"/>
                    <w:left w:type="dxa" w:w="120"/>
                    <w:bottom w:type="dxa" w:w="70"/>
                    <w:right w:type="dxa" w:w="120"/>
                  </w:tcMar>
                </w:tcPr>
                <w:p>
                  <w:pPr>
                    <w:spacing w:after="0"/>
                  </w:pPr>
                  <w:r>
                    <w:rPr>
                      <w:color w:val="2B2B2B"/>
                      <w:sz w:val="19"/>
                      <w:szCs w:val="19"/>
                    </w:rPr>
                    <w:t xml:space="preserve">B</w:t>
                  </w:r>
                </w:p>
              </w:tc>
            </w:tr>
            <w:tr>
              <w:tc>
                <w:tcPr>
                  <w:tcW w:type="dxa" w:w="6360"/>
                  <w:shd w:fill="F2F2F2" w:color="auto" w:val="clear"/>
                  <w:tcMar>
                    <w:top w:type="dxa" w:w="70"/>
                    <w:left w:type="dxa" w:w="120"/>
                    <w:bottom w:type="dxa" w:w="70"/>
                    <w:right w:type="dxa" w:w="120"/>
                  </w:tcMar>
                </w:tcPr>
                <w:p>
                  <w:pPr>
                    <w:spacing w:after="0"/>
                  </w:pPr>
                  <w:r>
                    <w:rPr>
                      <w:color w:val="2B2B2B"/>
                      <w:sz w:val="19"/>
                      <w:szCs w:val="19"/>
                    </w:rPr>
                    <w:t xml:space="preserve">Sedasi paliatif (midazolam) untuk terminal restlessness refrakter</w:t>
                  </w:r>
                </w:p>
              </w:tc>
              <w:tc>
                <w:tcPr>
                  <w:tcW w:type="dxa" w:w="3000"/>
                  <w:shd w:fill="F2F2F2" w:color="auto" w:val="clear"/>
                  <w:tcMar>
                    <w:top w:type="dxa" w:w="70"/>
                    <w:left w:type="dxa" w:w="120"/>
                    <w:bottom w:type="dxa" w:w="70"/>
                    <w:right w:type="dxa" w:w="120"/>
                  </w:tcMar>
                </w:tcPr>
                <w:p>
                  <w:pPr>
                    <w:spacing w:after="0"/>
                  </w:pPr>
                  <w:r>
                    <w:rPr>
                      <w:color w:val="2B2B2B"/>
                      <w:sz w:val="19"/>
                      <w:szCs w:val="19"/>
                    </w:rPr>
                    <w:t xml:space="preserve">B</w:t>
                  </w:r>
                </w:p>
              </w:tc>
            </w:tr>
            <w:tr>
              <w:tc>
                <w:tcPr>
                  <w:tcW w:type="dxa" w:w="6360"/>
                  <w:shd w:fill="FFFFFF" w:color="auto" w:val="clear"/>
                  <w:tcMar>
                    <w:top w:type="dxa" w:w="70"/>
                    <w:left w:type="dxa" w:w="120"/>
                    <w:bottom w:type="dxa" w:w="70"/>
                    <w:right w:type="dxa" w:w="120"/>
                  </w:tcMar>
                </w:tcPr>
                <w:p>
                  <w:pPr>
                    <w:spacing w:after="0"/>
                  </w:pPr>
                  <w:r>
                    <w:rPr>
                      <w:color w:val="2B2B2B"/>
                      <w:sz w:val="19"/>
                      <w:szCs w:val="19"/>
                    </w:rPr>
                    <w:t xml:space="preserve">Hyoscine butylbromide untuk death rattle</w:t>
                  </w:r>
                </w:p>
              </w:tc>
              <w:tc>
                <w:tcPr>
                  <w:tcW w:type="dxa" w:w="3000"/>
                  <w:shd w:fill="FFFFFF" w:color="auto" w:val="clear"/>
                  <w:tcMar>
                    <w:top w:type="dxa" w:w="70"/>
                    <w:left w:type="dxa" w:w="120"/>
                    <w:bottom w:type="dxa" w:w="70"/>
                    <w:right w:type="dxa" w:w="120"/>
                  </w:tcMar>
                </w:tcPr>
                <w:p>
                  <w:pPr>
                    <w:spacing w:after="0"/>
                  </w:pPr>
                  <w:r>
                    <w:rPr>
                      <w:color w:val="2B2B2B"/>
                      <w:sz w:val="19"/>
                      <w:szCs w:val="19"/>
                    </w:rPr>
                    <w:t xml:space="preserve">C</w:t>
                  </w:r>
                </w:p>
              </w:tc>
            </w:tr>
            <w:tr>
              <w:tc>
                <w:tcPr>
                  <w:tcW w:type="dxa" w:w="6360"/>
                  <w:shd w:fill="F2F2F2" w:color="auto" w:val="clear"/>
                  <w:tcMar>
                    <w:top w:type="dxa" w:w="70"/>
                    <w:left w:type="dxa" w:w="120"/>
                    <w:bottom w:type="dxa" w:w="70"/>
                    <w:right w:type="dxa" w:w="120"/>
                  </w:tcMar>
                </w:tcPr>
                <w:p>
                  <w:pPr>
                    <w:spacing w:after="0"/>
                  </w:pPr>
                  <w:r>
                    <w:rPr>
                      <w:color w:val="2B2B2B"/>
                      <w:sz w:val="19"/>
                      <w:szCs w:val="19"/>
                    </w:rPr>
                    <w:t xml:space="preserve">Integrasi paliatif dini pada kanker stadium lanjut</w:t>
                  </w:r>
                </w:p>
              </w:tc>
              <w:tc>
                <w:tcPr>
                  <w:tcW w:type="dxa" w:w="3000"/>
                  <w:shd w:fill="F2F2F2" w:color="auto" w:val="clear"/>
                  <w:tcMar>
                    <w:top w:type="dxa" w:w="70"/>
                    <w:left w:type="dxa" w:w="120"/>
                    <w:bottom w:type="dxa" w:w="70"/>
                    <w:right w:type="dxa" w:w="120"/>
                  </w:tcMar>
                </w:tcPr>
                <w:p>
                  <w:pPr>
                    <w:spacing w:after="0"/>
                  </w:pPr>
                  <w:r>
                    <w:rPr>
                      <w:color w:val="2B2B2B"/>
                      <w:sz w:val="19"/>
                      <w:szCs w:val="19"/>
                    </w:rPr>
                    <w:t xml:space="preserve">A</w:t>
                  </w:r>
                </w:p>
              </w:tc>
            </w:tr>
            <w:tr>
              <w:tc>
                <w:tcPr>
                  <w:tcW w:type="dxa" w:w="6360"/>
                  <w:shd w:fill="FFFFFF" w:color="auto" w:val="clear"/>
                  <w:tcMar>
                    <w:top w:type="dxa" w:w="70"/>
                    <w:left w:type="dxa" w:w="120"/>
                    <w:bottom w:type="dxa" w:w="70"/>
                    <w:right w:type="dxa" w:w="120"/>
                  </w:tcMar>
                </w:tcPr>
                <w:p>
                  <w:pPr>
                    <w:spacing w:after="0"/>
                  </w:pPr>
                  <w:r>
                    <w:rPr>
                      <w:color w:val="2B2B2B"/>
                      <w:sz w:val="19"/>
                      <w:szCs w:val="19"/>
                    </w:rPr>
                    <w:t xml:space="preserve">Skrining kebutuhan sosial terstruktur pada onkologi ginekologi</w:t>
                  </w:r>
                </w:p>
              </w:tc>
              <w:tc>
                <w:tcPr>
                  <w:tcW w:type="dxa" w:w="3000"/>
                  <w:shd w:fill="FFFFFF" w:color="auto" w:val="clear"/>
                  <w:tcMar>
                    <w:top w:type="dxa" w:w="70"/>
                    <w:left w:type="dxa" w:w="120"/>
                    <w:bottom w:type="dxa" w:w="70"/>
                    <w:right w:type="dxa" w:w="120"/>
                  </w:tcMar>
                </w:tcPr>
                <w:p>
                  <w:pPr>
                    <w:spacing w:after="0"/>
                  </w:pPr>
                  <w:r>
                    <w:rPr>
                      <w:color w:val="2B2B2B"/>
                      <w:sz w:val="19"/>
                      <w:szCs w:val="19"/>
                    </w:rPr>
                    <w:t xml:space="preserve">B</w:t>
                  </w:r>
                </w:p>
              </w:tc>
            </w:tr>
            <w:tr>
              <w:tc>
                <w:tcPr>
                  <w:tcW w:type="dxa" w:w="6360"/>
                  <w:shd w:fill="F2F2F2" w:color="auto" w:val="clear"/>
                  <w:tcMar>
                    <w:top w:type="dxa" w:w="70"/>
                    <w:left w:type="dxa" w:w="120"/>
                    <w:bottom w:type="dxa" w:w="70"/>
                    <w:right w:type="dxa" w:w="120"/>
                  </w:tcMar>
                </w:tcPr>
                <w:p>
                  <w:pPr>
                    <w:spacing w:after="0"/>
                  </w:pPr>
                  <w:r>
                    <w:rPr>
                      <w:color w:val="2B2B2B"/>
                      <w:sz w:val="19"/>
                      <w:szCs w:val="19"/>
                    </w:rPr>
                    <w:t xml:space="preserve">Family meeting terstruktur sejak diagnosis paliatif</w:t>
                  </w:r>
                </w:p>
              </w:tc>
              <w:tc>
                <w:tcPr>
                  <w:tcW w:type="dxa" w:w="3000"/>
                  <w:shd w:fill="F2F2F2" w:color="auto" w:val="clear"/>
                  <w:tcMar>
                    <w:top w:type="dxa" w:w="70"/>
                    <w:left w:type="dxa" w:w="120"/>
                    <w:bottom w:type="dxa" w:w="70"/>
                    <w:right w:type="dxa" w:w="120"/>
                  </w:tcMar>
                </w:tcPr>
                <w:p>
                  <w:pPr>
                    <w:spacing w:after="0"/>
                  </w:pPr>
                  <w:r>
                    <w:rPr>
                      <w:color w:val="2B2B2B"/>
                      <w:sz w:val="19"/>
                      <w:szCs w:val="19"/>
                    </w:rPr>
                    <w:t xml:space="preserve">A</w:t>
                  </w:r>
                </w:p>
              </w:tc>
            </w:tr>
          </w:tbl>
          <w:p/>
        </w:tc>
      </w:tr>
    </w:tbl>
    <w:p>
      <w:pPr>
        <w:spacing w:after="12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shd w:fill="7A1F3D" w:color="auto" w:val="clear"/>
            <w:tcMar>
              <w:top w:type="dxa" w:w="120"/>
              <w:left w:type="dxa" w:w="200"/>
              <w:bottom w:type="dxa" w:w="120"/>
              <w:right w:type="dxa" w:w="200"/>
            </w:tcMar>
            <w:vAlign w:val="center"/>
          </w:tcPr>
          <w:p>
            <w:pPr>
              <w:spacing w:after="0" w:before="0"/>
            </w:pPr>
            <w:r>
              <w:rPr>
                <w:rFonts w:ascii="Calibri" w:cs="Calibri" w:eastAsia="Calibri" w:hAnsi="Calibri"/>
                <w:b/>
                <w:bCs/>
                <w:color w:val="FFFFFF"/>
                <w:sz w:val="24"/>
                <w:szCs w:val="24"/>
              </w:rPr>
              <w:t xml:space="preserve">13. </w:t>
            </w:r>
            <w:r>
              <w:rPr>
                <w:rFonts w:ascii="Calibri" w:cs="Calibri" w:eastAsia="Calibri" w:hAnsi="Calibri"/>
                <w:b/>
                <w:bCs/>
                <w:color w:val="FFFFFF"/>
                <w:sz w:val="24"/>
                <w:szCs w:val="24"/>
              </w:rPr>
              <w:t xml:space="preserve">Penelaah Kritis</w:t>
            </w:r>
          </w:p>
        </w:tc>
      </w:tr>
    </w:tbl>
    <w:tbl>
      <w:tblPr>
        <w:tblW w:type="dxa" w:w="9360"/>
        <w:tblBorders>
          <w:top w:val="single" w:color="E3B9C7" w:sz="4"/>
          <w:left w:val="single" w:color="E3B9C7" w:sz="4"/>
          <w:bottom w:val="single" w:color="E3B9C7" w:sz="4"/>
          <w:right w:val="single" w:color="E3B9C7" w:sz="4"/>
          <w:insideH w:val="single" w:color="auto" w:sz="4"/>
          <w:insideV w:val="single" w:color="auto" w:sz="4"/>
        </w:tblBorders>
      </w:tblPr>
      <w:tblGrid>
        <w:gridCol w:w="9360"/>
      </w:tblGrid>
      <w:tr>
        <w:tc>
          <w:tcPr>
            <w:tcW w:type="dxa" w:w="9360"/>
            <w:shd w:fill="FFFFFF" w:color="auto" w:val="clear"/>
            <w:tcMar>
              <w:top w:type="dxa" w:w="160"/>
              <w:left w:type="dxa" w:w="220"/>
              <w:bottom w:type="dxa" w:w="200"/>
              <w:right w:type="dxa" w:w="220"/>
            </w:tcMar>
          </w:tcPr>
          <w:p>
            <w:pPr>
              <w:pStyle w:val="ListParagraph"/>
              <w:numPr>
                <w:ilvl w:val="0"/>
                <w:numId w:val="2"/>
              </w:numPr>
              <w:spacing w:after="60" w:before="20" w:line="268"/>
            </w:pPr>
            <w:r>
              <w:rPr>
                <w:b w:val="false"/>
                <w:bCs w:val="false"/>
                <w:color w:val="2B2B2B"/>
                <w:sz w:val="21"/>
                <w:szCs w:val="21"/>
              </w:rPr>
              <w:t xml:space="preserve">Ketua KSM Obstetri dan Ginekologi RS terkait.</w:t>
            </w:r>
          </w:p>
          <w:p>
            <w:pPr>
              <w:pStyle w:val="ListParagraph"/>
              <w:numPr>
                <w:ilvl w:val="0"/>
                <w:numId w:val="2"/>
              </w:numPr>
              <w:spacing w:after="60" w:before="20" w:line="268"/>
            </w:pPr>
            <w:r>
              <w:rPr>
                <w:b w:val="false"/>
                <w:bCs w:val="false"/>
                <w:color w:val="2B2B2B"/>
                <w:sz w:val="21"/>
                <w:szCs w:val="21"/>
              </w:rPr>
              <w:t xml:space="preserve">Konsultan Subspesialis Obstetri Ginekologi Sosial.</w:t>
            </w:r>
          </w:p>
          <w:p>
            <w:pPr>
              <w:pStyle w:val="ListParagraph"/>
              <w:numPr>
                <w:ilvl w:val="0"/>
                <w:numId w:val="2"/>
              </w:numPr>
              <w:spacing w:after="60" w:before="20" w:line="268"/>
            </w:pPr>
            <w:r>
              <w:rPr>
                <w:b w:val="false"/>
                <w:bCs w:val="false"/>
                <w:color w:val="2B2B2B"/>
                <w:sz w:val="21"/>
                <w:szCs w:val="21"/>
              </w:rPr>
              <w:t xml:space="preserve">Konsultan/Dokter Penanggung Jawab Tim Paliatif Terpadu RS.</w:t>
            </w:r>
          </w:p>
          <w:p>
            <w:pPr>
              <w:pStyle w:val="ListParagraph"/>
              <w:numPr>
                <w:ilvl w:val="0"/>
                <w:numId w:val="2"/>
              </w:numPr>
              <w:spacing w:after="60" w:before="20" w:line="268"/>
            </w:pPr>
            <w:r>
              <w:rPr>
                <w:b w:val="false"/>
                <w:bCs w:val="false"/>
                <w:color w:val="2B2B2B"/>
                <w:sz w:val="21"/>
                <w:szCs w:val="21"/>
              </w:rPr>
              <w:t xml:space="preserve">Komite Medik dan Komite Etik RS (untuk aspek etikolegal end-of-life care).</w:t>
            </w:r>
          </w:p>
        </w:tc>
      </w:tr>
    </w:tbl>
    <w:p>
      <w:pPr>
        <w:spacing w:after="12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shd w:fill="7A1F3D" w:color="auto" w:val="clear"/>
            <w:tcMar>
              <w:top w:type="dxa" w:w="120"/>
              <w:left w:type="dxa" w:w="200"/>
              <w:bottom w:type="dxa" w:w="120"/>
              <w:right w:type="dxa" w:w="200"/>
            </w:tcMar>
            <w:vAlign w:val="center"/>
          </w:tcPr>
          <w:p>
            <w:pPr>
              <w:spacing w:after="0" w:before="0"/>
            </w:pPr>
            <w:r>
              <w:rPr>
                <w:rFonts w:ascii="Calibri" w:cs="Calibri" w:eastAsia="Calibri" w:hAnsi="Calibri"/>
                <w:b/>
                <w:bCs/>
                <w:color w:val="FFFFFF"/>
                <w:sz w:val="24"/>
                <w:szCs w:val="24"/>
              </w:rPr>
              <w:t xml:space="preserve">14. </w:t>
            </w:r>
            <w:r>
              <w:rPr>
                <w:rFonts w:ascii="Calibri" w:cs="Calibri" w:eastAsia="Calibri" w:hAnsi="Calibri"/>
                <w:b/>
                <w:bCs/>
                <w:color w:val="FFFFFF"/>
                <w:sz w:val="24"/>
                <w:szCs w:val="24"/>
              </w:rPr>
              <w:t xml:space="preserve">Indikator Medis</w:t>
            </w:r>
          </w:p>
        </w:tc>
      </w:tr>
    </w:tbl>
    <w:tbl>
      <w:tblPr>
        <w:tblW w:type="dxa" w:w="9360"/>
        <w:tblBorders>
          <w:top w:val="single" w:color="E3B9C7" w:sz="4"/>
          <w:left w:val="single" w:color="E3B9C7" w:sz="4"/>
          <w:bottom w:val="single" w:color="E3B9C7" w:sz="4"/>
          <w:right w:val="single" w:color="E3B9C7" w:sz="4"/>
          <w:insideH w:val="single" w:color="auto" w:sz="4"/>
          <w:insideV w:val="single" w:color="auto" w:sz="4"/>
        </w:tblBorders>
      </w:tblPr>
      <w:tblGrid>
        <w:gridCol w:w="9360"/>
      </w:tblGrid>
      <w:tr>
        <w:tc>
          <w:tcPr>
            <w:tcW w:type="dxa" w:w="9360"/>
            <w:shd w:fill="FFFFFF" w:color="auto" w:val="clear"/>
            <w:tcMar>
              <w:top w:type="dxa" w:w="160"/>
              <w:left w:type="dxa" w:w="220"/>
              <w:bottom w:type="dxa" w:w="200"/>
              <w:right w:type="dxa" w:w="220"/>
            </w:tcMar>
          </w:tcPr>
          <w:tbl>
            <w:tblPr>
              <w:tblW w:type="dxa" w:w="9360"/>
              <w:tblBorders>
                <w:top w:val="single" w:color="D9C3CC" w:sz="4"/>
                <w:left w:val="single" w:color="D9C3CC" w:sz="4"/>
                <w:bottom w:val="single" w:color="D9C3CC" w:sz="4"/>
                <w:right w:val="single" w:color="D9C3CC" w:sz="4"/>
                <w:insideH w:val="single" w:color="auto" w:sz="4"/>
                <w:insideV w:val="single" w:color="auto" w:sz="4"/>
              </w:tblBorders>
            </w:tblPr>
            <w:tblGrid>
              <w:gridCol w:w="6360"/>
              <w:gridCol w:w="3000"/>
            </w:tblGrid>
            <w:tr>
              <w:trPr>
                <w:tblHeader/>
              </w:trPr>
              <w:tc>
                <w:tcPr>
                  <w:tcW w:type="dxa" w:w="6360"/>
                  <w:shd w:fill="7A1F3D" w:color="auto" w:val="clear"/>
                  <w:tcMar>
                    <w:top w:type="dxa" w:w="80"/>
                    <w:left w:type="dxa" w:w="120"/>
                    <w:bottom w:type="dxa" w:w="80"/>
                    <w:right w:type="dxa" w:w="120"/>
                  </w:tcMar>
                  <w:vAlign w:val="center"/>
                </w:tcPr>
                <w:p>
                  <w:r>
                    <w:rPr>
                      <w:b/>
                      <w:bCs/>
                      <w:color w:val="FFFFFF"/>
                      <w:sz w:val="19"/>
                      <w:szCs w:val="19"/>
                    </w:rPr>
                    <w:t xml:space="preserve">Indikator Mutu</w:t>
                  </w:r>
                </w:p>
              </w:tc>
              <w:tc>
                <w:tcPr>
                  <w:tcW w:type="dxa" w:w="3000"/>
                  <w:shd w:fill="7A1F3D" w:color="auto" w:val="clear"/>
                  <w:tcMar>
                    <w:top w:type="dxa" w:w="80"/>
                    <w:left w:type="dxa" w:w="120"/>
                    <w:bottom w:type="dxa" w:w="80"/>
                    <w:right w:type="dxa" w:w="120"/>
                  </w:tcMar>
                  <w:vAlign w:val="center"/>
                </w:tcPr>
                <w:p>
                  <w:r>
                    <w:rPr>
                      <w:b/>
                      <w:bCs/>
                      <w:color w:val="FFFFFF"/>
                      <w:sz w:val="19"/>
                      <w:szCs w:val="19"/>
                    </w:rPr>
                    <w:t xml:space="preserve">Target Capaian</w:t>
                  </w:r>
                </w:p>
              </w:tc>
            </w:tr>
            <w:tr>
              <w:tc>
                <w:tcPr>
                  <w:tcW w:type="dxa" w:w="6360"/>
                  <w:shd w:fill="FFFFFF" w:color="auto" w:val="clear"/>
                  <w:tcMar>
                    <w:top w:type="dxa" w:w="70"/>
                    <w:left w:type="dxa" w:w="120"/>
                    <w:bottom w:type="dxa" w:w="70"/>
                    <w:right w:type="dxa" w:w="120"/>
                  </w:tcMar>
                </w:tcPr>
                <w:p>
                  <w:pPr>
                    <w:spacing w:after="0"/>
                  </w:pPr>
                  <w:r>
                    <w:rPr>
                      <w:color w:val="2B2B2B"/>
                      <w:sz w:val="19"/>
                      <w:szCs w:val="19"/>
                    </w:rPr>
                    <w:t xml:space="preserve">Persentase pasien dengan skor nyeri (NRS) terkontrol ≤3 dalam 48 jam sejak asesmen awal</w:t>
                  </w:r>
                </w:p>
              </w:tc>
              <w:tc>
                <w:tcPr>
                  <w:tcW w:type="dxa" w:w="3000"/>
                  <w:shd w:fill="FFFFFF" w:color="auto" w:val="clear"/>
                  <w:tcMar>
                    <w:top w:type="dxa" w:w="70"/>
                    <w:left w:type="dxa" w:w="120"/>
                    <w:bottom w:type="dxa" w:w="70"/>
                    <w:right w:type="dxa" w:w="120"/>
                  </w:tcMar>
                </w:tcPr>
                <w:p>
                  <w:pPr>
                    <w:spacing w:after="0"/>
                  </w:pPr>
                  <w:r>
                    <w:rPr>
                      <w:color w:val="2B2B2B"/>
                      <w:sz w:val="19"/>
                      <w:szCs w:val="19"/>
                    </w:rPr>
                    <w:t xml:space="preserve">≥ 80%</w:t>
                  </w:r>
                </w:p>
              </w:tc>
            </w:tr>
            <w:tr>
              <w:tc>
                <w:tcPr>
                  <w:tcW w:type="dxa" w:w="6360"/>
                  <w:shd w:fill="F2F2F2" w:color="auto" w:val="clear"/>
                  <w:tcMar>
                    <w:top w:type="dxa" w:w="70"/>
                    <w:left w:type="dxa" w:w="120"/>
                    <w:bottom w:type="dxa" w:w="70"/>
                    <w:right w:type="dxa" w:w="120"/>
                  </w:tcMar>
                </w:tcPr>
                <w:p>
                  <w:pPr>
                    <w:spacing w:after="0"/>
                  </w:pPr>
                  <w:r>
                    <w:rPr>
                      <w:color w:val="2B2B2B"/>
                      <w:sz w:val="19"/>
                      <w:szCs w:val="19"/>
                    </w:rPr>
                    <w:t xml:space="preserve">Persentase pasien paliatif dengan family meeting terdokumentasi sejak diagnosis</w:t>
                  </w:r>
                </w:p>
              </w:tc>
              <w:tc>
                <w:tcPr>
                  <w:tcW w:type="dxa" w:w="3000"/>
                  <w:shd w:fill="F2F2F2" w:color="auto" w:val="clear"/>
                  <w:tcMar>
                    <w:top w:type="dxa" w:w="70"/>
                    <w:left w:type="dxa" w:w="120"/>
                    <w:bottom w:type="dxa" w:w="70"/>
                    <w:right w:type="dxa" w:w="120"/>
                  </w:tcMar>
                </w:tcPr>
                <w:p>
                  <w:pPr>
                    <w:spacing w:after="0"/>
                  </w:pPr>
                  <w:r>
                    <w:rPr>
                      <w:color w:val="2B2B2B"/>
                      <w:sz w:val="19"/>
                      <w:szCs w:val="19"/>
                    </w:rPr>
                    <w:t xml:space="preserve">100%</w:t>
                  </w:r>
                </w:p>
              </w:tc>
            </w:tr>
            <w:tr>
              <w:tc>
                <w:tcPr>
                  <w:tcW w:type="dxa" w:w="6360"/>
                  <w:shd w:fill="FFFFFF" w:color="auto" w:val="clear"/>
                  <w:tcMar>
                    <w:top w:type="dxa" w:w="70"/>
                    <w:left w:type="dxa" w:w="120"/>
                    <w:bottom w:type="dxa" w:w="70"/>
                    <w:right w:type="dxa" w:w="120"/>
                  </w:tcMar>
                </w:tcPr>
                <w:p>
                  <w:pPr>
                    <w:spacing w:after="0"/>
                  </w:pPr>
                  <w:r>
                    <w:rPr>
                      <w:color w:val="2B2B2B"/>
                      <w:sz w:val="19"/>
                      <w:szCs w:val="19"/>
                    </w:rPr>
                    <w:t xml:space="preserve">Persentase pasien fase terminal dengan status DNAR/ACP terdokumentasi eksplisit</w:t>
                  </w:r>
                </w:p>
              </w:tc>
              <w:tc>
                <w:tcPr>
                  <w:tcW w:type="dxa" w:w="3000"/>
                  <w:shd w:fill="FFFFFF" w:color="auto" w:val="clear"/>
                  <w:tcMar>
                    <w:top w:type="dxa" w:w="70"/>
                    <w:left w:type="dxa" w:w="120"/>
                    <w:bottom w:type="dxa" w:w="70"/>
                    <w:right w:type="dxa" w:w="120"/>
                  </w:tcMar>
                </w:tcPr>
                <w:p>
                  <w:pPr>
                    <w:spacing w:after="0"/>
                  </w:pPr>
                  <w:r>
                    <w:rPr>
                      <w:color w:val="2B2B2B"/>
                      <w:sz w:val="19"/>
                      <w:szCs w:val="19"/>
                    </w:rPr>
                    <w:t xml:space="preserve">100%</w:t>
                  </w:r>
                </w:p>
              </w:tc>
            </w:tr>
            <w:tr>
              <w:tc>
                <w:tcPr>
                  <w:tcW w:type="dxa" w:w="6360"/>
                  <w:shd w:fill="F2F2F2" w:color="auto" w:val="clear"/>
                  <w:tcMar>
                    <w:top w:type="dxa" w:w="70"/>
                    <w:left w:type="dxa" w:w="120"/>
                    <w:bottom w:type="dxa" w:w="70"/>
                    <w:right w:type="dxa" w:w="120"/>
                  </w:tcMar>
                </w:tcPr>
                <w:p>
                  <w:pPr>
                    <w:spacing w:after="0"/>
                  </w:pPr>
                  <w:r>
                    <w:rPr>
                      <w:color w:val="2B2B2B"/>
                      <w:sz w:val="19"/>
                      <w:szCs w:val="19"/>
                    </w:rPr>
                    <w:t xml:space="preserve">Persentase pasien dengan skrining kebutuhan sosial terdokumentasi (SGO, 2020)</w:t>
                  </w:r>
                </w:p>
              </w:tc>
              <w:tc>
                <w:tcPr>
                  <w:tcW w:type="dxa" w:w="3000"/>
                  <w:shd w:fill="F2F2F2" w:color="auto" w:val="clear"/>
                  <w:tcMar>
                    <w:top w:type="dxa" w:w="70"/>
                    <w:left w:type="dxa" w:w="120"/>
                    <w:bottom w:type="dxa" w:w="70"/>
                    <w:right w:type="dxa" w:w="120"/>
                  </w:tcMar>
                </w:tcPr>
                <w:p>
                  <w:pPr>
                    <w:spacing w:after="0"/>
                  </w:pPr>
                  <w:r>
                    <w:rPr>
                      <w:color w:val="2B2B2B"/>
                      <w:sz w:val="19"/>
                      <w:szCs w:val="19"/>
                    </w:rPr>
                    <w:t xml:space="preserve">≥ 90%</w:t>
                  </w:r>
                </w:p>
              </w:tc>
            </w:tr>
            <w:tr>
              <w:tc>
                <w:tcPr>
                  <w:tcW w:type="dxa" w:w="6360"/>
                  <w:shd w:fill="FFFFFF" w:color="auto" w:val="clear"/>
                  <w:tcMar>
                    <w:top w:type="dxa" w:w="70"/>
                    <w:left w:type="dxa" w:w="120"/>
                    <w:bottom w:type="dxa" w:w="70"/>
                    <w:right w:type="dxa" w:w="120"/>
                  </w:tcMar>
                </w:tcPr>
                <w:p>
                  <w:pPr>
                    <w:spacing w:after="0"/>
                  </w:pPr>
                  <w:r>
                    <w:rPr>
                      <w:color w:val="2B2B2B"/>
                      <w:sz w:val="19"/>
                      <w:szCs w:val="19"/>
                    </w:rPr>
                    <w:t xml:space="preserve">Persentase keluarga yang menerima dukungan berkabung (bereavement) dalam 4 minggu pasca-kematian</w:t>
                  </w:r>
                </w:p>
              </w:tc>
              <w:tc>
                <w:tcPr>
                  <w:tcW w:type="dxa" w:w="3000"/>
                  <w:shd w:fill="FFFFFF" w:color="auto" w:val="clear"/>
                  <w:tcMar>
                    <w:top w:type="dxa" w:w="70"/>
                    <w:left w:type="dxa" w:w="120"/>
                    <w:bottom w:type="dxa" w:w="70"/>
                    <w:right w:type="dxa" w:w="120"/>
                  </w:tcMar>
                </w:tcPr>
                <w:p>
                  <w:pPr>
                    <w:spacing w:after="0"/>
                  </w:pPr>
                  <w:r>
                    <w:rPr>
                      <w:color w:val="2B2B2B"/>
                      <w:sz w:val="19"/>
                      <w:szCs w:val="19"/>
                    </w:rPr>
                    <w:t xml:space="preserve">≥ 70%</w:t>
                  </w:r>
                </w:p>
              </w:tc>
            </w:tr>
            <w:tr>
              <w:tc>
                <w:tcPr>
                  <w:tcW w:type="dxa" w:w="6360"/>
                  <w:shd w:fill="F2F2F2" w:color="auto" w:val="clear"/>
                  <w:tcMar>
                    <w:top w:type="dxa" w:w="70"/>
                    <w:left w:type="dxa" w:w="120"/>
                    <w:bottom w:type="dxa" w:w="70"/>
                    <w:right w:type="dxa" w:w="120"/>
                  </w:tcMar>
                </w:tcPr>
                <w:p>
                  <w:pPr>
                    <w:spacing w:after="0"/>
                  </w:pPr>
                  <w:r>
                    <w:rPr>
                      <w:color w:val="2B2B2B"/>
                      <w:sz w:val="19"/>
                      <w:szCs w:val="19"/>
                    </w:rPr>
                    <w:t xml:space="preserve">Rerata waktu deteksi fase terminal hingga aktivasi protokol end-of-life care</w:t>
                  </w:r>
                </w:p>
              </w:tc>
              <w:tc>
                <w:tcPr>
                  <w:tcW w:type="dxa" w:w="3000"/>
                  <w:shd w:fill="F2F2F2" w:color="auto" w:val="clear"/>
                  <w:tcMar>
                    <w:top w:type="dxa" w:w="70"/>
                    <w:left w:type="dxa" w:w="120"/>
                    <w:bottom w:type="dxa" w:w="70"/>
                    <w:right w:type="dxa" w:w="120"/>
                  </w:tcMar>
                </w:tcPr>
                <w:p>
                  <w:pPr>
                    <w:spacing w:after="0"/>
                  </w:pPr>
                  <w:r>
                    <w:rPr>
                      <w:color w:val="2B2B2B"/>
                      <w:sz w:val="19"/>
                      <w:szCs w:val="19"/>
                    </w:rPr>
                    <w:t xml:space="preserve">≤ 4 jam</w:t>
                  </w:r>
                </w:p>
              </w:tc>
            </w:tr>
          </w:tbl>
          <w:p/>
        </w:tc>
      </w:tr>
    </w:tbl>
    <w:p>
      <w:pPr>
        <w:spacing w:after="12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shd w:fill="7A1F3D" w:color="auto" w:val="clear"/>
            <w:tcMar>
              <w:top w:type="dxa" w:w="120"/>
              <w:left w:type="dxa" w:w="200"/>
              <w:bottom w:type="dxa" w:w="120"/>
              <w:right w:type="dxa" w:w="200"/>
            </w:tcMar>
            <w:vAlign w:val="center"/>
          </w:tcPr>
          <w:p>
            <w:pPr>
              <w:spacing w:after="0" w:before="0"/>
            </w:pPr>
            <w:r>
              <w:rPr>
                <w:rFonts w:ascii="Calibri" w:cs="Calibri" w:eastAsia="Calibri" w:hAnsi="Calibri"/>
                <w:b/>
                <w:bCs/>
                <w:color w:val="FFFFFF"/>
                <w:sz w:val="24"/>
                <w:szCs w:val="24"/>
              </w:rPr>
              <w:t xml:space="preserve">15. </w:t>
            </w:r>
            <w:r>
              <w:rPr>
                <w:rFonts w:ascii="Calibri" w:cs="Calibri" w:eastAsia="Calibri" w:hAnsi="Calibri"/>
                <w:b/>
                <w:bCs/>
                <w:color w:val="FFFFFF"/>
                <w:sz w:val="24"/>
                <w:szCs w:val="24"/>
              </w:rPr>
              <w:t xml:space="preserve">Kepustakaan</w:t>
            </w:r>
          </w:p>
        </w:tc>
      </w:tr>
    </w:tbl>
    <w:tbl>
      <w:tblPr>
        <w:tblW w:type="dxa" w:w="9360"/>
        <w:tblBorders>
          <w:top w:val="single" w:color="E3B9C7" w:sz="4"/>
          <w:left w:val="single" w:color="E3B9C7" w:sz="4"/>
          <w:bottom w:val="single" w:color="E3B9C7" w:sz="4"/>
          <w:right w:val="single" w:color="E3B9C7" w:sz="4"/>
          <w:insideH w:val="single" w:color="auto" w:sz="4"/>
          <w:insideV w:val="single" w:color="auto" w:sz="4"/>
        </w:tblBorders>
      </w:tblPr>
      <w:tblGrid>
        <w:gridCol w:w="9360"/>
      </w:tblGrid>
      <w:tr>
        <w:tc>
          <w:tcPr>
            <w:tcW w:type="dxa" w:w="9360"/>
            <w:shd w:fill="FFFFFF" w:color="auto" w:val="clear"/>
            <w:tcMar>
              <w:top w:type="dxa" w:w="160"/>
              <w:left w:type="dxa" w:w="220"/>
              <w:bottom w:type="dxa" w:w="200"/>
              <w:right w:type="dxa" w:w="220"/>
            </w:tcMar>
          </w:tcPr>
          <w:p>
            <w:pPr>
              <w:pStyle w:val="ListParagraph"/>
              <w:numPr>
                <w:ilvl w:val="0"/>
                <w:numId w:val="3"/>
              </w:numPr>
              <w:spacing w:after="80" w:before="20" w:line="268"/>
            </w:pPr>
            <w:r>
              <w:rPr>
                <w:color w:val="2B2B2B"/>
                <w:sz w:val="20"/>
                <w:szCs w:val="20"/>
              </w:rPr>
              <w:t xml:space="preserve">World Health Organization. WHO Guidelines for the Pharmacological and Radiotherapeutic Management of Cancer Pain in Adults and Adolescents. Geneva: WHO; 2018. Tersedia di: </w:t>
            </w:r>
            <w:hyperlink w:history="1" r:id="rIdsrqs4-1qbgczx6tggjiep">
              <w:r>
                <w:rPr>
                  <w:color w:val="1155CC"/>
                  <w:sz w:val="20"/>
                  <w:szCs w:val="20"/>
                  <w:u w:val="single"/>
                </w:rPr>
                <w:t xml:space="preserve">https://www.who.int/publications/i/item/9789241550390</w:t>
              </w:r>
            </w:hyperlink>
          </w:p>
          <w:p>
            <w:pPr>
              <w:pStyle w:val="ListParagraph"/>
              <w:numPr>
                <w:ilvl w:val="0"/>
                <w:numId w:val="3"/>
              </w:numPr>
              <w:spacing w:after="80" w:before="20" w:line="268"/>
            </w:pPr>
            <w:r>
              <w:rPr>
                <w:color w:val="2B2B2B"/>
                <w:sz w:val="20"/>
                <w:szCs w:val="20"/>
              </w:rPr>
              <w:t xml:space="preserve">World Health Organization. Palliative Care. Fact Sheet. Geneva: WHO; 2020. Tersedia di: </w:t>
            </w:r>
            <w:hyperlink w:history="1" r:id="rIdb8cv0lfsck0kthelbfsen">
              <w:r>
                <w:rPr>
                  <w:color w:val="1155CC"/>
                  <w:sz w:val="20"/>
                  <w:szCs w:val="20"/>
                  <w:u w:val="single"/>
                </w:rPr>
                <w:t xml:space="preserve">https://www.who.int/news-room/fact-sheets/detail/palliative-care</w:t>
              </w:r>
            </w:hyperlink>
          </w:p>
          <w:p>
            <w:pPr>
              <w:pStyle w:val="ListParagraph"/>
              <w:numPr>
                <w:ilvl w:val="0"/>
                <w:numId w:val="3"/>
              </w:numPr>
              <w:spacing w:after="80" w:before="20" w:line="268"/>
            </w:pPr>
            <w:r>
              <w:rPr>
                <w:color w:val="2B2B2B"/>
                <w:sz w:val="20"/>
                <w:szCs w:val="20"/>
              </w:rPr>
              <w:t xml:space="preserve">Fallon M, Giusti R, Aielli F, Hoskin P, Rolke R, Sharma M, Ripamonti CI; ESMO Guidelines Committee. Management of cancer pain in adult patients: ESMO Clinical Practice Guidelines. Ann Oncol. 2018;29(Suppl 4):iv166–iv191. doi:10.1093/annonc/mdy152.</w:t>
            </w:r>
          </w:p>
          <w:p>
            <w:pPr>
              <w:pStyle w:val="ListParagraph"/>
              <w:numPr>
                <w:ilvl w:val="0"/>
                <w:numId w:val="3"/>
              </w:numPr>
              <w:spacing w:after="80" w:before="20" w:line="268"/>
            </w:pPr>
            <w:r>
              <w:rPr>
                <w:color w:val="2B2B2B"/>
                <w:sz w:val="20"/>
                <w:szCs w:val="20"/>
              </w:rPr>
              <w:t xml:space="preserve">National Comprehensive Cancer Network (NCCN). NCCN Clinical Practice Guidelines in Oncology: Palliative Care. Versi 3.2026. Tersedia di: </w:t>
            </w:r>
            <w:hyperlink w:history="1" r:id="rIdaniu2qwpdkelbitmzjaws">
              <w:r>
                <w:rPr>
                  <w:color w:val="1155CC"/>
                  <w:sz w:val="20"/>
                  <w:szCs w:val="20"/>
                  <w:u w:val="single"/>
                </w:rPr>
                <w:t xml:space="preserve">https://www.nccn.org/guidelines/guidelines-detail?category=3&amp;id=1454</w:t>
              </w:r>
            </w:hyperlink>
          </w:p>
          <w:p>
            <w:pPr>
              <w:pStyle w:val="ListParagraph"/>
              <w:numPr>
                <w:ilvl w:val="0"/>
                <w:numId w:val="3"/>
              </w:numPr>
              <w:spacing w:after="80" w:before="20" w:line="268"/>
            </w:pPr>
            <w:r>
              <w:rPr>
                <w:color w:val="2B2B2B"/>
                <w:sz w:val="20"/>
                <w:szCs w:val="20"/>
              </w:rPr>
              <w:t xml:space="preserve">National Comprehensive Cancer Network (NCCN). NCCN Clinical Practice Guidelines in Oncology: Adult Cancer Pain. Versi 2.2026. Tersedia di: </w:t>
            </w:r>
            <w:hyperlink w:history="1" r:id="rIdag7hwlq-vey9h8bgw-abl">
              <w:r>
                <w:rPr>
                  <w:color w:val="1155CC"/>
                  <w:sz w:val="20"/>
                  <w:szCs w:val="20"/>
                  <w:u w:val="single"/>
                </w:rPr>
                <w:t xml:space="preserve">https://www.nccn.org/guidelines/category_3</w:t>
              </w:r>
            </w:hyperlink>
          </w:p>
          <w:p>
            <w:pPr>
              <w:pStyle w:val="ListParagraph"/>
              <w:numPr>
                <w:ilvl w:val="0"/>
                <w:numId w:val="3"/>
              </w:numPr>
              <w:spacing w:after="80" w:before="20" w:line="268"/>
            </w:pPr>
            <w:r>
              <w:rPr>
                <w:color w:val="2B2B2B"/>
                <w:sz w:val="20"/>
                <w:szCs w:val="20"/>
              </w:rPr>
              <w:t xml:space="preserve">Smith TJ, Temin S, Alesi ER, Abernethy AP, Balboni TA, Basch EM, dkk. American Society of Clinical Oncology provisional clinical opinion: the integration of palliative care into standard oncology care. J Clin Oncol. 2012;30(8):880–887. doi:10.1200/JCO.2011.38.5161.</w:t>
            </w:r>
          </w:p>
          <w:p>
            <w:pPr>
              <w:pStyle w:val="ListParagraph"/>
              <w:numPr>
                <w:ilvl w:val="0"/>
                <w:numId w:val="3"/>
              </w:numPr>
              <w:spacing w:after="80" w:before="20" w:line="268"/>
            </w:pPr>
            <w:r>
              <w:rPr>
                <w:color w:val="2B2B2B"/>
                <w:sz w:val="20"/>
                <w:szCs w:val="20"/>
              </w:rPr>
              <w:t xml:space="preserve">Ferrell BR, Temel JS, Temin S, Alesi ER, Balboni TA, Basch EM, dkk. Integration of palliative care into standard oncology care: American Society of Clinical Oncology clinical practice guideline update. J Clin Oncol. 2017;35(1):96–112. doi:10.1200/JCO.2016.70.1474.</w:t>
            </w:r>
          </w:p>
          <w:p>
            <w:pPr>
              <w:pStyle w:val="ListParagraph"/>
              <w:numPr>
                <w:ilvl w:val="0"/>
                <w:numId w:val="3"/>
              </w:numPr>
              <w:spacing w:after="80" w:before="20" w:line="268"/>
            </w:pPr>
            <w:r>
              <w:rPr>
                <w:color w:val="2B2B2B"/>
                <w:sz w:val="20"/>
                <w:szCs w:val="20"/>
              </w:rPr>
              <w:t xml:space="preserve">Lefkowits C, Solomon C, Fabbri S, dkk. Opioid use in gynecologic oncology; balancing efficacy, accessibility and safety: an SGO clinical practice statement. Gynecol Oncol. 2017;144(2):232–234. doi:10.1016/j.ygyno.2016.11.015.</w:t>
            </w:r>
          </w:p>
          <w:p>
            <w:pPr>
              <w:pStyle w:val="ListParagraph"/>
              <w:numPr>
                <w:ilvl w:val="0"/>
                <w:numId w:val="3"/>
              </w:numPr>
              <w:spacing w:after="80" w:before="20" w:line="268"/>
            </w:pPr>
            <w:r>
              <w:rPr>
                <w:color w:val="2B2B2B"/>
                <w:sz w:val="20"/>
                <w:szCs w:val="20"/>
              </w:rPr>
              <w:t xml:space="preserve">Esselen K, Sinno AK, Varughese J, Wethington SL, Prendergast E, Chu CS. Social needs in gynecologic oncology: a Society of Gynecologic Oncology (SGO) clinical practice statement. Gynecol Oncol. 2020;158(3):521–525. doi:10.1016/j.ygyno.2020.06.497.</w:t>
            </w:r>
          </w:p>
          <w:p>
            <w:pPr>
              <w:pStyle w:val="ListParagraph"/>
              <w:numPr>
                <w:ilvl w:val="0"/>
                <w:numId w:val="3"/>
              </w:numPr>
              <w:spacing w:after="80" w:before="20" w:line="268"/>
            </w:pPr>
            <w:r>
              <w:rPr>
                <w:color w:val="2B2B2B"/>
                <w:sz w:val="20"/>
                <w:szCs w:val="20"/>
              </w:rPr>
              <w:t xml:space="preserve">Society of Gynecologic Oncology. Delivery of Palliative Care Services (SGO Position Statement). Chicago: SGO; 2016. Tersedia di: </w:t>
            </w:r>
            <w:hyperlink w:history="1" r:id="rIdgmjs8iup0hmhd5ju7gldm">
              <w:r>
                <w:rPr>
                  <w:color w:val="1155CC"/>
                  <w:sz w:val="20"/>
                  <w:szCs w:val="20"/>
                  <w:u w:val="single"/>
                </w:rPr>
                <w:t xml:space="preserve">https://www.sgo.org/resources/delivery-of-palliative-care-services/</w:t>
              </w:r>
            </w:hyperlink>
          </w:p>
          <w:p>
            <w:pPr>
              <w:pStyle w:val="ListParagraph"/>
              <w:numPr>
                <w:ilvl w:val="0"/>
                <w:numId w:val="3"/>
              </w:numPr>
              <w:spacing w:after="80" w:before="20" w:line="268"/>
            </w:pPr>
            <w:r>
              <w:rPr>
                <w:color w:val="2B2B2B"/>
                <w:sz w:val="20"/>
                <w:szCs w:val="20"/>
              </w:rPr>
              <w:t xml:space="preserve">Cherny NI, Radbruch L; Board of the European Association for Palliative Care. European Association for Palliative Care (EAPC) recommended framework for the use of sedation in palliative care. Palliat Med. 2009;23(7):581–593. doi:10.1177/0269216309107024.</w:t>
            </w:r>
          </w:p>
          <w:p>
            <w:pPr>
              <w:pStyle w:val="ListParagraph"/>
              <w:numPr>
                <w:ilvl w:val="0"/>
                <w:numId w:val="3"/>
              </w:numPr>
              <w:spacing w:after="80" w:before="20" w:line="268"/>
            </w:pPr>
            <w:r>
              <w:rPr>
                <w:color w:val="2B2B2B"/>
                <w:sz w:val="20"/>
                <w:szCs w:val="20"/>
              </w:rPr>
              <w:t xml:space="preserve">Surges SM, Brunsch H, Jaspers B, Apostolidis K, Cardone A, Centeno C, dkk. Revised European Association for Palliative Care (EAPC) recommended framework on palliative sedation: an international Delphi study. Palliat Med. 2024. doi:10.1177/02692163231220225.</w:t>
            </w:r>
          </w:p>
          <w:p>
            <w:pPr>
              <w:pStyle w:val="ListParagraph"/>
              <w:numPr>
                <w:ilvl w:val="0"/>
                <w:numId w:val="3"/>
              </w:numPr>
              <w:spacing w:after="80" w:before="20" w:line="268"/>
            </w:pPr>
            <w:r>
              <w:rPr>
                <w:color w:val="2B2B2B"/>
                <w:sz w:val="20"/>
                <w:szCs w:val="20"/>
              </w:rPr>
              <w:t xml:space="preserve">Eskander RN, Osann K, Dickson E, Holman LL, Rauh-Hain JA, Spoozak L, dkk. Assessment of palliative care training in gynecologic oncology: a gynecologic oncology fellow research network study. Gynecol Oncol. 2014;134(2):379–384. doi:10.1016/j.ygyno.2014.05.021.</w:t>
            </w:r>
          </w:p>
          <w:p>
            <w:pPr>
              <w:pStyle w:val="ListParagraph"/>
              <w:numPr>
                <w:ilvl w:val="0"/>
                <w:numId w:val="3"/>
              </w:numPr>
              <w:spacing w:after="80" w:before="20" w:line="268"/>
            </w:pPr>
            <w:r>
              <w:rPr>
                <w:color w:val="2B2B2B"/>
                <w:sz w:val="20"/>
                <w:szCs w:val="20"/>
              </w:rPr>
              <w:t xml:space="preserve">European Society of Gynaecological Oncology (ESGO) Educational and Training Committee. European Training Requirements (ETR) for Gynaecological Oncology: The ESGO Curriculum (revisi 2025). Tersedia di: </w:t>
            </w:r>
            <w:hyperlink w:history="1" r:id="rId93vmznc0ro_y9sipy87ee">
              <w:r>
                <w:rPr>
                  <w:color w:val="1155CC"/>
                  <w:sz w:val="20"/>
                  <w:szCs w:val="20"/>
                  <w:u w:val="single"/>
                </w:rPr>
                <w:t xml:space="preserve">https://www.esgo.org/fellowship-training/</w:t>
              </w:r>
            </w:hyperlink>
          </w:p>
          <w:p>
            <w:pPr>
              <w:pStyle w:val="ListParagraph"/>
              <w:numPr>
                <w:ilvl w:val="0"/>
                <w:numId w:val="3"/>
              </w:numPr>
              <w:spacing w:after="80" w:before="20" w:line="268"/>
            </w:pPr>
            <w:r>
              <w:rPr>
                <w:color w:val="2B2B2B"/>
                <w:sz w:val="20"/>
                <w:szCs w:val="20"/>
              </w:rPr>
              <w:t xml:space="preserve">Anderson F, Downing GM, Hill J, Casorso L, Lerch N. Palliative Performance Scale (PPS): a new tool. J Palliat Care. 1996;12(1):5–11.</w:t>
            </w:r>
          </w:p>
          <w:p>
            <w:pPr>
              <w:pStyle w:val="ListParagraph"/>
              <w:numPr>
                <w:ilvl w:val="0"/>
                <w:numId w:val="3"/>
              </w:numPr>
              <w:spacing w:after="80" w:before="20" w:line="268"/>
            </w:pPr>
            <w:r>
              <w:rPr>
                <w:color w:val="2B2B2B"/>
                <w:sz w:val="20"/>
                <w:szCs w:val="20"/>
              </w:rPr>
              <w:t xml:space="preserve">Kementerian Kesehatan Republik Indonesia. Keputusan Menteri Kesehatan Republik Indonesia Nomor HK.01.07/MENKES/2180/2023 tentang Pedoman Penyelenggaraan Pelayanan Paliatif. Jakarta; 2023.</w:t>
            </w:r>
          </w:p>
          <w:p>
            <w:pPr>
              <w:pStyle w:val="ListParagraph"/>
              <w:numPr>
                <w:ilvl w:val="0"/>
                <w:numId w:val="3"/>
              </w:numPr>
              <w:spacing w:after="80" w:before="20" w:line="268"/>
            </w:pPr>
            <w:r>
              <w:rPr>
                <w:color w:val="2B2B2B"/>
                <w:sz w:val="20"/>
                <w:szCs w:val="20"/>
              </w:rPr>
              <w:t xml:space="preserve">Republik Indonesia. Undang-Undang Nomor 17 Tahun 2023 tentang Kesehatan. Lembaran Negara Republik Indonesia Tahun 2023 Nomor 105. Tersedia di: </w:t>
            </w:r>
            <w:hyperlink w:history="1" r:id="rIdqis8gmmlcsymnpe7s5juu">
              <w:r>
                <w:rPr>
                  <w:color w:val="1155CC"/>
                  <w:sz w:val="20"/>
                  <w:szCs w:val="20"/>
                  <w:u w:val="single"/>
                </w:rPr>
                <w:t xml:space="preserve">https://jdih.kemkes.go.id/storage/documents/pdfs/2023uu017.pdf</w:t>
              </w:r>
            </w:hyperlink>
          </w:p>
          <w:p>
            <w:pPr>
              <w:pStyle w:val="ListParagraph"/>
              <w:numPr>
                <w:ilvl w:val="0"/>
                <w:numId w:val="3"/>
              </w:numPr>
              <w:spacing w:after="80" w:before="20" w:line="268"/>
            </w:pPr>
            <w:r>
              <w:rPr>
                <w:color w:val="2B2B2B"/>
                <w:sz w:val="20"/>
                <w:szCs w:val="20"/>
              </w:rPr>
              <w:t xml:space="preserve">Republik Indonesia. Peraturan Pemerintah Nomor 28 Tahun 2024 tentang Peraturan Pelaksanaan Undang-Undang Nomor 17 Tahun 2023 tentang Kesehatan.</w:t>
            </w:r>
          </w:p>
          <w:p>
            <w:pPr>
              <w:pStyle w:val="ListParagraph"/>
              <w:numPr>
                <w:ilvl w:val="0"/>
                <w:numId w:val="3"/>
              </w:numPr>
              <w:spacing w:after="80" w:before="20" w:line="268"/>
            </w:pPr>
            <w:r>
              <w:rPr>
                <w:color w:val="2B2B2B"/>
                <w:sz w:val="20"/>
                <w:szCs w:val="20"/>
              </w:rPr>
              <w:t xml:space="preserve">Konsil Kesehatan Indonesia. Keputusan Ketua Konsil Kesehatan Indonesia Nomor HK.01.02/KKI/1318/2026 tentang Standar Kompetensi Dokter Spesialis dan Subspesialis Bidang Obstetri dan Ginekologi. Jakarta; 2026.</w:t>
            </w:r>
          </w:p>
        </w:tc>
      </w:tr>
    </w:tbl>
    <w:p>
      <w:pPr>
        <w:spacing w:after="120" w:before="0"/>
      </w:pP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6"/>
        <w:szCs w:val="16"/>
      </w:rPr>
      <w:t xml:space="preserve">Halaman </w:t>
    </w:r>
    <w:r>
      <w:rPr>
        <w:color w:val="808080"/>
        <w:sz w:val="16"/>
        <w:szCs w:val="16"/>
      </w:rPr>
      <w:fldChar w:fldCharType="begin"/>
      <w:instrText xml:space="preserve">PAGE</w:instrText>
      <w:fldChar w:fldCharType="separate"/>
      <w:fldChar w:fldCharType="end"/>
    </w:r>
    <w:r>
      <w:rPr>
        <w:color w:val="808080"/>
        <w:sz w:val="16"/>
        <w:szCs w:val="16"/>
      </w:rPr>
      <w:t xml:space="preserve"> dari </w:t>
    </w:r>
    <w:r>
      <w:rPr>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3B9C7" w:sz="4" w:space="4"/>
      </w:pBdr>
      <w:jc w:val="right"/>
    </w:pPr>
    <w:r>
      <w:rPr>
        <w:i/>
        <w:iCs/>
        <w:color w:val="7A1F3D"/>
        <w:sz w:val="16"/>
        <w:szCs w:val="16"/>
      </w:rPr>
      <w:t xml:space="preserve">PPK 17/19 — Perawatan Paliatif Ginekologi Holistik (Rev.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srqs4-1qbgczx6tggjiep" Type="http://schemas.openxmlformats.org/officeDocument/2006/relationships/hyperlink" Target="https://www.who.int/publications/i/item/9789241550390" TargetMode="External"/><Relationship Id="rIdb8cv0lfsck0kthelbfsen" Type="http://schemas.openxmlformats.org/officeDocument/2006/relationships/hyperlink" Target="https://www.who.int/news-room/fact-sheets/detail/palliative-care" TargetMode="External"/><Relationship Id="rIdaniu2qwpdkelbitmzjaws" Type="http://schemas.openxmlformats.org/officeDocument/2006/relationships/hyperlink" Target="https://www.nccn.org/guidelines/guidelines-detail?category=3&amp;id=1454" TargetMode="External"/><Relationship Id="rIdag7hwlq-vey9h8bgw-abl" Type="http://schemas.openxmlformats.org/officeDocument/2006/relationships/hyperlink" Target="https://www.nccn.org/guidelines/category_3" TargetMode="External"/><Relationship Id="rIdgmjs8iup0hmhd5ju7gldm" Type="http://schemas.openxmlformats.org/officeDocument/2006/relationships/hyperlink" Target="https://www.sgo.org/resources/delivery-of-palliative-care-services/" TargetMode="External"/><Relationship Id="rId93vmznc0ro_y9sipy87ee" Type="http://schemas.openxmlformats.org/officeDocument/2006/relationships/hyperlink" Target="https://www.esgo.org/fellowship-training/" TargetMode="External"/><Relationship Id="rIdqis8gmmlcsymnpe7s5juu" Type="http://schemas.openxmlformats.org/officeDocument/2006/relationships/hyperlink" Target="https://jdih.kemkes.go.id/storage/documents/pdfs/2023uu017.pdf" TargetMode="External"/><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2026-08-01T22:55:43.282Z</dcterms:created>
  <dcterms:modified xsi:type="dcterms:W3CDTF">2026-08-01T22:55:43.296Z</dcterms:modified>
</cp:coreProperties>
</file>

<file path=docProps/custom.xml><?xml version="1.0" encoding="utf-8"?>
<Properties xmlns="http://schemas.openxmlformats.org/officeDocument/2006/custom-properties" xmlns:vt="http://schemas.openxmlformats.org/officeDocument/2006/docPropsVTypes"/>
</file>