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7A1F3D" w:sz="12"/>
              <w:left w:val="single" w:color="7A1F3D" w:sz="12"/>
              <w:bottom w:val="single" w:color="7A1F3D" w:sz="12"/>
              <w:right w:val="single" w:color="7A1F3D" w:sz="12"/>
            </w:tcBorders>
            <w:shd w:fill="FBF1F4" w:val="clear"/>
            <w:tcMar>
              <w:top w:type="dxa" w:w="260"/>
              <w:left w:type="dxa" w:w="260"/>
              <w:bottom w:type="dxa" w:w="260"/>
              <w:right w:type="dxa" w:w="260"/>
            </w:tcMar>
          </w:tcPr>
          <w:p>
            <w:pPr>
              <w:spacing w:after="60"/>
            </w:pPr>
            <w:r>
              <w:rPr>
                <w:b/>
                <w:bCs/>
                <w:color w:val="FFFFFF"/>
                <w:sz w:val="18"/>
                <w:szCs w:val="18"/>
                <w:shd w:fill="7A1F3D" w:val="clear"/>
              </w:rPr>
              <w:t xml:space="preserve">PPK  </w:t>
            </w:r>
            <w:r>
              <w:rPr>
                <w:sz w:val="18"/>
                <w:szCs w:val="18"/>
              </w:rPr>
              <w:t xml:space="preserve">   </w:t>
            </w:r>
            <w:r>
              <w:rPr>
                <w:b/>
                <w:bCs/>
                <w:color w:val="7A1F3D"/>
                <w:sz w:val="18"/>
                <w:szCs w:val="18"/>
              </w:rPr>
              <w:t xml:space="preserve">SERI BUKU 1 — OBSTETRI GINEKOLOGI SOSIAL</w:t>
            </w:r>
          </w:p>
          <w:p>
            <w:pPr>
              <w:spacing w:after="60" w:before="100"/>
            </w:pPr>
            <w:r>
              <w:rPr>
                <w:b/>
                <w:bCs/>
                <w:color w:val="2B2B2B"/>
                <w:sz w:val="22"/>
                <w:szCs w:val="22"/>
              </w:rPr>
              <w:t xml:space="preserve">Panduan Praktik Klinis</w:t>
            </w:r>
          </w:p>
          <w:p>
            <w:pPr>
              <w:spacing w:after="200"/>
            </w:pPr>
            <w:r>
              <w:rPr>
                <w:b/>
                <w:bCs/>
                <w:color w:val="7A1F3D"/>
                <w:sz w:val="34"/>
                <w:szCs w:val="34"/>
              </w:rPr>
              <w:t xml:space="preserve">Kegawatdaruratan Obstetri dan Neonatal Dasar-Komprehensif dalam Konteks Sosial</w:t>
            </w:r>
          </w:p>
          <w:p>
            <w:pPr>
              <w:spacing w:after="40"/>
            </w:pPr>
            <w:r>
              <w:rPr>
                <w:b/>
                <w:bCs/>
                <w:sz w:val="19"/>
                <w:szCs w:val="19"/>
              </w:rPr>
              <w:t xml:space="preserve">Rumah Sakit	: </w:t>
            </w:r>
            <w:r>
              <w:rPr>
                <w:i/>
                <w:iCs/>
                <w:sz w:val="19"/>
                <w:szCs w:val="19"/>
              </w:rPr>
              <w:t xml:space="preserve">[Nama Rumah Sakit]</w:t>
            </w:r>
          </w:p>
          <w:p>
            <w:pPr>
              <w:spacing w:after="40"/>
            </w:pPr>
            <w:r>
              <w:rPr>
                <w:b/>
                <w:bCs/>
                <w:sz w:val="19"/>
                <w:szCs w:val="19"/>
              </w:rPr>
              <w:t xml:space="preserve">KSM / Departemen	: </w:t>
            </w:r>
            <w:r>
              <w:rPr>
                <w:i/>
                <w:iCs/>
                <w:sz w:val="19"/>
                <w:szCs w:val="19"/>
              </w:rPr>
              <w:t xml:space="preserve">[Nama KSM/Departemen] — Obstetri dan Ginekologi, Subspesialis Obstetri Ginekologi Sosial</w:t>
            </w:r>
          </w:p>
          <w:p>
            <w:pPr>
              <w:spacing w:after="40"/>
            </w:pPr>
            <w:r>
              <w:rPr>
                <w:b/>
                <w:bCs/>
                <w:sz w:val="19"/>
                <w:szCs w:val="19"/>
              </w:rPr>
              <w:t xml:space="preserve">Nomor Dokumen	: </w:t>
            </w:r>
            <w:r>
              <w:rPr>
                <w:i/>
                <w:iCs/>
                <w:sz w:val="19"/>
                <w:szCs w:val="19"/>
              </w:rPr>
              <w:t xml:space="preserve">[Nomor Dokumen]</w:t>
            </w:r>
            <w:r>
              <w:rPr>
                <w:b/>
                <w:bCs/>
                <w:sz w:val="19"/>
                <w:szCs w:val="19"/>
              </w:rPr>
              <w:t xml:space="preserve">     Revisi	: </w:t>
            </w:r>
            <w:r>
              <w:rPr>
                <w:i/>
                <w:iCs/>
                <w:sz w:val="19"/>
                <w:szCs w:val="19"/>
              </w:rPr>
              <w:t xml:space="preserve">[00]</w:t>
            </w:r>
          </w:p>
          <w:p>
            <w:pPr>
              <w:spacing w:after="200"/>
            </w:pPr>
            <w:r>
              <w:rPr>
                <w:b/>
                <w:bCs/>
                <w:sz w:val="19"/>
                <w:szCs w:val="19"/>
              </w:rPr>
              <w:t xml:space="preserve">Tanggal Berlaku / Tinjau Ulang	: </w:t>
            </w:r>
            <w:r>
              <w:rPr>
                <w:i/>
                <w:iCs/>
                <w:sz w:val="19"/>
                <w:szCs w:val="19"/>
              </w:rPr>
              <w:t xml:space="preserve">[Tanggal Berlaku] / [Tanggal Tinjau Ulang]</w:t>
            </w:r>
          </w:p>
          <w:p>
            <w:pPr>
              <w:pBdr>
                <w:top w:val="single" w:color="7A1F3D" w:sz="6" w:space="4"/>
              </w:pBdr>
              <w:spacing w:after="40" w:before="100"/>
            </w:pPr>
            <w:r>
              <w:rPr>
                <w:color w:val="2B2B2B"/>
                <w:sz w:val="18"/>
                <w:szCs w:val="18"/>
              </w:rPr>
              <w:t xml:space="preserve">Penulis  : Dr.dr. Budi Siswanto, Sp.OG., Subsp.Obginsos., SH., S.Kom.</w:t>
            </w:r>
          </w:p>
          <w:p>
            <w:pPr>
              <w:spacing w:after="20"/>
            </w:pPr>
            <w:r>
              <w:rPr>
                <w:color w:val="2B2B2B"/>
                <w:sz w:val="18"/>
                <w:szCs w:val="18"/>
              </w:rPr>
              <w:t xml:space="preserve">Penerbit : Perpustakaan ABBA</w:t>
            </w:r>
          </w:p>
          <w:p>
            <w:r>
              <w:rPr>
                <w:color w:val="2B2B2B"/>
                <w:sz w:val="18"/>
                <w:szCs w:val="18"/>
              </w:rPr>
              <w:t xml:space="preserve">Alamat Penerbit : Jl Danau Kerinci No 9 Malang</w:t>
            </w:r>
          </w:p>
        </w:tc>
      </w:tr>
    </w:tbl>
    <w:p>
      <w:pPr>
        <w:spacing w:after="16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7A1F3D" w:sz="4"/>
              <w:left w:val="single" w:color="7A1F3D" w:sz="4"/>
              <w:bottom w:val="single" w:color="7A1F3D" w:sz="4"/>
              <w:right w:val="single" w:color="7A1F3D" w:sz="4"/>
            </w:tcBorders>
            <w:shd w:fill="7A1F3D" w:val="clear"/>
            <w:tcMar>
              <w:top w:type="dxa" w:w="120"/>
              <w:left w:type="dxa" w:w="180"/>
              <w:bottom w:type="dxa" w:w="120"/>
              <w:right w:type="dxa" w:w="180"/>
            </w:tcMar>
          </w:tcPr>
          <w:p>
            <w:r>
              <w:rPr>
                <w:b/>
                <w:bCs/>
                <w:color w:val="FFFFFF"/>
                <w:sz w:val="24"/>
                <w:szCs w:val="24"/>
              </w:rPr>
              <w:t xml:space="preserve">1. </w:t>
            </w:r>
            <w:r>
              <w:rPr>
                <w:b/>
                <w:bCs/>
                <w:color w:val="FFFFFF"/>
                <w:sz w:val="24"/>
                <w:szCs w:val="24"/>
              </w:rPr>
              <w:t xml:space="preserve">Pengertian (Definisi)</w:t>
            </w:r>
          </w:p>
        </w:tc>
      </w:tr>
    </w:tbl>
    <w:p>
      <w:pPr>
        <w:spacing w:after="80"/>
      </w:pPr>
    </w:p>
    <w:p>
      <w:pPr>
        <w:spacing w:after="100" w:line="276"/>
      </w:pPr>
      <w:r>
        <w:rPr>
          <w:b w:val="false"/>
          <w:bCs w:val="false"/>
          <w:i w:val="false"/>
          <w:iCs w:val="false"/>
          <w:color w:val="2B2B2B"/>
          <w:sz w:val="21"/>
          <w:szCs w:val="21"/>
        </w:rPr>
        <w:t xml:space="preserve">Kegawatdaruratan obstetri dan neonatal adalah kondisi klinis pada ibu hamil, bersalin, nifas, atau bayi baru lahir yang mengancam nyawa dan/atau organ vital dalam waktu singkat, sehingga memerlukan pengenalan cepat dan tata laksana segera mengikuti prinsip PONED (Pelayanan Obstetri Neonatal Emergensi Dasar, tingkat Puskesmas/fasilitas primer) dan PONEK (Pelayanan Obstetri Neonatal Emergensi Komprehensif, tingkat rumah sakit rujukan).</w:t>
      </w:r>
    </w:p>
    <w:p>
      <w:pPr>
        <w:spacing w:after="100" w:line="276"/>
      </w:pPr>
      <w:r>
        <w:rPr>
          <w:b w:val="false"/>
          <w:bCs w:val="false"/>
          <w:i w:val="false"/>
          <w:iCs w:val="false"/>
          <w:color w:val="2B2B2B"/>
          <w:sz w:val="21"/>
          <w:szCs w:val="21"/>
        </w:rPr>
        <w:t xml:space="preserve">PPK ini adalah PPK payung yang mengintegrasikan dua jalur penanganan secara simultan dan sejajar sejak kontak pertama: (a) jalur medis standar mengikuti algoritma PONED-PONEK dengan kerangka waktu golden hour (60 menit pertama sejak kegawatan dikenali), dan (b) jalur asesmen sosial-psikologis yang dilakukan bersamaan oleh tim/petugas pendamping tanpa menunda stabilisasi medis. Kedua jalur dijalankan paralel, bukan berurutan.</w:t>
      </w:r>
    </w:p>
    <w:p>
      <w:pPr>
        <w:spacing w:after="80" w:before="120"/>
      </w:pPr>
      <w:r>
        <w:rPr>
          <w:b/>
          <w:bCs/>
          <w:color w:val="7A1F3D"/>
          <w:sz w:val="22"/>
          <w:szCs w:val="22"/>
        </w:rPr>
        <w:t xml:space="preserve">Konsep Golden Hour</w:t>
      </w:r>
    </w:p>
    <w:p>
      <w:pPr>
        <w:spacing w:after="100" w:line="276"/>
      </w:pPr>
      <w:r>
        <w:rPr>
          <w:b w:val="false"/>
          <w:bCs w:val="false"/>
          <w:i w:val="false"/>
          <w:iCs w:val="false"/>
          <w:color w:val="2B2B2B"/>
          <w:sz w:val="21"/>
          <w:szCs w:val="21"/>
        </w:rPr>
        <w:t xml:space="preserve">Golden hour dalam kegawatdaruratan obstetri-neonatal adalah rentang 60 menit pertama sejak tanda bahaya dikenali ("waktu nol"), yaitu periode dengan peluang tertinggi untuk mencegah kematian dan kecacatan permanen melalui deteksi-stabilisasi-rujukan yang tepat waktu. Keterlambatan pada tiap mata rantai "3 Terlambat" (terlambat mengenali &amp; memutuskan, terlambat mencapai fasilitas, terlambat mendapat tata laksana adekuat di fasilitas) berbanding lurus dengan peningkatan morbiditas dan mortalitas maternal-neonatal.</w:t>
      </w:r>
    </w:p>
    <w:p>
      <w:pPr>
        <w:spacing w:after="80" w:before="120"/>
      </w:pPr>
      <w:r>
        <w:rPr>
          <w:b/>
          <w:bCs/>
          <w:color w:val="7A1F3D"/>
          <w:sz w:val="22"/>
          <w:szCs w:val="22"/>
        </w:rPr>
        <w:t xml:space="preserve">Kerangka BAKSOKUDA</w:t>
      </w:r>
    </w:p>
    <w:p>
      <w:pPr>
        <w:spacing w:after="100" w:line="276"/>
      </w:pPr>
      <w:r>
        <w:rPr>
          <w:b w:val="false"/>
          <w:bCs w:val="false"/>
          <w:i w:val="false"/>
          <w:iCs w:val="false"/>
          <w:color w:val="2B2B2B"/>
          <w:sz w:val="21"/>
          <w:szCs w:val="21"/>
        </w:rPr>
        <w:t xml:space="preserve">BAKSOKUDA adalah mnemonic kesiapsiagaan rujukan berbasis keluarga dan masyarakat yang telah lama digunakan dalam pendidikan kebidanan dan program rujukan maternal-neonatal di Indonesia untuk mempercepat proses rujukan pada kegawatdaruratan obstetri, mencakup 8 unsur kesiapan berikut:</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400"/>
        <w:gridCol w:w="7238"/>
      </w:tblGrid>
      <w:tr>
        <w:trPr>
          <w:tblHeader/>
        </w:trPr>
        <w:tc>
          <w:tcPr>
            <w:tcW w:type="dxa" w:w="2400"/>
            <w:tcBorders>
              <w:top w:val="single" w:color="D9D9D9" w:sz="4"/>
              <w:left w:val="single" w:color="D9D9D9" w:sz="4"/>
              <w:bottom w:val="single" w:color="D9D9D9" w:sz="4"/>
              <w:right w:val="single" w:color="D9D9D9" w:sz="4"/>
            </w:tcBorders>
            <w:shd w:fill="7A1F3D" w:val="clear"/>
            <w:tcMar>
              <w:top w:type="dxa" w:w="80"/>
              <w:left w:type="dxa" w:w="100"/>
              <w:bottom w:type="dxa" w:w="80"/>
              <w:right w:type="dxa" w:w="100"/>
            </w:tcMar>
            <w:vAlign w:val="center"/>
          </w:tcPr>
          <w:p>
            <w:r>
              <w:rPr>
                <w:b/>
                <w:bCs/>
                <w:color w:val="FFFFFF"/>
                <w:sz w:val="19"/>
                <w:szCs w:val="19"/>
              </w:rPr>
              <w:t xml:space="preserve">Unsur</w:t>
            </w:r>
          </w:p>
        </w:tc>
        <w:tc>
          <w:tcPr>
            <w:tcW w:type="dxa" w:w="7238"/>
            <w:tcBorders>
              <w:top w:val="single" w:color="D9D9D9" w:sz="4"/>
              <w:left w:val="single" w:color="D9D9D9" w:sz="4"/>
              <w:bottom w:val="single" w:color="D9D9D9" w:sz="4"/>
              <w:right w:val="single" w:color="D9D9D9" w:sz="4"/>
            </w:tcBorders>
            <w:shd w:fill="7A1F3D" w:val="clear"/>
            <w:tcMar>
              <w:top w:type="dxa" w:w="80"/>
              <w:left w:type="dxa" w:w="100"/>
              <w:bottom w:type="dxa" w:w="80"/>
              <w:right w:type="dxa" w:w="100"/>
            </w:tcMar>
            <w:vAlign w:val="center"/>
          </w:tcPr>
          <w:p>
            <w:r>
              <w:rPr>
                <w:b/>
                <w:bCs/>
                <w:color w:val="FFFFFF"/>
                <w:sz w:val="19"/>
                <w:szCs w:val="19"/>
              </w:rPr>
              <w:t xml:space="preserve">Isi Kesiapan</w:t>
            </w:r>
          </w:p>
        </w:tc>
      </w:tr>
      <w:tr>
        <w:tc>
          <w:tcPr>
            <w:tcW w:type="dxa" w:w="2400"/>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Bidan</w:t>
            </w:r>
          </w:p>
        </w:tc>
        <w:tc>
          <w:tcPr>
            <w:tcW w:type="dxa" w:w="7238"/>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Pastikan ibu/bayi didampingi penolong persalinan yang kompeten dan mampu menatalaksana kegawatdaruratan selama perjalanan rujukan</w:t>
            </w:r>
          </w:p>
        </w:tc>
      </w:tr>
      <w:tr>
        <w:tc>
          <w:tcPr>
            <w:tcW w:type="dxa" w:w="2400"/>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Alat</w:t>
            </w:r>
          </w:p>
        </w:tc>
        <w:tc>
          <w:tcPr>
            <w:tcW w:type="dxa" w:w="7238"/>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Bawa perlengkapan &amp; bahan yang diperlukan (spuit, infus set, tensimeter, stetoskop, oksigen, dan lain-lain)</w:t>
            </w:r>
          </w:p>
        </w:tc>
      </w:tr>
      <w:tr>
        <w:tc>
          <w:tcPr>
            <w:tcW w:type="dxa" w:w="2400"/>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Keluarga</w:t>
            </w:r>
          </w:p>
        </w:tc>
        <w:tc>
          <w:tcPr>
            <w:tcW w:type="dxa" w:w="7238"/>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Informasikan kondisi ibu/bayi dan alasan rujukan kepada keluarga; pastikan pendamping menyertai selama rujukan</w:t>
            </w:r>
          </w:p>
        </w:tc>
      </w:tr>
      <w:tr>
        <w:tc>
          <w:tcPr>
            <w:tcW w:type="dxa" w:w="2400"/>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Surat</w:t>
            </w:r>
          </w:p>
        </w:tc>
        <w:tc>
          <w:tcPr>
            <w:tcW w:type="dxa" w:w="7238"/>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Surat rujukan berisi identifikasi pasien, alasan rujuk, dan uraian asuhan/obat yang telah diberikan</w:t>
            </w:r>
          </w:p>
        </w:tc>
      </w:tr>
      <w:tr>
        <w:tc>
          <w:tcPr>
            <w:tcW w:type="dxa" w:w="2400"/>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Obat</w:t>
            </w:r>
          </w:p>
        </w:tc>
        <w:tc>
          <w:tcPr>
            <w:tcW w:type="dxa" w:w="7238"/>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Bawa obat-obat esensial yang diperlukan selama perjalanan merujuk</w:t>
            </w:r>
          </w:p>
        </w:tc>
      </w:tr>
      <w:tr>
        <w:tc>
          <w:tcPr>
            <w:tcW w:type="dxa" w:w="2400"/>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Kendaraan</w:t>
            </w:r>
          </w:p>
        </w:tc>
        <w:tc>
          <w:tcPr>
            <w:tcW w:type="dxa" w:w="7238"/>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Siapkan kendaraan yang layak agar pasien nyaman dan tempat rujukan dapat dicapai secepatnya</w:t>
            </w:r>
          </w:p>
        </w:tc>
      </w:tr>
      <w:tr>
        <w:tc>
          <w:tcPr>
            <w:tcW w:type="dxa" w:w="2400"/>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Uang</w:t>
            </w:r>
          </w:p>
        </w:tc>
        <w:tc>
          <w:tcPr>
            <w:tcW w:type="dxa" w:w="7238"/>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Pastikan keluarga menyiapkan dana/jaminan kesehatan untuk keperluan rujukan</w:t>
            </w:r>
          </w:p>
        </w:tc>
      </w:tr>
      <w:tr>
        <w:tc>
          <w:tcPr>
            <w:tcW w:type="dxa" w:w="2400"/>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Darah</w:t>
            </w:r>
          </w:p>
        </w:tc>
        <w:tc>
          <w:tcPr>
            <w:tcW w:type="dxa" w:w="7238"/>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Identifikasi ketersediaan donor darah/golongan darah calon donor sebelum keberangkatan</w:t>
            </w:r>
          </w:p>
        </w:tc>
      </w:tr>
    </w:tbl>
    <w:p>
      <w:pPr>
        <w:spacing w:after="120"/>
      </w:pPr>
    </w:p>
    <w:p>
      <w:pPr>
        <w:spacing w:after="100" w:line="276"/>
      </w:pPr>
      <w:r>
        <w:rPr>
          <w:b w:val="false"/>
          <w:bCs w:val="false"/>
          <w:i w:val="false"/>
          <w:iCs w:val="false"/>
          <w:color w:val="2B2B2B"/>
          <w:sz w:val="21"/>
          <w:szCs w:val="21"/>
        </w:rPr>
        <w:t xml:space="preserve">Prinsip PPK ini: setiap unsur BAKSOKUDA di atas WAJIB diperiksa bersamaan dengan asesmen sosial-psikologis (skrining kekerasan, dukungan keluarga, status jaminan kesehatan, riwayat akses layanan sebelumnya), sehingga hambatan non-medis dapat diintervensi tanpa menunggu proses medis selesai.</w:t>
      </w:r>
    </w:p>
    <w:p>
      <w:pPr>
        <w:spacing w:after="80" w:before="120"/>
      </w:pPr>
      <w:r>
        <w:rPr>
          <w:b/>
          <w:bCs/>
          <w:color w:val="7A1F3D"/>
          <w:sz w:val="22"/>
          <w:szCs w:val="22"/>
        </w:rPr>
        <w:t xml:space="preserve">Kerangka Maternal Near-Miss (Relevansi untuk Subspesialisasi Obstetri Ginekologi Sosial)</w:t>
      </w:r>
    </w:p>
    <w:p>
      <w:pPr>
        <w:spacing w:after="100" w:line="276"/>
      </w:pPr>
      <w:r>
        <w:rPr>
          <w:b w:val="false"/>
          <w:bCs w:val="false"/>
          <w:i w:val="false"/>
          <w:iCs w:val="false"/>
          <w:color w:val="2B2B2B"/>
          <w:sz w:val="21"/>
          <w:szCs w:val="21"/>
        </w:rPr>
        <w:t xml:space="preserve">Pendekatan near-miss maternal WHO memandang kematian dan kesakitan ibu sebagai satu rangkaian (continuum): sehat → morbiditas → morbiditas berat/near-miss → kematian. Kerangka ini relevan bagi subspesialisasi Obstetri Ginekologi Sosial karena menempatkan determinan sosial (akses, biaya, dukungan keluarga, kesenjangan wilayah) sebagai bagian integral dari analisis setiap kejadian kegawatdaruratan, bukan sekadar catatan tambahan pada rekam medis klinis, dan menjadi dasar audit maternal perinatal rumah sakit.</w:t>
      </w:r>
    </w:p>
    <w:p>
      <w:pPr>
        <w:spacing w:after="6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7A1F3D" w:sz="4"/>
              <w:left w:val="single" w:color="7A1F3D" w:sz="4"/>
              <w:bottom w:val="single" w:color="7A1F3D" w:sz="4"/>
              <w:right w:val="single" w:color="7A1F3D" w:sz="4"/>
            </w:tcBorders>
            <w:shd w:fill="7A1F3D" w:val="clear"/>
            <w:tcMar>
              <w:top w:type="dxa" w:w="120"/>
              <w:left w:type="dxa" w:w="180"/>
              <w:bottom w:type="dxa" w:w="120"/>
              <w:right w:type="dxa" w:w="180"/>
            </w:tcMar>
          </w:tcPr>
          <w:p>
            <w:r>
              <w:rPr>
                <w:b/>
                <w:bCs/>
                <w:color w:val="FFFFFF"/>
                <w:sz w:val="24"/>
                <w:szCs w:val="24"/>
              </w:rPr>
              <w:t xml:space="preserve">2. </w:t>
            </w:r>
            <w:r>
              <w:rPr>
                <w:b/>
                <w:bCs/>
                <w:color w:val="FFFFFF"/>
                <w:sz w:val="24"/>
                <w:szCs w:val="24"/>
              </w:rPr>
              <w:t xml:space="preserve">Anamnesis</w:t>
            </w:r>
          </w:p>
        </w:tc>
      </w:tr>
    </w:tbl>
    <w:p>
      <w:pPr>
        <w:spacing w:after="80"/>
      </w:pPr>
    </w:p>
    <w:p>
      <w:pPr>
        <w:spacing w:after="80" w:before="120"/>
      </w:pPr>
      <w:r>
        <w:rPr>
          <w:b/>
          <w:bCs/>
          <w:color w:val="7A1F3D"/>
          <w:sz w:val="22"/>
          <w:szCs w:val="22"/>
        </w:rPr>
        <w:t xml:space="preserve">Anamnesis Medis Terarah (Cepat, ≤ 2 menit)</w:t>
      </w:r>
    </w:p>
    <w:p>
      <w:pPr>
        <w:pStyle w:val="ListParagraph"/>
        <w:numPr>
          <w:ilvl w:val="0"/>
          <w:numId w:val="1"/>
        </w:numPr>
        <w:spacing w:after="60" w:line="264"/>
      </w:pPr>
      <w:r>
        <w:rPr>
          <w:b w:val="false"/>
          <w:bCs w:val="false"/>
          <w:color w:val="2B2B2B"/>
          <w:sz w:val="21"/>
          <w:szCs w:val="21"/>
        </w:rPr>
        <w:t xml:space="preserve">Identitas, usia kehamilan (HPHT/USIA terkini), status paritas (G_P_A_).</w:t>
      </w:r>
    </w:p>
    <w:p>
      <w:pPr>
        <w:pStyle w:val="ListParagraph"/>
        <w:numPr>
          <w:ilvl w:val="0"/>
          <w:numId w:val="1"/>
        </w:numPr>
        <w:spacing w:after="60" w:line="264"/>
      </w:pPr>
      <w:r>
        <w:rPr>
          <w:b w:val="false"/>
          <w:bCs w:val="false"/>
          <w:color w:val="2B2B2B"/>
          <w:sz w:val="21"/>
          <w:szCs w:val="21"/>
        </w:rPr>
        <w:t xml:space="preserve">Keluhan utama kegawatan: perdarahan pervaginam (jumlah, warna, gumpalan), nyeri perut hebat, kejang, penglihatan kabur/nyeri kepala hebat, sesak napas mendadak, demam tinggi menggigil, gerakan janin berkurang/menghilang, ketuban pecah dengan cairan berbau/berwarna hijau.</w:t>
      </w:r>
    </w:p>
    <w:p>
      <w:pPr>
        <w:pStyle w:val="ListParagraph"/>
        <w:numPr>
          <w:ilvl w:val="0"/>
          <w:numId w:val="1"/>
        </w:numPr>
        <w:spacing w:after="60" w:line="264"/>
      </w:pPr>
      <w:r>
        <w:rPr>
          <w:b w:val="false"/>
          <w:bCs w:val="false"/>
          <w:color w:val="2B2B2B"/>
          <w:sz w:val="21"/>
          <w:szCs w:val="21"/>
        </w:rPr>
        <w:t xml:space="preserve">Riwayat obstetri: kehamilan/persalinan sebelumnya, riwayat seksio sesarea, riwayat perdarahan pascasalin, riwayat preeklampsia/eklampsia.</w:t>
      </w:r>
    </w:p>
    <w:p>
      <w:pPr>
        <w:pStyle w:val="ListParagraph"/>
        <w:numPr>
          <w:ilvl w:val="0"/>
          <w:numId w:val="1"/>
        </w:numPr>
        <w:spacing w:after="60" w:line="264"/>
      </w:pPr>
      <w:r>
        <w:rPr>
          <w:b w:val="false"/>
          <w:bCs w:val="false"/>
          <w:color w:val="2B2B2B"/>
          <w:sz w:val="21"/>
          <w:szCs w:val="21"/>
        </w:rPr>
        <w:t xml:space="preserve">Riwayat penyakit penyerta: hipertensi, diabetes, penyakit jantung, gangguan koagulasi.</w:t>
      </w:r>
    </w:p>
    <w:p>
      <w:pPr>
        <w:pStyle w:val="ListParagraph"/>
        <w:numPr>
          <w:ilvl w:val="0"/>
          <w:numId w:val="1"/>
        </w:numPr>
        <w:spacing w:after="60" w:line="264"/>
      </w:pPr>
      <w:r>
        <w:rPr>
          <w:b w:val="false"/>
          <w:bCs w:val="false"/>
          <w:color w:val="2B2B2B"/>
          <w:sz w:val="21"/>
          <w:szCs w:val="21"/>
        </w:rPr>
        <w:t xml:space="preserve">Jika bayi telah lahir: usia gestasi saat lahir, cara lahir, kondisi saat lahir (menangis/tidak, warna kulit, tonus).</w:t>
      </w:r>
    </w:p>
    <w:p>
      <w:pPr>
        <w:spacing w:after="80" w:before="120"/>
      </w:pPr>
      <w:r>
        <w:rPr>
          <w:b/>
          <w:bCs/>
          <w:color w:val="7A1F3D"/>
          <w:sz w:val="22"/>
          <w:szCs w:val="22"/>
        </w:rPr>
        <w:t xml:space="preserve">Anamnesis Sosial-Psikologis (Dilakukan Simultan, Bukan Menunda Stabilisasi)</w:t>
      </w:r>
    </w:p>
    <w:p>
      <w:pPr>
        <w:pStyle w:val="ListParagraph"/>
        <w:numPr>
          <w:ilvl w:val="0"/>
          <w:numId w:val="1"/>
        </w:numPr>
        <w:spacing w:after="60" w:line="264"/>
      </w:pPr>
      <w:r>
        <w:rPr>
          <w:b w:val="false"/>
          <w:bCs w:val="false"/>
          <w:color w:val="2B2B2B"/>
          <w:sz w:val="21"/>
          <w:szCs w:val="21"/>
        </w:rPr>
        <w:t xml:space="preserve">Skrining kekerasan dalam rumah tangga/kekerasan seksual dengan pertanyaan tertutup, nonjudgmental, dan privat (tanpa kehadiran pasangan bila dicurigai pelaku).</w:t>
      </w:r>
    </w:p>
    <w:p>
      <w:pPr>
        <w:pStyle w:val="ListParagraph"/>
        <w:numPr>
          <w:ilvl w:val="0"/>
          <w:numId w:val="1"/>
        </w:numPr>
        <w:spacing w:after="60" w:line="264"/>
      </w:pPr>
      <w:r>
        <w:rPr>
          <w:b w:val="false"/>
          <w:bCs w:val="false"/>
          <w:color w:val="2B2B2B"/>
          <w:sz w:val="21"/>
          <w:szCs w:val="21"/>
        </w:rPr>
        <w:t xml:space="preserve">Ketersediaan dukungan keluarga/pendamping pengambil keputusan darurat.</w:t>
      </w:r>
    </w:p>
    <w:p>
      <w:pPr>
        <w:pStyle w:val="ListParagraph"/>
        <w:numPr>
          <w:ilvl w:val="0"/>
          <w:numId w:val="1"/>
        </w:numPr>
        <w:spacing w:after="60" w:line="264"/>
      </w:pPr>
      <w:r>
        <w:rPr>
          <w:b w:val="false"/>
          <w:bCs w:val="false"/>
          <w:color w:val="2B2B2B"/>
          <w:sz w:val="21"/>
          <w:szCs w:val="21"/>
        </w:rPr>
        <w:t xml:space="preserve">Status jaminan kesehatan (BPJS/Jampersal/umum) dan hambatan biaya/transportasi.</w:t>
      </w:r>
    </w:p>
    <w:p>
      <w:pPr>
        <w:pStyle w:val="ListParagraph"/>
        <w:numPr>
          <w:ilvl w:val="0"/>
          <w:numId w:val="1"/>
        </w:numPr>
        <w:spacing w:after="60" w:line="264"/>
      </w:pPr>
      <w:r>
        <w:rPr>
          <w:b w:val="false"/>
          <w:bCs w:val="false"/>
          <w:color w:val="2B2B2B"/>
          <w:sz w:val="21"/>
          <w:szCs w:val="21"/>
        </w:rPr>
        <w:t xml:space="preserve">Riwayat keterlambatan akses layanan sebelumnya ("3 Terlambat") dan alasan yang mendasari.</w:t>
      </w:r>
    </w:p>
    <w:p>
      <w:pPr>
        <w:pStyle w:val="ListParagraph"/>
        <w:numPr>
          <w:ilvl w:val="0"/>
          <w:numId w:val="1"/>
        </w:numPr>
        <w:spacing w:after="60" w:line="264"/>
      </w:pPr>
      <w:r>
        <w:rPr>
          <w:b w:val="false"/>
          <w:bCs w:val="false"/>
          <w:color w:val="2B2B2B"/>
          <w:sz w:val="21"/>
          <w:szCs w:val="21"/>
        </w:rPr>
        <w:t xml:space="preserve">Kondisi kehamilan tidak diinginkan (KTD) atau tekanan psikososial lain yang relevan dengan pengambilan keputusan klinis.</w:t>
      </w:r>
    </w:p>
    <w:p>
      <w:pPr>
        <w:spacing w:after="100" w:line="276"/>
      </w:pPr>
      <w:r>
        <w:rPr>
          <w:b w:val="false"/>
          <w:bCs w:val="false"/>
          <w:i w:val="false"/>
          <w:iCs w:val="false"/>
          <w:color w:val="2B2B2B"/>
          <w:sz w:val="21"/>
          <w:szCs w:val="21"/>
        </w:rPr>
        <w:t xml:space="preserve">Catatan: seluruh butir anamnesis sosial di atas dicatat dalam rekam medis terpisah dari bagian yang dapat diakses umum, sesuai prinsip kerahasiaan pada Bagian Tata Laksana — Aspek Etikolegal dan Kerahasiaan.</w:t>
      </w:r>
    </w:p>
    <w:p>
      <w:pPr>
        <w:spacing w:after="6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7A1F3D" w:sz="4"/>
              <w:left w:val="single" w:color="7A1F3D" w:sz="4"/>
              <w:bottom w:val="single" w:color="7A1F3D" w:sz="4"/>
              <w:right w:val="single" w:color="7A1F3D" w:sz="4"/>
            </w:tcBorders>
            <w:shd w:fill="7A1F3D" w:val="clear"/>
            <w:tcMar>
              <w:top w:type="dxa" w:w="120"/>
              <w:left w:type="dxa" w:w="180"/>
              <w:bottom w:type="dxa" w:w="120"/>
              <w:right w:type="dxa" w:w="180"/>
            </w:tcMar>
          </w:tcPr>
          <w:p>
            <w:r>
              <w:rPr>
                <w:b/>
                <w:bCs/>
                <w:color w:val="FFFFFF"/>
                <w:sz w:val="24"/>
                <w:szCs w:val="24"/>
              </w:rPr>
              <w:t xml:space="preserve">3. </w:t>
            </w:r>
            <w:r>
              <w:rPr>
                <w:b/>
                <w:bCs/>
                <w:color w:val="FFFFFF"/>
                <w:sz w:val="24"/>
                <w:szCs w:val="24"/>
              </w:rPr>
              <w:t xml:space="preserve">Pemeriksaan Fisik</w:t>
            </w:r>
          </w:p>
        </w:tc>
      </w:tr>
    </w:tbl>
    <w:p>
      <w:pPr>
        <w:spacing w:after="80"/>
      </w:pPr>
    </w:p>
    <w:p>
      <w:pPr>
        <w:spacing w:after="80" w:before="120"/>
      </w:pPr>
      <w:r>
        <w:rPr>
          <w:b/>
          <w:bCs/>
          <w:color w:val="7A1F3D"/>
          <w:sz w:val="22"/>
          <w:szCs w:val="22"/>
        </w:rPr>
        <w:t xml:space="preserve">Primary Survey Maternal (ABCDE)</w:t>
      </w:r>
    </w:p>
    <w:p>
      <w:pPr>
        <w:pStyle w:val="ListParagraph"/>
        <w:numPr>
          <w:ilvl w:val="0"/>
          <w:numId w:val="1"/>
        </w:numPr>
        <w:spacing w:after="60" w:line="264"/>
      </w:pPr>
      <w:r>
        <w:rPr>
          <w:b w:val="false"/>
          <w:bCs w:val="false"/>
          <w:color w:val="2B2B2B"/>
          <w:sz w:val="21"/>
          <w:szCs w:val="21"/>
        </w:rPr>
        <w:t xml:space="preserve">Airway: kepatenan jalan napas, tanda obstruksi.</w:t>
      </w:r>
    </w:p>
    <w:p>
      <w:pPr>
        <w:pStyle w:val="ListParagraph"/>
        <w:numPr>
          <w:ilvl w:val="0"/>
          <w:numId w:val="1"/>
        </w:numPr>
        <w:spacing w:after="60" w:line="264"/>
      </w:pPr>
      <w:r>
        <w:rPr>
          <w:b w:val="false"/>
          <w:bCs w:val="false"/>
          <w:color w:val="2B2B2B"/>
          <w:sz w:val="21"/>
          <w:szCs w:val="21"/>
        </w:rPr>
        <w:t xml:space="preserve">Breathing: frekuensi napas, saturasi oksigen, tanda edema paru/sesak akut.</w:t>
      </w:r>
    </w:p>
    <w:p>
      <w:pPr>
        <w:pStyle w:val="ListParagraph"/>
        <w:numPr>
          <w:ilvl w:val="0"/>
          <w:numId w:val="1"/>
        </w:numPr>
        <w:spacing w:after="60" w:line="264"/>
      </w:pPr>
      <w:r>
        <w:rPr>
          <w:b w:val="false"/>
          <w:bCs w:val="false"/>
          <w:color w:val="2B2B2B"/>
          <w:sz w:val="21"/>
          <w:szCs w:val="21"/>
        </w:rPr>
        <w:t xml:space="preserve">Circulation: tekanan darah, nadi, akral, tanda syok (CRT, pucat, dingin), estimasi jumlah perdarahan.</w:t>
      </w:r>
    </w:p>
    <w:p>
      <w:pPr>
        <w:pStyle w:val="ListParagraph"/>
        <w:numPr>
          <w:ilvl w:val="0"/>
          <w:numId w:val="1"/>
        </w:numPr>
        <w:spacing w:after="60" w:line="264"/>
      </w:pPr>
      <w:r>
        <w:rPr>
          <w:b w:val="false"/>
          <w:bCs w:val="false"/>
          <w:color w:val="2B2B2B"/>
          <w:sz w:val="21"/>
          <w:szCs w:val="21"/>
        </w:rPr>
        <w:t xml:space="preserve">Disability: tingkat kesadaran (GCS), refleks patologis, tanda kejang/pasca-kejang.</w:t>
      </w:r>
    </w:p>
    <w:p>
      <w:pPr>
        <w:pStyle w:val="ListParagraph"/>
        <w:numPr>
          <w:ilvl w:val="0"/>
          <w:numId w:val="1"/>
        </w:numPr>
        <w:spacing w:after="60" w:line="264"/>
      </w:pPr>
      <w:r>
        <w:rPr>
          <w:b w:val="false"/>
          <w:bCs w:val="false"/>
          <w:color w:val="2B2B2B"/>
          <w:sz w:val="21"/>
          <w:szCs w:val="21"/>
        </w:rPr>
        <w:t xml:space="preserve">Exposure: suhu tubuh, tanda perdarahan tersembunyi, luka/tanda kekerasan fisik bila ada.</w:t>
      </w:r>
    </w:p>
    <w:p>
      <w:pPr>
        <w:spacing w:after="80" w:before="120"/>
      </w:pPr>
      <w:r>
        <w:rPr>
          <w:b/>
          <w:bCs/>
          <w:color w:val="7A1F3D"/>
          <w:sz w:val="22"/>
          <w:szCs w:val="22"/>
        </w:rPr>
        <w:t xml:space="preserve">Pemeriksaan Obstetri</w:t>
      </w:r>
    </w:p>
    <w:p>
      <w:pPr>
        <w:pStyle w:val="ListParagraph"/>
        <w:numPr>
          <w:ilvl w:val="0"/>
          <w:numId w:val="1"/>
        </w:numPr>
        <w:spacing w:after="60" w:line="264"/>
      </w:pPr>
      <w:r>
        <w:rPr>
          <w:b w:val="false"/>
          <w:bCs w:val="false"/>
          <w:color w:val="2B2B2B"/>
          <w:sz w:val="21"/>
          <w:szCs w:val="21"/>
        </w:rPr>
        <w:t xml:space="preserve">Tinggi fundus uteri (TFU), tonus uterus, nyeri tekan uterus, kontraksi (frekuensi, durasi, kekuatan).</w:t>
      </w:r>
    </w:p>
    <w:p>
      <w:pPr>
        <w:pStyle w:val="ListParagraph"/>
        <w:numPr>
          <w:ilvl w:val="0"/>
          <w:numId w:val="1"/>
        </w:numPr>
        <w:spacing w:after="60" w:line="264"/>
      </w:pPr>
      <w:r>
        <w:rPr>
          <w:b w:val="false"/>
          <w:bCs w:val="false"/>
          <w:color w:val="2B2B2B"/>
          <w:sz w:val="21"/>
          <w:szCs w:val="21"/>
        </w:rPr>
        <w:t xml:space="preserve">Denyut jantung janin (DJJ) — auskultasi atau kardiotokografi (CTG) bila tersedia.</w:t>
      </w:r>
    </w:p>
    <w:p>
      <w:pPr>
        <w:pStyle w:val="ListParagraph"/>
        <w:numPr>
          <w:ilvl w:val="0"/>
          <w:numId w:val="1"/>
        </w:numPr>
        <w:spacing w:after="60" w:line="264"/>
      </w:pPr>
      <w:r>
        <w:rPr>
          <w:b w:val="false"/>
          <w:bCs w:val="false"/>
          <w:color w:val="2B2B2B"/>
          <w:sz w:val="21"/>
          <w:szCs w:val="21"/>
        </w:rPr>
        <w:t xml:space="preserve">Inspeksi genitalia eksterna: jumlah dan sifat perdarahan, tanda ruptur perineum/serviks/vagina, tanda trauma non-obstetrik.</w:t>
      </w:r>
    </w:p>
    <w:p>
      <w:pPr>
        <w:pStyle w:val="ListParagraph"/>
        <w:numPr>
          <w:ilvl w:val="0"/>
          <w:numId w:val="1"/>
        </w:numPr>
        <w:spacing w:after="60" w:line="264"/>
      </w:pPr>
      <w:r>
        <w:rPr>
          <w:b w:val="false"/>
          <w:bCs w:val="false"/>
          <w:color w:val="2B2B2B"/>
          <w:sz w:val="21"/>
          <w:szCs w:val="21"/>
        </w:rPr>
        <w:t xml:space="preserve">Pemeriksaan dalam (bila indikasi &amp; tidak kontraindikasi, misalnya bukan pada perdarahan antepartum yang belum dipastikan bukan plasenta previa): pembukaan, penipisan serviks, penurunan bagian terbawah janin, selaput ketuban.</w:t>
      </w:r>
    </w:p>
    <w:p>
      <w:pPr>
        <w:spacing w:after="80" w:before="120"/>
      </w:pPr>
      <w:r>
        <w:rPr>
          <w:b/>
          <w:bCs/>
          <w:color w:val="7A1F3D"/>
          <w:sz w:val="22"/>
          <w:szCs w:val="22"/>
        </w:rPr>
        <w:t xml:space="preserve">Pemeriksaan Neonatal (Bila Bayi Telah Lahir)</w:t>
      </w:r>
    </w:p>
    <w:p>
      <w:pPr>
        <w:pStyle w:val="ListParagraph"/>
        <w:numPr>
          <w:ilvl w:val="0"/>
          <w:numId w:val="1"/>
        </w:numPr>
        <w:spacing w:after="60" w:line="264"/>
      </w:pPr>
      <w:r>
        <w:rPr>
          <w:b w:val="false"/>
          <w:bCs w:val="false"/>
          <w:color w:val="2B2B2B"/>
          <w:sz w:val="21"/>
          <w:szCs w:val="21"/>
        </w:rPr>
        <w:t xml:space="preserve">Penilaian APGAR menit ke-1 dan ke-5 (frekuensi jantung, usaha napas, tonus otot, refleks, warna kulit).</w:t>
      </w:r>
    </w:p>
    <w:p>
      <w:pPr>
        <w:pStyle w:val="ListParagraph"/>
        <w:numPr>
          <w:ilvl w:val="0"/>
          <w:numId w:val="1"/>
        </w:numPr>
        <w:spacing w:after="60" w:line="264"/>
      </w:pPr>
      <w:r>
        <w:rPr>
          <w:b w:val="false"/>
          <w:bCs w:val="false"/>
          <w:color w:val="2B2B2B"/>
          <w:sz w:val="21"/>
          <w:szCs w:val="21"/>
        </w:rPr>
        <w:t xml:space="preserve">Tanda asfiksia: tidak menangis/napas megap-megap, tonus lemah, sianosis sentral.</w:t>
      </w:r>
    </w:p>
    <w:p>
      <w:pPr>
        <w:pStyle w:val="ListParagraph"/>
        <w:numPr>
          <w:ilvl w:val="0"/>
          <w:numId w:val="1"/>
        </w:numPr>
        <w:spacing w:after="60" w:line="264"/>
      </w:pPr>
      <w:r>
        <w:rPr>
          <w:b w:val="false"/>
          <w:bCs w:val="false"/>
          <w:color w:val="2B2B2B"/>
          <w:sz w:val="21"/>
          <w:szCs w:val="21"/>
        </w:rPr>
        <w:t xml:space="preserve">Suhu tubuh bayi, berat lahir, tanda malformasi mayor yang tampak.</w:t>
      </w:r>
    </w:p>
    <w:p>
      <w:pPr>
        <w:spacing w:after="6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7A1F3D" w:sz="4"/>
              <w:left w:val="single" w:color="7A1F3D" w:sz="4"/>
              <w:bottom w:val="single" w:color="7A1F3D" w:sz="4"/>
              <w:right w:val="single" w:color="7A1F3D" w:sz="4"/>
            </w:tcBorders>
            <w:shd w:fill="7A1F3D" w:val="clear"/>
            <w:tcMar>
              <w:top w:type="dxa" w:w="120"/>
              <w:left w:type="dxa" w:w="180"/>
              <w:bottom w:type="dxa" w:w="120"/>
              <w:right w:type="dxa" w:w="180"/>
            </w:tcMar>
          </w:tcPr>
          <w:p>
            <w:r>
              <w:rPr>
                <w:b/>
                <w:bCs/>
                <w:color w:val="FFFFFF"/>
                <w:sz w:val="24"/>
                <w:szCs w:val="24"/>
              </w:rPr>
              <w:t xml:space="preserve">4. </w:t>
            </w:r>
            <w:r>
              <w:rPr>
                <w:b/>
                <w:bCs/>
                <w:color w:val="FFFFFF"/>
                <w:sz w:val="24"/>
                <w:szCs w:val="24"/>
              </w:rPr>
              <w:t xml:space="preserve">Kriteria Diagnosis</w:t>
            </w:r>
          </w:p>
        </w:tc>
      </w:tr>
    </w:tbl>
    <w:p>
      <w:pPr>
        <w:spacing w:after="80"/>
      </w:pPr>
    </w:p>
    <w:p>
      <w:pPr>
        <w:spacing w:after="100" w:line="276"/>
      </w:pPr>
      <w:r>
        <w:rPr>
          <w:b w:val="false"/>
          <w:bCs w:val="false"/>
          <w:i w:val="false"/>
          <w:iCs w:val="false"/>
          <w:color w:val="2B2B2B"/>
          <w:sz w:val="21"/>
          <w:szCs w:val="21"/>
        </w:rPr>
        <w:t xml:space="preserve">Kriteria diagnosis kegawatdaruratan ditegakkan berdasarkan kombinasi tanda vital abnormal, temuan obstetri akut, dan skor peringatan dini obstetri (Obstetric Early Warning Score/OEWS) yang dirancang dan divalidasi secara statistik oleh Carle dkk. (2013), pengembangan dari Modified Early Obstetric Warning System (MEOWS) yang sebelumnya direkomendasikan CEMACH/Singh dkk. (2012). Aggregate skor ≥4,5 berkorelasi dengan kebutuhan admisi unit rawat kritis obstetri, ≥5,5 dengan near-miss, dan ≥8,5 dengan mortalitas maternal pada studi validasi (Gupta dkk., 2023).</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400"/>
        <w:gridCol w:w="2200"/>
        <w:gridCol w:w="1900"/>
        <w:gridCol w:w="2138"/>
      </w:tblGrid>
      <w:tr>
        <w:trPr>
          <w:tblHeader/>
        </w:trPr>
        <w:tc>
          <w:tcPr>
            <w:tcW w:type="dxa" w:w="3400"/>
            <w:tcBorders>
              <w:top w:val="single" w:color="D9D9D9" w:sz="4"/>
              <w:left w:val="single" w:color="D9D9D9" w:sz="4"/>
              <w:bottom w:val="single" w:color="D9D9D9" w:sz="4"/>
              <w:right w:val="single" w:color="D9D9D9" w:sz="4"/>
            </w:tcBorders>
            <w:shd w:fill="7A1F3D" w:val="clear"/>
            <w:tcMar>
              <w:top w:type="dxa" w:w="80"/>
              <w:left w:type="dxa" w:w="100"/>
              <w:bottom w:type="dxa" w:w="80"/>
              <w:right w:type="dxa" w:w="100"/>
            </w:tcMar>
            <w:vAlign w:val="center"/>
          </w:tcPr>
          <w:p>
            <w:r>
              <w:rPr>
                <w:b/>
                <w:bCs/>
                <w:color w:val="FFFFFF"/>
                <w:sz w:val="19"/>
                <w:szCs w:val="19"/>
              </w:rPr>
              <w:t xml:space="preserve">Parameter</w:t>
            </w:r>
          </w:p>
        </w:tc>
        <w:tc>
          <w:tcPr>
            <w:tcW w:type="dxa" w:w="2200"/>
            <w:tcBorders>
              <w:top w:val="single" w:color="D9D9D9" w:sz="4"/>
              <w:left w:val="single" w:color="D9D9D9" w:sz="4"/>
              <w:bottom w:val="single" w:color="D9D9D9" w:sz="4"/>
              <w:right w:val="single" w:color="D9D9D9" w:sz="4"/>
            </w:tcBorders>
            <w:shd w:fill="7A1F3D" w:val="clear"/>
            <w:tcMar>
              <w:top w:type="dxa" w:w="80"/>
              <w:left w:type="dxa" w:w="100"/>
              <w:bottom w:type="dxa" w:w="80"/>
              <w:right w:type="dxa" w:w="100"/>
            </w:tcMar>
            <w:vAlign w:val="center"/>
          </w:tcPr>
          <w:p>
            <w:r>
              <w:rPr>
                <w:b/>
                <w:bCs/>
                <w:color w:val="FFFFFF"/>
                <w:sz w:val="19"/>
                <w:szCs w:val="19"/>
              </w:rPr>
              <w:t xml:space="preserve">Skor 1</w:t>
            </w:r>
          </w:p>
        </w:tc>
        <w:tc>
          <w:tcPr>
            <w:tcW w:type="dxa" w:w="1900"/>
            <w:tcBorders>
              <w:top w:val="single" w:color="D9D9D9" w:sz="4"/>
              <w:left w:val="single" w:color="D9D9D9" w:sz="4"/>
              <w:bottom w:val="single" w:color="D9D9D9" w:sz="4"/>
              <w:right w:val="single" w:color="D9D9D9" w:sz="4"/>
            </w:tcBorders>
            <w:shd w:fill="7A1F3D" w:val="clear"/>
            <w:tcMar>
              <w:top w:type="dxa" w:w="80"/>
              <w:left w:type="dxa" w:w="100"/>
              <w:bottom w:type="dxa" w:w="80"/>
              <w:right w:type="dxa" w:w="100"/>
            </w:tcMar>
            <w:vAlign w:val="center"/>
          </w:tcPr>
          <w:p>
            <w:r>
              <w:rPr>
                <w:b/>
                <w:bCs/>
                <w:color w:val="FFFFFF"/>
                <w:sz w:val="19"/>
                <w:szCs w:val="19"/>
              </w:rPr>
              <w:t xml:space="preserve">Skor 2</w:t>
            </w:r>
          </w:p>
        </w:tc>
        <w:tc>
          <w:tcPr>
            <w:tcW w:type="dxa" w:w="2138"/>
            <w:tcBorders>
              <w:top w:val="single" w:color="D9D9D9" w:sz="4"/>
              <w:left w:val="single" w:color="D9D9D9" w:sz="4"/>
              <w:bottom w:val="single" w:color="D9D9D9" w:sz="4"/>
              <w:right w:val="single" w:color="D9D9D9" w:sz="4"/>
            </w:tcBorders>
            <w:shd w:fill="7A1F3D" w:val="clear"/>
            <w:tcMar>
              <w:top w:type="dxa" w:w="80"/>
              <w:left w:type="dxa" w:w="100"/>
              <w:bottom w:type="dxa" w:w="80"/>
              <w:right w:type="dxa" w:w="100"/>
            </w:tcMar>
            <w:vAlign w:val="center"/>
          </w:tcPr>
          <w:p>
            <w:r>
              <w:rPr>
                <w:b/>
                <w:bCs/>
                <w:color w:val="FFFFFF"/>
                <w:sz w:val="19"/>
                <w:szCs w:val="19"/>
              </w:rPr>
              <w:t xml:space="preserve">Skor 3</w:t>
            </w:r>
          </w:p>
        </w:tc>
      </w:tr>
      <w:tr>
        <w:tc>
          <w:tcPr>
            <w:tcW w:type="dxa" w:w="3400"/>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Tekanan darah sistolik (mmHg)</w:t>
            </w:r>
          </w:p>
        </w:tc>
        <w:tc>
          <w:tcPr>
            <w:tcW w:type="dxa" w:w="2200"/>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140–149 atau 90–139 (normal)</w:t>
            </w:r>
          </w:p>
        </w:tc>
        <w:tc>
          <w:tcPr>
            <w:tcW w:type="dxa" w:w="1900"/>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150–159</w:t>
            </w:r>
          </w:p>
        </w:tc>
        <w:tc>
          <w:tcPr>
            <w:tcW w:type="dxa" w:w="2138"/>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≥160 atau &lt;80–89</w:t>
            </w:r>
          </w:p>
        </w:tc>
      </w:tr>
      <w:tr>
        <w:tc>
          <w:tcPr>
            <w:tcW w:type="dxa" w:w="3400"/>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Tekanan darah diastolik (mmHg)</w:t>
            </w:r>
          </w:p>
        </w:tc>
        <w:tc>
          <w:tcPr>
            <w:tcW w:type="dxa" w:w="2200"/>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90–99</w:t>
            </w:r>
          </w:p>
        </w:tc>
        <w:tc>
          <w:tcPr>
            <w:tcW w:type="dxa" w:w="1900"/>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100–109</w:t>
            </w:r>
          </w:p>
        </w:tc>
        <w:tc>
          <w:tcPr>
            <w:tcW w:type="dxa" w:w="2138"/>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≥110</w:t>
            </w:r>
          </w:p>
        </w:tc>
      </w:tr>
      <w:tr>
        <w:tc>
          <w:tcPr>
            <w:tcW w:type="dxa" w:w="3400"/>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Frekuensi napas (x/menit)</w:t>
            </w:r>
          </w:p>
        </w:tc>
        <w:tc>
          <w:tcPr>
            <w:tcW w:type="dxa" w:w="2200"/>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18–24</w:t>
            </w:r>
          </w:p>
        </w:tc>
        <w:tc>
          <w:tcPr>
            <w:tcW w:type="dxa" w:w="1900"/>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25–29</w:t>
            </w:r>
          </w:p>
        </w:tc>
        <w:tc>
          <w:tcPr>
            <w:tcW w:type="dxa" w:w="2138"/>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≥30 atau &lt;10</w:t>
            </w:r>
          </w:p>
        </w:tc>
      </w:tr>
      <w:tr>
        <w:tc>
          <w:tcPr>
            <w:tcW w:type="dxa" w:w="3400"/>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Frekuensi nadi (x/menit)</w:t>
            </w:r>
          </w:p>
        </w:tc>
        <w:tc>
          <w:tcPr>
            <w:tcW w:type="dxa" w:w="2200"/>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60–110 (normal)</w:t>
            </w:r>
          </w:p>
        </w:tc>
        <w:tc>
          <w:tcPr>
            <w:tcW w:type="dxa" w:w="1900"/>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111–140</w:t>
            </w:r>
          </w:p>
        </w:tc>
        <w:tc>
          <w:tcPr>
            <w:tcW w:type="dxa" w:w="2138"/>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≥150 atau &lt;60</w:t>
            </w:r>
          </w:p>
        </w:tc>
      </w:tr>
      <w:tr>
        <w:tc>
          <w:tcPr>
            <w:tcW w:type="dxa" w:w="3400"/>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Kebutuhan O2 untuk SpO2 ≥96%</w:t>
            </w:r>
          </w:p>
        </w:tc>
        <w:tc>
          <w:tcPr>
            <w:tcW w:type="dxa" w:w="2200"/>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Udara ruangan (normal)</w:t>
            </w:r>
          </w:p>
        </w:tc>
        <w:tc>
          <w:tcPr>
            <w:tcW w:type="dxa" w:w="1900"/>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24–39%</w:t>
            </w:r>
          </w:p>
        </w:tc>
        <w:tc>
          <w:tcPr>
            <w:tcW w:type="dxa" w:w="2138"/>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≥40%</w:t>
            </w:r>
          </w:p>
        </w:tc>
      </w:tr>
      <w:tr>
        <w:tc>
          <w:tcPr>
            <w:tcW w:type="dxa" w:w="3400"/>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Suhu tubuh (°C)</w:t>
            </w:r>
          </w:p>
        </w:tc>
        <w:tc>
          <w:tcPr>
            <w:tcW w:type="dxa" w:w="2200"/>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35,1–37,9 (normal)</w:t>
            </w:r>
          </w:p>
        </w:tc>
        <w:tc>
          <w:tcPr>
            <w:tcW w:type="dxa" w:w="1900"/>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38–38,9</w:t>
            </w:r>
          </w:p>
        </w:tc>
        <w:tc>
          <w:tcPr>
            <w:tcW w:type="dxa" w:w="2138"/>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≥39 atau &lt;35</w:t>
            </w:r>
          </w:p>
        </w:tc>
      </w:tr>
      <w:tr>
        <w:tc>
          <w:tcPr>
            <w:tcW w:type="dxa" w:w="3400"/>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Tingkat kesadaran</w:t>
            </w:r>
          </w:p>
        </w:tc>
        <w:tc>
          <w:tcPr>
            <w:tcW w:type="dxa" w:w="2200"/>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Alert (normal)</w:t>
            </w:r>
          </w:p>
        </w:tc>
        <w:tc>
          <w:tcPr>
            <w:tcW w:type="dxa" w:w="1900"/>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w:t>
            </w:r>
          </w:p>
        </w:tc>
        <w:tc>
          <w:tcPr>
            <w:tcW w:type="dxa" w:w="2138"/>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Non-alert</w:t>
            </w:r>
          </w:p>
        </w:tc>
      </w:tr>
    </w:tbl>
    <w:p>
      <w:pPr>
        <w:spacing w:after="120"/>
      </w:pPr>
    </w:p>
    <w:p>
      <w:pPr>
        <w:spacing w:after="100" w:line="276"/>
      </w:pPr>
      <w:r>
        <w:rPr>
          <w:b w:val="false"/>
          <w:bCs w:val="false"/>
          <w:i w:val="false"/>
          <w:iCs w:val="false"/>
          <w:color w:val="2B2B2B"/>
          <w:sz w:val="21"/>
          <w:szCs w:val="21"/>
        </w:rPr>
        <w:t xml:space="preserve">Aggregate skor dijumlahkan dari seluruh parameter. Skor ≥4,5 mengindikasikan aktivasi jalur golden hour dan eskalasi ke tim PONEK/perawatan kritis obstetri; skor ≥8,5 memerlukan aktivasi kegawatdaruratan tertinggi. Kriteria golden hour dinyatakan terpenuhi bila waktu sejak "waktu nol" (tanda bahaya dikenali) hingga tata laksana definitif/keputusan rujuk tercapai dalam ≤60 menit; keterlambatan di luar batas ini dicatat sebagai insiden untuk audit mutu.</w:t>
      </w:r>
    </w:p>
    <w:p>
      <w:pPr>
        <w:spacing w:after="6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7A1F3D" w:sz="4"/>
              <w:left w:val="single" w:color="7A1F3D" w:sz="4"/>
              <w:bottom w:val="single" w:color="7A1F3D" w:sz="4"/>
              <w:right w:val="single" w:color="7A1F3D" w:sz="4"/>
            </w:tcBorders>
            <w:shd w:fill="7A1F3D" w:val="clear"/>
            <w:tcMar>
              <w:top w:type="dxa" w:w="120"/>
              <w:left w:type="dxa" w:w="180"/>
              <w:bottom w:type="dxa" w:w="120"/>
              <w:right w:type="dxa" w:w="180"/>
            </w:tcMar>
          </w:tcPr>
          <w:p>
            <w:r>
              <w:rPr>
                <w:b/>
                <w:bCs/>
                <w:color w:val="FFFFFF"/>
                <w:sz w:val="24"/>
                <w:szCs w:val="24"/>
              </w:rPr>
              <w:t xml:space="preserve">5. </w:t>
            </w:r>
            <w:r>
              <w:rPr>
                <w:b/>
                <w:bCs/>
                <w:color w:val="FFFFFF"/>
                <w:sz w:val="24"/>
                <w:szCs w:val="24"/>
              </w:rPr>
              <w:t xml:space="preserve">Diagnosis Kerja</w:t>
            </w:r>
          </w:p>
        </w:tc>
      </w:tr>
    </w:tbl>
    <w:p>
      <w:pPr>
        <w:spacing w:after="80"/>
      </w:pPr>
    </w:p>
    <w:p>
      <w:pPr>
        <w:spacing w:after="100" w:line="276"/>
      </w:pPr>
      <w:r>
        <w:rPr>
          <w:b w:val="false"/>
          <w:bCs w:val="false"/>
          <w:i w:val="false"/>
          <w:iCs w:val="false"/>
          <w:color w:val="2B2B2B"/>
          <w:sz w:val="21"/>
          <w:szCs w:val="21"/>
        </w:rPr>
        <w:t xml:space="preserve">Format diagnosis kerja baku:</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7A1F3D" w:sz="6"/>
              <w:left w:val="single" w:color="7A1F3D" w:sz="6"/>
              <w:bottom w:val="single" w:color="7A1F3D" w:sz="6"/>
              <w:right w:val="single" w:color="7A1F3D" w:sz="6"/>
            </w:tcBorders>
            <w:shd w:fill="FBF1F4" w:val="clear"/>
            <w:tcMar>
              <w:top w:type="dxa" w:w="100"/>
              <w:left w:type="dxa" w:w="180"/>
              <w:bottom w:type="dxa" w:w="100"/>
              <w:right w:type="dxa" w:w="180"/>
            </w:tcMar>
          </w:tcPr>
          <w:p>
            <w:pPr>
              <w:spacing w:after="0"/>
              <w:jc w:val="left"/>
            </w:pPr>
            <w:r>
              <w:rPr>
                <w:b/>
                <w:bCs/>
                <w:color w:val="2B2B2B"/>
                <w:sz w:val="21"/>
                <w:szCs w:val="21"/>
              </w:rPr>
              <w:t xml:space="preserve">G[jumlah]P[jumlah]A[jumlah] hamil [usia gestasi] minggu + [diagnosis kegawatdaruratan obstetri/neonatal spesifik] + kondisi sosial: [faktor risiko psikososial teridentifikasi, bila ada]</w:t>
            </w:r>
          </w:p>
        </w:tc>
      </w:tr>
    </w:tbl>
    <w:p>
      <w:pPr>
        <w:spacing w:after="120"/>
      </w:pPr>
    </w:p>
    <w:p>
      <w:pPr>
        <w:spacing w:after="100" w:line="276"/>
      </w:pPr>
      <w:r>
        <w:rPr>
          <w:b w:val="false"/>
          <w:bCs w:val="false"/>
          <w:i w:val="false"/>
          <w:iCs w:val="false"/>
          <w:color w:val="2B2B2B"/>
          <w:sz w:val="21"/>
          <w:szCs w:val="21"/>
        </w:rPr>
        <w:t xml:space="preserve">Contoh: G2P1A0 hamil 38 minggu + perdarahan antepartum e.c. suspek plasenta previa + syok hipovolemik grade II + kondisi sosial: hambatan transportasi rujukan, dukungan keluarga terbatas.</w:t>
      </w:r>
    </w:p>
    <w:p>
      <w:pPr>
        <w:spacing w:after="6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7A1F3D" w:sz="4"/>
              <w:left w:val="single" w:color="7A1F3D" w:sz="4"/>
              <w:bottom w:val="single" w:color="7A1F3D" w:sz="4"/>
              <w:right w:val="single" w:color="7A1F3D" w:sz="4"/>
            </w:tcBorders>
            <w:shd w:fill="7A1F3D" w:val="clear"/>
            <w:tcMar>
              <w:top w:type="dxa" w:w="120"/>
              <w:left w:type="dxa" w:w="180"/>
              <w:bottom w:type="dxa" w:w="120"/>
              <w:right w:type="dxa" w:w="180"/>
            </w:tcMar>
          </w:tcPr>
          <w:p>
            <w:r>
              <w:rPr>
                <w:b/>
                <w:bCs/>
                <w:color w:val="FFFFFF"/>
                <w:sz w:val="24"/>
                <w:szCs w:val="24"/>
              </w:rPr>
              <w:t xml:space="preserve">6. </w:t>
            </w:r>
            <w:r>
              <w:rPr>
                <w:b/>
                <w:bCs/>
                <w:color w:val="FFFFFF"/>
                <w:sz w:val="24"/>
                <w:szCs w:val="24"/>
              </w:rPr>
              <w:t xml:space="preserve">Diagnosis Banding</w:t>
            </w:r>
          </w:p>
        </w:tc>
      </w:tr>
    </w:tbl>
    <w:p>
      <w:pPr>
        <w:spacing w:after="80"/>
      </w:pPr>
    </w:p>
    <w:p>
      <w:pPr>
        <w:spacing w:after="80" w:before="120"/>
      </w:pPr>
      <w:r>
        <w:rPr>
          <w:b/>
          <w:bCs/>
          <w:color w:val="7A1F3D"/>
          <w:sz w:val="22"/>
          <w:szCs w:val="22"/>
        </w:rPr>
        <w:t xml:space="preserve">Perdarahan</w:t>
      </w:r>
    </w:p>
    <w:p>
      <w:pPr>
        <w:pStyle w:val="ListParagraph"/>
        <w:numPr>
          <w:ilvl w:val="0"/>
          <w:numId w:val="1"/>
        </w:numPr>
        <w:spacing w:after="60" w:line="264"/>
      </w:pPr>
      <w:r>
        <w:rPr>
          <w:b w:val="false"/>
          <w:bCs w:val="false"/>
          <w:color w:val="2B2B2B"/>
          <w:sz w:val="21"/>
          <w:szCs w:val="21"/>
        </w:rPr>
        <w:t xml:space="preserve">Antepartum: plasenta previa, solusio plasenta, vasa previa, ruptur uteri.</w:t>
      </w:r>
    </w:p>
    <w:p>
      <w:pPr>
        <w:pStyle w:val="ListParagraph"/>
        <w:numPr>
          <w:ilvl w:val="0"/>
          <w:numId w:val="1"/>
        </w:numPr>
        <w:spacing w:after="60" w:line="264"/>
      </w:pPr>
      <w:r>
        <w:rPr>
          <w:b w:val="false"/>
          <w:bCs w:val="false"/>
          <w:color w:val="2B2B2B"/>
          <w:sz w:val="21"/>
          <w:szCs w:val="21"/>
        </w:rPr>
        <w:t xml:space="preserve">Postpartum: atonia uteri, retensio plasenta/sisa plasenta, robekan jalan lahir, gangguan koagulasi (4T: Tone, Tissue, Trauma, Thrombin).</w:t>
      </w:r>
    </w:p>
    <w:p>
      <w:pPr>
        <w:spacing w:after="80" w:before="120"/>
      </w:pPr>
      <w:r>
        <w:rPr>
          <w:b/>
          <w:bCs/>
          <w:color w:val="7A1F3D"/>
          <w:sz w:val="22"/>
          <w:szCs w:val="22"/>
        </w:rPr>
        <w:t xml:space="preserve">Kejang/Penurunan Kesadaran</w:t>
      </w:r>
    </w:p>
    <w:p>
      <w:pPr>
        <w:pStyle w:val="ListParagraph"/>
        <w:numPr>
          <w:ilvl w:val="0"/>
          <w:numId w:val="1"/>
        </w:numPr>
        <w:spacing w:after="60" w:line="264"/>
      </w:pPr>
      <w:r>
        <w:rPr>
          <w:b w:val="false"/>
          <w:bCs w:val="false"/>
          <w:color w:val="2B2B2B"/>
          <w:sz w:val="21"/>
          <w:szCs w:val="21"/>
        </w:rPr>
        <w:t xml:space="preserve">Eklampsia vs epilepsi yang dicetuskan kehamilan, stroke hemoragik, hipoglikemia berat.</w:t>
      </w:r>
    </w:p>
    <w:p>
      <w:pPr>
        <w:spacing w:after="80" w:before="120"/>
      </w:pPr>
      <w:r>
        <w:rPr>
          <w:b/>
          <w:bCs/>
          <w:color w:val="7A1F3D"/>
          <w:sz w:val="22"/>
          <w:szCs w:val="22"/>
        </w:rPr>
        <w:t xml:space="preserve">Kolaps Kardiorespirasi Mendadak</w:t>
      </w:r>
    </w:p>
    <w:p>
      <w:pPr>
        <w:pStyle w:val="ListParagraph"/>
        <w:numPr>
          <w:ilvl w:val="0"/>
          <w:numId w:val="1"/>
        </w:numPr>
        <w:spacing w:after="60" w:line="264"/>
      </w:pPr>
      <w:r>
        <w:rPr>
          <w:b w:val="false"/>
          <w:bCs w:val="false"/>
          <w:color w:val="2B2B2B"/>
          <w:sz w:val="21"/>
          <w:szCs w:val="21"/>
        </w:rPr>
        <w:t xml:space="preserve">Emboli cairan ketuban, emboli paru, edema paru akut, kardiomiopati peripartum.</w:t>
      </w:r>
    </w:p>
    <w:p>
      <w:pPr>
        <w:spacing w:after="80" w:before="120"/>
      </w:pPr>
      <w:r>
        <w:rPr>
          <w:b/>
          <w:bCs/>
          <w:color w:val="7A1F3D"/>
          <w:sz w:val="22"/>
          <w:szCs w:val="22"/>
        </w:rPr>
        <w:t xml:space="preserve">Demam/Sepsis</w:t>
      </w:r>
    </w:p>
    <w:p>
      <w:pPr>
        <w:pStyle w:val="ListParagraph"/>
        <w:numPr>
          <w:ilvl w:val="0"/>
          <w:numId w:val="1"/>
        </w:numPr>
        <w:spacing w:after="60" w:line="264"/>
      </w:pPr>
      <w:r>
        <w:rPr>
          <w:b w:val="false"/>
          <w:bCs w:val="false"/>
          <w:color w:val="2B2B2B"/>
          <w:sz w:val="21"/>
          <w:szCs w:val="21"/>
        </w:rPr>
        <w:t xml:space="preserve">Korioamnionitis, infeksi luka operasi, infeksi saluran kemih berat, endometritis puerperalis.</w:t>
      </w:r>
    </w:p>
    <w:p>
      <w:pPr>
        <w:spacing w:after="80" w:before="120"/>
      </w:pPr>
      <w:r>
        <w:rPr>
          <w:b/>
          <w:bCs/>
          <w:color w:val="7A1F3D"/>
          <w:sz w:val="22"/>
          <w:szCs w:val="22"/>
        </w:rPr>
        <w:t xml:space="preserve">Neonatal</w:t>
      </w:r>
    </w:p>
    <w:p>
      <w:pPr>
        <w:pStyle w:val="ListParagraph"/>
        <w:numPr>
          <w:ilvl w:val="0"/>
          <w:numId w:val="1"/>
        </w:numPr>
        <w:spacing w:after="60" w:line="264"/>
      </w:pPr>
      <w:r>
        <w:rPr>
          <w:b w:val="false"/>
          <w:bCs w:val="false"/>
          <w:color w:val="2B2B2B"/>
          <w:sz w:val="21"/>
          <w:szCs w:val="21"/>
        </w:rPr>
        <w:t xml:space="preserve">Asfiksia neonatorum vs depresi napas akibat obat (sedasi ibu), sepsis neonatal awitan dini, trauma lahir.</w:t>
      </w:r>
    </w:p>
    <w:p>
      <w:pPr>
        <w:spacing w:after="6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7A1F3D" w:sz="4"/>
              <w:left w:val="single" w:color="7A1F3D" w:sz="4"/>
              <w:bottom w:val="single" w:color="7A1F3D" w:sz="4"/>
              <w:right w:val="single" w:color="7A1F3D" w:sz="4"/>
            </w:tcBorders>
            <w:shd w:fill="7A1F3D" w:val="clear"/>
            <w:tcMar>
              <w:top w:type="dxa" w:w="120"/>
              <w:left w:type="dxa" w:w="180"/>
              <w:bottom w:type="dxa" w:w="120"/>
              <w:right w:type="dxa" w:w="180"/>
            </w:tcMar>
          </w:tcPr>
          <w:p>
            <w:r>
              <w:rPr>
                <w:b/>
                <w:bCs/>
                <w:color w:val="FFFFFF"/>
                <w:sz w:val="24"/>
                <w:szCs w:val="24"/>
              </w:rPr>
              <w:t xml:space="preserve">7. </w:t>
            </w:r>
            <w:r>
              <w:rPr>
                <w:b/>
                <w:bCs/>
                <w:color w:val="FFFFFF"/>
                <w:sz w:val="24"/>
                <w:szCs w:val="24"/>
              </w:rPr>
              <w:t xml:space="preserve">Pemeriksaan Penunjang</w:t>
            </w:r>
          </w:p>
        </w:tc>
      </w:tr>
    </w:tbl>
    <w:p>
      <w:pPr>
        <w:spacing w:after="80"/>
      </w:pPr>
    </w:p>
    <w:p>
      <w:pPr>
        <w:spacing w:after="80" w:before="120"/>
      </w:pPr>
      <w:r>
        <w:rPr>
          <w:b/>
          <w:bCs/>
          <w:color w:val="7A1F3D"/>
          <w:sz w:val="22"/>
          <w:szCs w:val="22"/>
        </w:rPr>
        <w:t xml:space="preserve">Laboratorium</w:t>
      </w:r>
    </w:p>
    <w:p>
      <w:pPr>
        <w:pStyle w:val="ListParagraph"/>
        <w:numPr>
          <w:ilvl w:val="0"/>
          <w:numId w:val="1"/>
        </w:numPr>
        <w:spacing w:after="60" w:line="264"/>
      </w:pPr>
      <w:r>
        <w:rPr>
          <w:b w:val="false"/>
          <w:bCs w:val="false"/>
          <w:color w:val="2B2B2B"/>
          <w:sz w:val="21"/>
          <w:szCs w:val="21"/>
        </w:rPr>
        <w:t xml:space="preserve">Darah perifer lengkap, golongan darah &amp; crossmatch (siapkan minimal 2 kantong PRC pada kecurigaan perdarahan masif).</w:t>
      </w:r>
    </w:p>
    <w:p>
      <w:pPr>
        <w:pStyle w:val="ListParagraph"/>
        <w:numPr>
          <w:ilvl w:val="0"/>
          <w:numId w:val="1"/>
        </w:numPr>
        <w:spacing w:after="60" w:line="264"/>
      </w:pPr>
      <w:r>
        <w:rPr>
          <w:b w:val="false"/>
          <w:bCs w:val="false"/>
          <w:color w:val="2B2B2B"/>
          <w:sz w:val="21"/>
          <w:szCs w:val="21"/>
        </w:rPr>
        <w:t xml:space="preserve">Profil koagulasi (PT/aPTT/fibrinogen) pada kecurigaan koagulopati/solusio plasenta.</w:t>
      </w:r>
    </w:p>
    <w:p>
      <w:pPr>
        <w:pStyle w:val="ListParagraph"/>
        <w:numPr>
          <w:ilvl w:val="0"/>
          <w:numId w:val="1"/>
        </w:numPr>
        <w:spacing w:after="60" w:line="264"/>
      </w:pPr>
      <w:r>
        <w:rPr>
          <w:b w:val="false"/>
          <w:bCs w:val="false"/>
          <w:color w:val="2B2B2B"/>
          <w:sz w:val="21"/>
          <w:szCs w:val="21"/>
        </w:rPr>
        <w:t xml:space="preserve">Fungsi hati &amp; ginjal, asam urat, LDH pada kecurigaan preeklampsia berat/HELLP syndrome.</w:t>
      </w:r>
    </w:p>
    <w:p>
      <w:pPr>
        <w:pStyle w:val="ListParagraph"/>
        <w:numPr>
          <w:ilvl w:val="0"/>
          <w:numId w:val="1"/>
        </w:numPr>
        <w:spacing w:after="60" w:line="264"/>
      </w:pPr>
      <w:r>
        <w:rPr>
          <w:b w:val="false"/>
          <w:bCs w:val="false"/>
          <w:color w:val="2B2B2B"/>
          <w:sz w:val="21"/>
          <w:szCs w:val="21"/>
        </w:rPr>
        <w:t xml:space="preserve">Gula darah sewaktu, elektrolit, laktat pada kecurigaan sepsis/syok.</w:t>
      </w:r>
    </w:p>
    <w:p>
      <w:pPr>
        <w:pStyle w:val="ListParagraph"/>
        <w:numPr>
          <w:ilvl w:val="0"/>
          <w:numId w:val="1"/>
        </w:numPr>
        <w:spacing w:after="60" w:line="264"/>
      </w:pPr>
      <w:r>
        <w:rPr>
          <w:b w:val="false"/>
          <w:bCs w:val="false"/>
          <w:color w:val="2B2B2B"/>
          <w:sz w:val="21"/>
          <w:szCs w:val="21"/>
        </w:rPr>
        <w:t xml:space="preserve">Urinalisis (proteinuria) pada kecurigaan preeklampsia.</w:t>
      </w:r>
    </w:p>
    <w:p>
      <w:pPr>
        <w:spacing w:after="80" w:before="120"/>
      </w:pPr>
      <w:r>
        <w:rPr>
          <w:b/>
          <w:bCs/>
          <w:color w:val="7A1F3D"/>
          <w:sz w:val="22"/>
          <w:szCs w:val="22"/>
        </w:rPr>
        <w:t xml:space="preserve">Pencitraan &amp; Monitoring</w:t>
      </w:r>
    </w:p>
    <w:p>
      <w:pPr>
        <w:pStyle w:val="ListParagraph"/>
        <w:numPr>
          <w:ilvl w:val="0"/>
          <w:numId w:val="1"/>
        </w:numPr>
        <w:spacing w:after="60" w:line="264"/>
      </w:pPr>
      <w:r>
        <w:rPr>
          <w:b w:val="false"/>
          <w:bCs w:val="false"/>
          <w:color w:val="2B2B2B"/>
          <w:sz w:val="21"/>
          <w:szCs w:val="21"/>
        </w:rPr>
        <w:t xml:space="preserve">USG obstetri emergensi: lokasi plasenta, profil biofisik, indeks cairan amnion, taksiran berat janin.</w:t>
      </w:r>
    </w:p>
    <w:p>
      <w:pPr>
        <w:pStyle w:val="ListParagraph"/>
        <w:numPr>
          <w:ilvl w:val="0"/>
          <w:numId w:val="1"/>
        </w:numPr>
        <w:spacing w:after="60" w:line="264"/>
      </w:pPr>
      <w:r>
        <w:rPr>
          <w:b w:val="false"/>
          <w:bCs w:val="false"/>
          <w:color w:val="2B2B2B"/>
          <w:sz w:val="21"/>
          <w:szCs w:val="21"/>
        </w:rPr>
        <w:t xml:space="preserve">Kardiotokografi (CTG) kontinu bila janin masih in utero dan viable.</w:t>
      </w:r>
    </w:p>
    <w:p>
      <w:pPr>
        <w:spacing w:after="80" w:before="120"/>
      </w:pPr>
      <w:r>
        <w:rPr>
          <w:b/>
          <w:bCs/>
          <w:color w:val="7A1F3D"/>
          <w:sz w:val="22"/>
          <w:szCs w:val="22"/>
        </w:rPr>
        <w:t xml:space="preserve">Penunjang Neonatal</w:t>
      </w:r>
    </w:p>
    <w:p>
      <w:pPr>
        <w:pStyle w:val="ListParagraph"/>
        <w:numPr>
          <w:ilvl w:val="0"/>
          <w:numId w:val="1"/>
        </w:numPr>
        <w:spacing w:after="60" w:line="264"/>
      </w:pPr>
      <w:r>
        <w:rPr>
          <w:b w:val="false"/>
          <w:bCs w:val="false"/>
          <w:color w:val="2B2B2B"/>
          <w:sz w:val="21"/>
          <w:szCs w:val="21"/>
        </w:rPr>
        <w:t xml:space="preserve">Gula darah sewaktu bayi, analisis gas darah tali pusat/kapiler pada kecurigaan asfiksia.</w:t>
      </w:r>
    </w:p>
    <w:p>
      <w:pPr>
        <w:pStyle w:val="ListParagraph"/>
        <w:numPr>
          <w:ilvl w:val="0"/>
          <w:numId w:val="1"/>
        </w:numPr>
        <w:spacing w:after="60" w:line="264"/>
      </w:pPr>
      <w:r>
        <w:rPr>
          <w:b w:val="false"/>
          <w:bCs w:val="false"/>
          <w:color w:val="2B2B2B"/>
          <w:sz w:val="21"/>
          <w:szCs w:val="21"/>
        </w:rPr>
        <w:t xml:space="preserve">Pulse oximetry, bila fasilitas tersedia untuk deteksi penyakit jantung kritis.</w:t>
      </w:r>
    </w:p>
    <w:p>
      <w:pPr>
        <w:spacing w:after="6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7A1F3D" w:sz="4"/>
              <w:left w:val="single" w:color="7A1F3D" w:sz="4"/>
              <w:bottom w:val="single" w:color="7A1F3D" w:sz="4"/>
              <w:right w:val="single" w:color="7A1F3D" w:sz="4"/>
            </w:tcBorders>
            <w:shd w:fill="7A1F3D" w:val="clear"/>
            <w:tcMar>
              <w:top w:type="dxa" w:w="120"/>
              <w:left w:type="dxa" w:w="180"/>
              <w:bottom w:type="dxa" w:w="120"/>
              <w:right w:type="dxa" w:w="180"/>
            </w:tcMar>
          </w:tcPr>
          <w:p>
            <w:r>
              <w:rPr>
                <w:b/>
                <w:bCs/>
                <w:color w:val="FFFFFF"/>
                <w:sz w:val="24"/>
                <w:szCs w:val="24"/>
              </w:rPr>
              <w:t xml:space="preserve">8. </w:t>
            </w:r>
            <w:r>
              <w:rPr>
                <w:b/>
                <w:bCs/>
                <w:color w:val="FFFFFF"/>
                <w:sz w:val="24"/>
                <w:szCs w:val="24"/>
              </w:rPr>
              <w:t xml:space="preserve">Tata Laksana (Terapi)</w:t>
            </w:r>
          </w:p>
        </w:tc>
      </w:tr>
    </w:tbl>
    <w:p>
      <w:pPr>
        <w:spacing w:after="80"/>
      </w:pPr>
    </w:p>
    <w:p>
      <w:pPr>
        <w:spacing w:after="80" w:before="120"/>
      </w:pPr>
      <w:r>
        <w:rPr>
          <w:b/>
          <w:bCs/>
          <w:color w:val="7A1F3D"/>
          <w:sz w:val="22"/>
          <w:szCs w:val="22"/>
        </w:rPr>
        <w:t xml:space="preserve">Diagram Alur Golden Hour — Integrasi PONED-PONEK &amp; Asesmen Sosial (0–60 Menit)</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7A1F3D" w:sz="6"/>
              <w:left w:val="single" w:color="7A1F3D" w:sz="6"/>
              <w:bottom w:val="single" w:color="7A1F3D" w:sz="6"/>
              <w:right w:val="single" w:color="7A1F3D" w:sz="6"/>
            </w:tcBorders>
            <w:shd w:fill="7A1F3D" w:val="clear"/>
            <w:tcMar>
              <w:top w:type="dxa" w:w="100"/>
              <w:left w:type="dxa" w:w="180"/>
              <w:bottom w:type="dxa" w:w="100"/>
              <w:right w:type="dxa" w:w="180"/>
            </w:tcMar>
          </w:tcPr>
          <w:p>
            <w:pPr>
              <w:spacing w:after="40"/>
              <w:jc w:val="left"/>
            </w:pPr>
            <w:r>
              <w:rPr>
                <w:b/>
                <w:bCs/>
                <w:color w:val="FFFFFF"/>
                <w:sz w:val="21"/>
                <w:szCs w:val="21"/>
              </w:rPr>
              <w:t xml:space="preserve">MENIT 0 — WAKTU NOL</w:t>
            </w:r>
          </w:p>
          <w:p>
            <w:pPr>
              <w:spacing w:after="0"/>
              <w:jc w:val="left"/>
            </w:pPr>
            <w:r>
              <w:rPr>
                <w:b w:val="false"/>
                <w:bCs w:val="false"/>
                <w:color w:val="FFFFFF"/>
                <w:sz w:val="19"/>
                <w:szCs w:val="19"/>
              </w:rPr>
              <w:t xml:space="preserve">Tanda bahaya dikenali oleh penolong pertama (bidan/perawat/dokter jaga).</w:t>
            </w:r>
          </w:p>
        </w:tc>
      </w:tr>
    </w:tbl>
    <w:p>
      <w:pPr>
        <w:spacing w:after="40" w:before="40"/>
        <w:jc w:val="center"/>
      </w:pPr>
      <w:r>
        <w:rPr>
          <w:b/>
          <w:bCs/>
          <w:color w:val="7A1F3D"/>
          <w:sz w:val="20"/>
          <w:szCs w:val="20"/>
        </w:rPr>
        <w:t xml:space="preserve">↓  paralel, bukan berurutan  ↓</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819"/>
        <w:gridCol w:w="4819"/>
      </w:tblGrid>
      <w:tr>
        <w:tc>
          <w:tcPr>
            <w:tcW w:type="dxa" w:w="4819"/>
            <w:tcBorders>
              <w:top w:val="single" w:color="7A1F3D" w:sz="4"/>
              <w:left w:val="single" w:color="7A1F3D" w:sz="4"/>
              <w:bottom w:val="single" w:color="7A1F3D" w:sz="4"/>
              <w:right w:val="single" w:color="7A1F3D" w:sz="4"/>
            </w:tcBorders>
            <w:shd w:fill="F3DCE4" w:val="clear"/>
            <w:tcMar>
              <w:top w:type="dxa" w:w="90"/>
              <w:left w:type="dxa" w:w="140"/>
              <w:bottom w:type="dxa" w:w="90"/>
              <w:right w:type="dxa" w:w="140"/>
            </w:tcMar>
          </w:tcPr>
          <w:p>
            <w:r>
              <w:rPr>
                <w:b/>
                <w:bCs/>
                <w:color w:val="7A1F3D"/>
                <w:sz w:val="18"/>
                <w:szCs w:val="18"/>
              </w:rPr>
              <w:t xml:space="preserve">JALUR MEDIS (PONED-PONEK)</w:t>
            </w:r>
          </w:p>
          <w:p>
            <w:pPr>
              <w:spacing w:before="40"/>
            </w:pPr>
            <w:r>
              <w:rPr>
                <w:color w:val="2B2B2B"/>
                <w:sz w:val="19"/>
                <w:szCs w:val="19"/>
              </w:rPr>
              <w:t xml:space="preserve">Menit 0–5: Primary survey ABCDE, akses IV 2 jalur, oksigen, panggil bantuan tim PONEK.</w:t>
            </w:r>
          </w:p>
        </w:tc>
        <w:tc>
          <w:tcPr>
            <w:tcW w:type="dxa" w:w="4819"/>
            <w:tcBorders>
              <w:top w:val="single" w:color="7A1F3D" w:sz="4"/>
              <w:left w:val="single" w:color="7A1F3D" w:sz="4"/>
              <w:bottom w:val="single" w:color="7A1F3D" w:sz="4"/>
              <w:right w:val="single" w:color="7A1F3D" w:sz="4"/>
            </w:tcBorders>
            <w:shd w:fill="F0E4EA" w:val="clear"/>
            <w:tcMar>
              <w:top w:type="dxa" w:w="90"/>
              <w:left w:type="dxa" w:w="140"/>
              <w:bottom w:type="dxa" w:w="90"/>
              <w:right w:type="dxa" w:w="140"/>
            </w:tcMar>
          </w:tcPr>
          <w:p>
            <w:r>
              <w:rPr>
                <w:b/>
                <w:bCs/>
                <w:color w:val="7A1F3D"/>
                <w:sz w:val="18"/>
                <w:szCs w:val="18"/>
              </w:rPr>
              <w:t xml:space="preserve">JALUR SOSIAL-PSIKOLOGIS</w:t>
            </w:r>
          </w:p>
          <w:p>
            <w:pPr>
              <w:spacing w:before="40"/>
            </w:pPr>
            <w:r>
              <w:rPr>
                <w:color w:val="2B2B2B"/>
                <w:sz w:val="19"/>
                <w:szCs w:val="19"/>
              </w:rPr>
              <w:t xml:space="preserve">Menit 0–5: Identifikasi pendamping keluarga; amankan privasi &amp; keamanan pasien.</w:t>
            </w:r>
          </w:p>
        </w:tc>
      </w:tr>
    </w:tbl>
    <w:p>
      <w:pPr>
        <w:spacing w:after="40" w:before="40"/>
        <w:jc w:val="center"/>
      </w:pPr>
      <w:r>
        <w:rPr>
          <w:b/>
          <w:bCs/>
          <w:color w:val="7A1F3D"/>
          <w:sz w:val="20"/>
          <w:szCs w:val="20"/>
        </w:rPr>
        <w:t xml:space="preserv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819"/>
        <w:gridCol w:w="4819"/>
      </w:tblGrid>
      <w:tr>
        <w:tc>
          <w:tcPr>
            <w:tcW w:type="dxa" w:w="4819"/>
            <w:tcBorders>
              <w:top w:val="single" w:color="7A1F3D" w:sz="4"/>
              <w:left w:val="single" w:color="7A1F3D" w:sz="4"/>
              <w:bottom w:val="single" w:color="7A1F3D" w:sz="4"/>
              <w:right w:val="single" w:color="7A1F3D" w:sz="4"/>
            </w:tcBorders>
            <w:shd w:fill="F3DCE4" w:val="clear"/>
            <w:tcMar>
              <w:top w:type="dxa" w:w="90"/>
              <w:left w:type="dxa" w:w="140"/>
              <w:bottom w:type="dxa" w:w="90"/>
              <w:right w:type="dxa" w:w="140"/>
            </w:tcMar>
          </w:tcPr>
          <w:p>
            <w:r>
              <w:rPr>
                <w:b/>
                <w:bCs/>
                <w:color w:val="7A1F3D"/>
                <w:sz w:val="18"/>
                <w:szCs w:val="18"/>
              </w:rPr>
              <w:t xml:space="preserve">JALUR MEDIS (PONED-PONEK)</w:t>
            </w:r>
          </w:p>
          <w:p>
            <w:pPr>
              <w:spacing w:before="40"/>
            </w:pPr>
            <w:r>
              <w:rPr>
                <w:color w:val="2B2B2B"/>
                <w:sz w:val="19"/>
                <w:szCs w:val="19"/>
              </w:rPr>
              <w:t xml:space="preserve">Menit 5–20: Tata laksana spesifik sesuai diagnosis kerja (lihat tabel kondisi di bawah); pemeriksaan penunjang cito.</w:t>
            </w:r>
          </w:p>
        </w:tc>
        <w:tc>
          <w:tcPr>
            <w:tcW w:type="dxa" w:w="4819"/>
            <w:tcBorders>
              <w:top w:val="single" w:color="7A1F3D" w:sz="4"/>
              <w:left w:val="single" w:color="7A1F3D" w:sz="4"/>
              <w:bottom w:val="single" w:color="7A1F3D" w:sz="4"/>
              <w:right w:val="single" w:color="7A1F3D" w:sz="4"/>
            </w:tcBorders>
            <w:shd w:fill="F0E4EA" w:val="clear"/>
            <w:tcMar>
              <w:top w:type="dxa" w:w="90"/>
              <w:left w:type="dxa" w:w="140"/>
              <w:bottom w:type="dxa" w:w="90"/>
              <w:right w:type="dxa" w:w="140"/>
            </w:tcMar>
          </w:tcPr>
          <w:p>
            <w:r>
              <w:rPr>
                <w:b/>
                <w:bCs/>
                <w:color w:val="7A1F3D"/>
                <w:sz w:val="18"/>
                <w:szCs w:val="18"/>
              </w:rPr>
              <w:t xml:space="preserve">JALUR SOSIAL-PSIKOLOGIS</w:t>
            </w:r>
          </w:p>
          <w:p>
            <w:pPr>
              <w:spacing w:before="40"/>
            </w:pPr>
            <w:r>
              <w:rPr>
                <w:color w:val="2B2B2B"/>
                <w:sz w:val="19"/>
                <w:szCs w:val="19"/>
              </w:rPr>
              <w:t xml:space="preserve">Menit 5–20: Skrining kekerasan/KTD nonjudgmental; cek unsur BAKSOKUDA (surat, obat, kendaraan, darah, dana/jaminan).</w:t>
            </w:r>
          </w:p>
        </w:tc>
      </w:tr>
    </w:tbl>
    <w:p>
      <w:pPr>
        <w:spacing w:after="40" w:before="40"/>
        <w:jc w:val="center"/>
      </w:pPr>
      <w:r>
        <w:rPr>
          <w:b/>
          <w:bCs/>
          <w:color w:val="7A1F3D"/>
          <w:sz w:val="20"/>
          <w:szCs w:val="20"/>
        </w:rPr>
        <w:t xml:space="preserv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819"/>
        <w:gridCol w:w="4819"/>
      </w:tblGrid>
      <w:tr>
        <w:tc>
          <w:tcPr>
            <w:tcW w:type="dxa" w:w="4819"/>
            <w:tcBorders>
              <w:top w:val="single" w:color="7A1F3D" w:sz="4"/>
              <w:left w:val="single" w:color="7A1F3D" w:sz="4"/>
              <w:bottom w:val="single" w:color="7A1F3D" w:sz="4"/>
              <w:right w:val="single" w:color="7A1F3D" w:sz="4"/>
            </w:tcBorders>
            <w:shd w:fill="F3DCE4" w:val="clear"/>
            <w:tcMar>
              <w:top w:type="dxa" w:w="90"/>
              <w:left w:type="dxa" w:w="140"/>
              <w:bottom w:type="dxa" w:w="90"/>
              <w:right w:type="dxa" w:w="140"/>
            </w:tcMar>
          </w:tcPr>
          <w:p>
            <w:r>
              <w:rPr>
                <w:b/>
                <w:bCs/>
                <w:color w:val="7A1F3D"/>
                <w:sz w:val="18"/>
                <w:szCs w:val="18"/>
              </w:rPr>
              <w:t xml:space="preserve">JALUR MEDIS (PONED-PONEK)</w:t>
            </w:r>
          </w:p>
          <w:p>
            <w:pPr>
              <w:spacing w:before="40"/>
            </w:pPr>
            <w:r>
              <w:rPr>
                <w:color w:val="2B2B2B"/>
                <w:sz w:val="19"/>
                <w:szCs w:val="19"/>
              </w:rPr>
              <w:t xml:space="preserve">Menit 20–40: Evaluasi respons terapi; putuskan rujuk vertikal (PONED→PONEK) bila kapasitas tidak memadai.</w:t>
            </w:r>
          </w:p>
        </w:tc>
        <w:tc>
          <w:tcPr>
            <w:tcW w:type="dxa" w:w="4819"/>
            <w:tcBorders>
              <w:top w:val="single" w:color="7A1F3D" w:sz="4"/>
              <w:left w:val="single" w:color="7A1F3D" w:sz="4"/>
              <w:bottom w:val="single" w:color="7A1F3D" w:sz="4"/>
              <w:right w:val="single" w:color="7A1F3D" w:sz="4"/>
            </w:tcBorders>
            <w:shd w:fill="F0E4EA" w:val="clear"/>
            <w:tcMar>
              <w:top w:type="dxa" w:w="90"/>
              <w:left w:type="dxa" w:w="140"/>
              <w:bottom w:type="dxa" w:w="90"/>
              <w:right w:type="dxa" w:w="140"/>
            </w:tcMar>
          </w:tcPr>
          <w:p>
            <w:r>
              <w:rPr>
                <w:b/>
                <w:bCs/>
                <w:color w:val="7A1F3D"/>
                <w:sz w:val="18"/>
                <w:szCs w:val="18"/>
              </w:rPr>
              <w:t xml:space="preserve">JALUR SOSIAL-PSIKOLOGIS</w:t>
            </w:r>
          </w:p>
          <w:p>
            <w:pPr>
              <w:spacing w:before="40"/>
            </w:pPr>
            <w:r>
              <w:rPr>
                <w:color w:val="2B2B2B"/>
                <w:sz w:val="19"/>
                <w:szCs w:val="19"/>
              </w:rPr>
              <w:t xml:space="preserve">Menit 20–40: Informed consent melibatkan pendamping; aktivasi dukungan sosial/jaminan kesehatan bila hambatan biaya.</w:t>
            </w:r>
          </w:p>
        </w:tc>
      </w:tr>
    </w:tbl>
    <w:p>
      <w:pPr>
        <w:spacing w:after="40" w:before="40"/>
        <w:jc w:val="center"/>
      </w:pPr>
      <w:r>
        <w:rPr>
          <w:b/>
          <w:bCs/>
          <w:color w:val="7A1F3D"/>
          <w:sz w:val="20"/>
          <w:szCs w:val="20"/>
        </w:rPr>
        <w:t xml:space="preserv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819"/>
        <w:gridCol w:w="4819"/>
      </w:tblGrid>
      <w:tr>
        <w:tc>
          <w:tcPr>
            <w:tcW w:type="dxa" w:w="4819"/>
            <w:tcBorders>
              <w:top w:val="single" w:color="7A1F3D" w:sz="4"/>
              <w:left w:val="single" w:color="7A1F3D" w:sz="4"/>
              <w:bottom w:val="single" w:color="7A1F3D" w:sz="4"/>
              <w:right w:val="single" w:color="7A1F3D" w:sz="4"/>
            </w:tcBorders>
            <w:shd w:fill="F3DCE4" w:val="clear"/>
            <w:tcMar>
              <w:top w:type="dxa" w:w="90"/>
              <w:left w:type="dxa" w:w="140"/>
              <w:bottom w:type="dxa" w:w="90"/>
              <w:right w:type="dxa" w:w="140"/>
            </w:tcMar>
          </w:tcPr>
          <w:p>
            <w:r>
              <w:rPr>
                <w:b/>
                <w:bCs/>
                <w:color w:val="7A1F3D"/>
                <w:sz w:val="18"/>
                <w:szCs w:val="18"/>
              </w:rPr>
              <w:t xml:space="preserve">JALUR MEDIS (PONED-PONEK)</w:t>
            </w:r>
          </w:p>
          <w:p>
            <w:pPr>
              <w:spacing w:before="40"/>
            </w:pPr>
            <w:r>
              <w:rPr>
                <w:color w:val="2B2B2B"/>
                <w:sz w:val="19"/>
                <w:szCs w:val="19"/>
              </w:rPr>
              <w:t xml:space="preserve">Menit 40–60: Rujukan terlaksana dengan stabilisasi optimal &amp; komunikasi SBAR ke fasilitas penerima; atau tata laksana definitif tuntas di tempat.</w:t>
            </w:r>
          </w:p>
        </w:tc>
        <w:tc>
          <w:tcPr>
            <w:tcW w:type="dxa" w:w="4819"/>
            <w:tcBorders>
              <w:top w:val="single" w:color="7A1F3D" w:sz="4"/>
              <w:left w:val="single" w:color="7A1F3D" w:sz="4"/>
              <w:bottom w:val="single" w:color="7A1F3D" w:sz="4"/>
              <w:right w:val="single" w:color="7A1F3D" w:sz="4"/>
            </w:tcBorders>
            <w:shd w:fill="F0E4EA" w:val="clear"/>
            <w:tcMar>
              <w:top w:type="dxa" w:w="90"/>
              <w:left w:type="dxa" w:w="140"/>
              <w:bottom w:type="dxa" w:w="90"/>
              <w:right w:type="dxa" w:w="140"/>
            </w:tcMar>
          </w:tcPr>
          <w:p>
            <w:r>
              <w:rPr>
                <w:b/>
                <w:bCs/>
                <w:color w:val="7A1F3D"/>
                <w:sz w:val="18"/>
                <w:szCs w:val="18"/>
              </w:rPr>
              <w:t xml:space="preserve">JALUR SOSIAL-PSIKOLOGIS</w:t>
            </w:r>
          </w:p>
          <w:p>
            <w:pPr>
              <w:spacing w:before="40"/>
            </w:pPr>
            <w:r>
              <w:rPr>
                <w:color w:val="2B2B2B"/>
                <w:sz w:val="19"/>
                <w:szCs w:val="19"/>
              </w:rPr>
              <w:t xml:space="preserve">Menit 40–60: Dokumentasi asesmen sosial dalam rekam medis rahasia; rujukan psikososial/hukum diaktifkan bila ada indikasi kekerasan.</w:t>
            </w:r>
          </w:p>
        </w:tc>
      </w:tr>
    </w:tbl>
    <w:p>
      <w:pPr>
        <w:spacing w:after="8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7A1F3D" w:sz="6"/>
              <w:left w:val="single" w:color="7A1F3D" w:sz="6"/>
              <w:bottom w:val="single" w:color="7A1F3D" w:sz="6"/>
              <w:right w:val="single" w:color="7A1F3D" w:sz="6"/>
            </w:tcBorders>
            <w:shd w:fill="7A1F3D" w:val="clear"/>
            <w:tcMar>
              <w:top w:type="dxa" w:w="100"/>
              <w:left w:type="dxa" w:w="180"/>
              <w:bottom w:type="dxa" w:w="100"/>
              <w:right w:type="dxa" w:w="180"/>
            </w:tcMar>
          </w:tcPr>
          <w:p>
            <w:pPr>
              <w:spacing w:after="40"/>
              <w:jc w:val="left"/>
            </w:pPr>
            <w:r>
              <w:rPr>
                <w:b/>
                <w:bCs/>
                <w:color w:val="FFFFFF"/>
                <w:sz w:val="21"/>
                <w:szCs w:val="21"/>
              </w:rPr>
              <w:t xml:space="preserve">EVALUASI MENIT KE-60</w:t>
            </w:r>
          </w:p>
          <w:p>
            <w:pPr>
              <w:spacing w:after="0"/>
              <w:jc w:val="left"/>
            </w:pPr>
            <w:r>
              <w:rPr>
                <w:b w:val="false"/>
                <w:bCs w:val="false"/>
                <w:color w:val="FFFFFF"/>
                <w:sz w:val="19"/>
                <w:szCs w:val="19"/>
              </w:rPr>
              <w:t xml:space="preserve">Golden hour tercapai bila tata laksana definitif/rujukan terlaksana ≤60 menit. Keterlambatan → dicatat sebagai insiden audit mutu (lihat Indikator Medis).</w:t>
            </w:r>
          </w:p>
        </w:tc>
      </w:tr>
    </w:tbl>
    <w:p>
      <w:pPr>
        <w:spacing w:after="160"/>
      </w:pPr>
    </w:p>
    <w:p>
      <w:pPr>
        <w:spacing w:after="80" w:before="120"/>
      </w:pPr>
      <w:r>
        <w:rPr>
          <w:b/>
          <w:bCs/>
          <w:color w:val="7A1F3D"/>
          <w:sz w:val="22"/>
          <w:szCs w:val="22"/>
        </w:rPr>
        <w:t xml:space="preserve">Tata Laksana Spesifik per Kondisi Kegawatdaruratan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200"/>
        <w:gridCol w:w="6438"/>
      </w:tblGrid>
      <w:tr>
        <w:trPr>
          <w:tblHeader/>
        </w:trPr>
        <w:tc>
          <w:tcPr>
            <w:tcW w:type="dxa" w:w="3200"/>
            <w:tcBorders>
              <w:top w:val="single" w:color="D9D9D9" w:sz="4"/>
              <w:left w:val="single" w:color="D9D9D9" w:sz="4"/>
              <w:bottom w:val="single" w:color="D9D9D9" w:sz="4"/>
              <w:right w:val="single" w:color="D9D9D9" w:sz="4"/>
            </w:tcBorders>
            <w:shd w:fill="7A1F3D" w:val="clear"/>
            <w:tcMar>
              <w:top w:type="dxa" w:w="80"/>
              <w:left w:type="dxa" w:w="100"/>
              <w:bottom w:type="dxa" w:w="80"/>
              <w:right w:type="dxa" w:w="100"/>
            </w:tcMar>
            <w:vAlign w:val="center"/>
          </w:tcPr>
          <w:p>
            <w:r>
              <w:rPr>
                <w:b/>
                <w:bCs/>
                <w:color w:val="FFFFFF"/>
                <w:sz w:val="19"/>
                <w:szCs w:val="19"/>
              </w:rPr>
              <w:t xml:space="preserve">Kondisi</w:t>
            </w:r>
          </w:p>
        </w:tc>
        <w:tc>
          <w:tcPr>
            <w:tcW w:type="dxa" w:w="6438"/>
            <w:tcBorders>
              <w:top w:val="single" w:color="D9D9D9" w:sz="4"/>
              <w:left w:val="single" w:color="D9D9D9" w:sz="4"/>
              <w:bottom w:val="single" w:color="D9D9D9" w:sz="4"/>
              <w:right w:val="single" w:color="D9D9D9" w:sz="4"/>
            </w:tcBorders>
            <w:shd w:fill="7A1F3D" w:val="clear"/>
            <w:tcMar>
              <w:top w:type="dxa" w:w="80"/>
              <w:left w:type="dxa" w:w="100"/>
              <w:bottom w:type="dxa" w:w="80"/>
              <w:right w:type="dxa" w:w="100"/>
            </w:tcMar>
            <w:vAlign w:val="center"/>
          </w:tcPr>
          <w:p>
            <w:r>
              <w:rPr>
                <w:b/>
                <w:bCs/>
                <w:color w:val="FFFFFF"/>
                <w:sz w:val="19"/>
                <w:szCs w:val="19"/>
              </w:rPr>
              <w:t xml:space="preserve">Tata Laksana Awal Kunci</w:t>
            </w:r>
          </w:p>
        </w:tc>
      </w:tr>
      <w:tr>
        <w:tc>
          <w:tcPr>
            <w:tcW w:type="dxa" w:w="3200"/>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Perdarahan postpartum (atonia uteri)</w:t>
            </w:r>
          </w:p>
        </w:tc>
        <w:tc>
          <w:tcPr>
            <w:tcW w:type="dxa" w:w="6438"/>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Bundel MOTIVE (Massage uterus, uterOtonika, Tranexamic acid, IntraVenous fluids, Examination, Escalation) sesuai Pedoman Konsolidasi WHO-FIGO-ICM 2025: masase fundus segera, oksitosin 10 IU IM/IV sebagai uterotonika lini pertama (karbetosin stabil-panas sebagai alternatif bila rantai dingin oksitosin tidak terjamin), asam traneksamat 1 g IV diberikan sedini mungkin (idealnya dalam 3 jam onset), resusitasi cairan IV, pemeriksaan sumber perdarahan (4T), dan eskalasi bertahap termasuk kompresi bimanual/tamponade balon bila diperlukan.</w:t>
            </w:r>
          </w:p>
        </w:tc>
      </w:tr>
      <w:tr>
        <w:tc>
          <w:tcPr>
            <w:tcW w:type="dxa" w:w="3200"/>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Perdarahan antepartum (suspek previa/solusio)</w:t>
            </w:r>
          </w:p>
        </w:tc>
        <w:tc>
          <w:tcPr>
            <w:tcW w:type="dxa" w:w="6438"/>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Hindari pemeriksaan dalam sebelum USG; resusitasi cairan kristaloid, siapkan transfusi, rencanakan seksio sesarea cito bila janin viable &amp; perdarahan aktif.</w:t>
            </w:r>
          </w:p>
        </w:tc>
      </w:tr>
      <w:tr>
        <w:tc>
          <w:tcPr>
            <w:tcW w:type="dxa" w:w="3200"/>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Preeklampsia berat/Eklampsia</w:t>
            </w:r>
          </w:p>
        </w:tc>
        <w:tc>
          <w:tcPr>
            <w:tcW w:type="dxa" w:w="6438"/>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MgSO4 direkomendasikan WHO dan ACOG sebagai antikonvulsan pilihan utama: dosis awal 4 g IV bolus pelan dilanjutkan infus rumatan 1 g/jam (regimen IV) atau 10 g IM loading dilanjutkan 5 g IM tiap 4 jam bila akses IV sulit, dengan pemantauan refleks patella, frekuensi napas, dan produksi urin; antihipertensi (nifedipin/nikardipin/labetalol) bila TD ≥160/110 mmHg; terminasi kehamilan setelah stabil.</w:t>
            </w:r>
          </w:p>
        </w:tc>
      </w:tr>
      <w:tr>
        <w:tc>
          <w:tcPr>
            <w:tcW w:type="dxa" w:w="3200"/>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Sepsis maternal/korioamnionitis</w:t>
            </w:r>
          </w:p>
        </w:tc>
        <w:tc>
          <w:tcPr>
            <w:tcW w:type="dxa" w:w="6438"/>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Antibiotik spektrum luas dalam 1 jam pertama, resusitasi cairan, kontrol sumber infeksi (evakuasi uterus/drainase bila indikasi).</w:t>
            </w:r>
          </w:p>
        </w:tc>
      </w:tr>
      <w:tr>
        <w:tc>
          <w:tcPr>
            <w:tcW w:type="dxa" w:w="3200"/>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Asfiksia neonatorum</w:t>
            </w:r>
          </w:p>
        </w:tc>
        <w:tc>
          <w:tcPr>
            <w:tcW w:type="dxa" w:w="6438"/>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Mengikuti algoritme Neonatal Resuscitation Program (NRP) edisi ke-8 AAP/AHA: langkah awal (hangatkan, posisikan, isap lendir bila perlu, keringkan-stimulasi) dievaluasi dalam 30 detik pertama; ventilasi tekanan positif dimulai bila napas tidak adekuat/frekuensi jantung &lt;100x/menit sebelum menit pertama kehidupan ("the golden minute").</w:t>
            </w:r>
          </w:p>
        </w:tc>
      </w:tr>
    </w:tbl>
    <w:p>
      <w:pPr>
        <w:spacing w:after="120"/>
      </w:pPr>
    </w:p>
    <w:p>
      <w:pPr>
        <w:spacing w:after="100" w:line="276"/>
      </w:pPr>
      <w:r>
        <w:rPr>
          <w:b w:val="false"/>
          <w:bCs w:val="false"/>
          <w:i/>
          <w:iCs/>
          <w:color w:val="2B2B2B"/>
          <w:sz w:val="21"/>
          <w:szCs w:val="21"/>
        </w:rPr>
        <w:t xml:space="preserve">Catatan pembaruan standar internasional: bundel MOTIVE mengacu pada Consolidated Guidelines for the Prevention, Diagnosis and Treatment of Postpartum Haemorrhage (WHO, FIGO, ICM; Geneva, 2025) yang diluncurkan pada peringatan Hari Perdarahan Pascasalin Sedunia pertama (5 Oktober 2025), menggantikan rekomendasi WHO PPH tahun 2012 yang sebelumnya lebih umum dirujuk; efikasi bundel ini didukung oleh uji klinis E-MOTIVE (Gallos dkk., New England Journal of Medicine, 2023).</w:t>
      </w:r>
    </w:p>
    <w:p>
      <w:pPr>
        <w:spacing w:after="160"/>
      </w:pPr>
    </w:p>
    <w:p>
      <w:pPr>
        <w:spacing w:after="80" w:before="120"/>
      </w:pPr>
      <w:r>
        <w:rPr>
          <w:b/>
          <w:bCs/>
          <w:color w:val="7A1F3D"/>
          <w:sz w:val="22"/>
          <w:szCs w:val="22"/>
        </w:rPr>
        <w:t xml:space="preserve">Aspek Etikolegal dan Kerahasiaan</w:t>
      </w:r>
    </w:p>
    <w:p>
      <w:pPr>
        <w:spacing w:after="100" w:line="276"/>
      </w:pPr>
      <w:r>
        <w:rPr>
          <w:b w:val="false"/>
          <w:bCs w:val="false"/>
          <w:i w:val="false"/>
          <w:iCs w:val="false"/>
          <w:color w:val="2B2B2B"/>
          <w:sz w:val="21"/>
          <w:szCs w:val="21"/>
        </w:rPr>
        <w:t xml:space="preserve">Bila kegawatdaruratan bersinggungan dengan dugaan kekerasan seksual, kekerasan dalam rumah tangga, atau kehamilan tidak diinginkan, tata laksana WAJIB memperhatikan batasan hukum Indonesia berikut sebelum menerapkan rekomendasi klinis internasional:</w:t>
      </w:r>
    </w:p>
    <w:p>
      <w:pPr>
        <w:pStyle w:val="ListParagraph"/>
        <w:numPr>
          <w:ilvl w:val="0"/>
          <w:numId w:val="1"/>
        </w:numPr>
        <w:spacing w:after="60" w:line="264"/>
      </w:pPr>
      <w:r>
        <w:rPr>
          <w:b/>
          <w:bCs/>
          <w:color w:val="2B2B2B"/>
          <w:sz w:val="21"/>
          <w:szCs w:val="21"/>
        </w:rPr>
        <w:t xml:space="preserve">Undang-Undang Nomor 12 Tahun 2022 tentang Tindak Pidana Kekerasan Seksual (UU TPKS): </w:t>
      </w:r>
      <w:r>
        <w:rPr>
          <w:color w:val="2B2B2B"/>
          <w:sz w:val="21"/>
          <w:szCs w:val="21"/>
        </w:rPr>
        <w:t xml:space="preserve">mengatur hak korban atas layanan kesehatan, pendampingan, dan perlindungan kerahasiaan identitas; petugas kesehatan wajib memberikan layanan tanpa menunda atas dasar proses hukum yang belum selesai.</w:t>
      </w:r>
    </w:p>
    <w:p>
      <w:pPr>
        <w:pStyle w:val="ListParagraph"/>
        <w:numPr>
          <w:ilvl w:val="0"/>
          <w:numId w:val="1"/>
        </w:numPr>
        <w:spacing w:after="60" w:line="264"/>
      </w:pPr>
      <w:r>
        <w:rPr>
          <w:b/>
          <w:bCs/>
          <w:color w:val="2B2B2B"/>
          <w:sz w:val="21"/>
          <w:szCs w:val="21"/>
        </w:rPr>
        <w:t xml:space="preserve">Undang-Undang Nomor 23 Tahun 2004 tentang Penghapusan Kekerasan Dalam Rumah Tangga (UU PKDRT): </w:t>
      </w:r>
      <w:r>
        <w:rPr>
          <w:color w:val="2B2B2B"/>
          <w:sz w:val="21"/>
          <w:szCs w:val="21"/>
        </w:rPr>
        <w:t xml:space="preserve">mewajibkan tenaga kesehatan memberikan pelayanan kesehatan sesuai standar profesi dan, atas persetujuan korban, membuat visum et repertum atau surat keterangan medis lain.</w:t>
      </w:r>
    </w:p>
    <w:p>
      <w:pPr>
        <w:pStyle w:val="ListParagraph"/>
        <w:numPr>
          <w:ilvl w:val="0"/>
          <w:numId w:val="1"/>
        </w:numPr>
        <w:spacing w:after="60" w:line="264"/>
      </w:pPr>
      <w:r>
        <w:rPr>
          <w:b/>
          <w:bCs/>
          <w:color w:val="2B2B2B"/>
          <w:sz w:val="21"/>
          <w:szCs w:val="21"/>
        </w:rPr>
        <w:t xml:space="preserve">Kitab Undang-Undang Hukum Pidana (KUHP) terkait: </w:t>
      </w:r>
      <w:r>
        <w:rPr>
          <w:color w:val="2B2B2B"/>
          <w:sz w:val="21"/>
          <w:szCs w:val="21"/>
        </w:rPr>
        <w:t xml:space="preserve">ketentuan mengenai tindak pidana terhadap tubuh dan nyawa yang relevan bila ditemukan tanda kekerasan fisik; dokumentasi forensik dilakukan dengan persetujuan pasien dan koordinasi dengan unit forensik/PPA (Pusat Pelayanan Terpadu) bila tersedia.</w:t>
      </w:r>
    </w:p>
    <w:p>
      <w:pPr>
        <w:spacing w:after="100" w:line="276"/>
      </w:pPr>
      <w:r>
        <w:rPr>
          <w:b w:val="false"/>
          <w:bCs w:val="false"/>
          <w:i w:val="false"/>
          <w:iCs w:val="false"/>
          <w:color w:val="2B2B2B"/>
          <w:sz w:val="21"/>
          <w:szCs w:val="21"/>
        </w:rPr>
        <w:t xml:space="preserve">Setelah batasan hukum di atas dipenuhi, rekomendasi klinis WHO/FIGO mengenai layanan pascakekerasan seksual (kontrasepsi darurat, profilaksis pascapajanan HIV, pencegahan IMS) dapat diterapkan sesuai indikasi klinis.</w:t>
      </w:r>
    </w:p>
    <w:p>
      <w:pPr>
        <w:spacing w:after="100" w:line="276"/>
      </w:pPr>
      <w:r>
        <w:rPr>
          <w:b w:val="false"/>
          <w:bCs w:val="false"/>
          <w:i w:val="false"/>
          <w:iCs w:val="false"/>
          <w:color w:val="2B2B2B"/>
          <w:sz w:val="21"/>
          <w:szCs w:val="21"/>
        </w:rPr>
        <w:t xml:space="preserve">Kerahasiaan: seluruh data asesmen sosial-psikologis dicatat pada bagian rekam medis dengan akses terbatas (need-to-know basis), tidak dibagikan kepada pihak keluarga/pasangan tanpa persetujuan pasien kecuali diwajibkan oleh hukum (misalnya pelaporan kekerasan terhadap anak). Bahasa yang digunakan dalam dokumentasi bersifat nonjudgmental dan menjaga martabat pasien.</w:t>
      </w:r>
    </w:p>
    <w:p>
      <w:pPr>
        <w:spacing w:after="80" w:before="120"/>
      </w:pPr>
      <w:r>
        <w:rPr>
          <w:b/>
          <w:bCs/>
          <w:color w:val="7A1F3D"/>
          <w:sz w:val="22"/>
          <w:szCs w:val="22"/>
        </w:rPr>
        <w:t xml:space="preserve">Kriteria dan Prosedur Rujukan</w:t>
      </w:r>
    </w:p>
    <w:p>
      <w:pPr>
        <w:pStyle w:val="ListParagraph"/>
        <w:numPr>
          <w:ilvl w:val="0"/>
          <w:numId w:val="1"/>
        </w:numPr>
        <w:spacing w:after="60" w:line="264"/>
      </w:pPr>
      <w:r>
        <w:rPr>
          <w:b w:val="false"/>
          <w:bCs w:val="false"/>
          <w:color w:val="2B2B2B"/>
          <w:sz w:val="21"/>
          <w:szCs w:val="21"/>
        </w:rPr>
        <w:t xml:space="preserve">Rujuk vertikal (PONED→PONEK) bila fasilitas primer tidak memiliki kapasitas transfusi darah, seksio sesarea cito, atau perawatan intensif neonatal.</w:t>
      </w:r>
    </w:p>
    <w:p>
      <w:pPr>
        <w:pStyle w:val="ListParagraph"/>
        <w:numPr>
          <w:ilvl w:val="0"/>
          <w:numId w:val="1"/>
        </w:numPr>
        <w:spacing w:after="60" w:line="264"/>
      </w:pPr>
      <w:r>
        <w:rPr>
          <w:b w:val="false"/>
          <w:bCs w:val="false"/>
          <w:color w:val="2B2B2B"/>
          <w:sz w:val="21"/>
          <w:szCs w:val="21"/>
        </w:rPr>
        <w:t xml:space="preserve">Komunikasi rujukan menggunakan format SBAR (Situation-Background-Assessment-Recommendation) melalui telepon sebelum pasien tiba.</w:t>
      </w:r>
    </w:p>
    <w:p>
      <w:pPr>
        <w:pStyle w:val="ListParagraph"/>
        <w:numPr>
          <w:ilvl w:val="0"/>
          <w:numId w:val="1"/>
        </w:numPr>
        <w:spacing w:after="60" w:line="264"/>
      </w:pPr>
      <w:r>
        <w:rPr>
          <w:b w:val="false"/>
          <w:bCs w:val="false"/>
          <w:color w:val="2B2B2B"/>
          <w:sz w:val="21"/>
          <w:szCs w:val="21"/>
        </w:rPr>
        <w:t xml:space="preserve">Pendamping (keluarga/kader) menyertai pasien selama transportasi rujukan sesuai kesiapan unsur "Keluarga" pada BAKSOKUDA.</w:t>
      </w:r>
    </w:p>
    <w:p>
      <w:pPr>
        <w:spacing w:after="6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7A1F3D" w:sz="4"/>
              <w:left w:val="single" w:color="7A1F3D" w:sz="4"/>
              <w:bottom w:val="single" w:color="7A1F3D" w:sz="4"/>
              <w:right w:val="single" w:color="7A1F3D" w:sz="4"/>
            </w:tcBorders>
            <w:shd w:fill="7A1F3D" w:val="clear"/>
            <w:tcMar>
              <w:top w:type="dxa" w:w="120"/>
              <w:left w:type="dxa" w:w="180"/>
              <w:bottom w:type="dxa" w:w="120"/>
              <w:right w:type="dxa" w:w="180"/>
            </w:tcMar>
          </w:tcPr>
          <w:p>
            <w:r>
              <w:rPr>
                <w:b/>
                <w:bCs/>
                <w:color w:val="FFFFFF"/>
                <w:sz w:val="24"/>
                <w:szCs w:val="24"/>
              </w:rPr>
              <w:t xml:space="preserve">9. </w:t>
            </w:r>
            <w:r>
              <w:rPr>
                <w:b/>
                <w:bCs/>
                <w:color w:val="FFFFFF"/>
                <w:sz w:val="24"/>
                <w:szCs w:val="24"/>
              </w:rPr>
              <w:t xml:space="preserve">Edukasi</w:t>
            </w:r>
          </w:p>
        </w:tc>
      </w:tr>
    </w:tbl>
    <w:p>
      <w:pPr>
        <w:spacing w:after="80"/>
      </w:pPr>
    </w:p>
    <w:p>
      <w:pPr>
        <w:pStyle w:val="ListParagraph"/>
        <w:numPr>
          <w:ilvl w:val="0"/>
          <w:numId w:val="1"/>
        </w:numPr>
        <w:spacing w:after="60" w:line="264"/>
      </w:pPr>
      <w:r>
        <w:rPr>
          <w:b w:val="false"/>
          <w:bCs w:val="false"/>
          <w:color w:val="2B2B2B"/>
          <w:sz w:val="21"/>
          <w:szCs w:val="21"/>
        </w:rPr>
        <w:t xml:space="preserve">Jelaskan kepada pasien dan keluarga tanda bahaya kehamilan/persalinan/nifas serta pentingnya mencari pertolongan segera ("jangan menunggu").</w:t>
      </w:r>
    </w:p>
    <w:p>
      <w:pPr>
        <w:pStyle w:val="ListParagraph"/>
        <w:numPr>
          <w:ilvl w:val="0"/>
          <w:numId w:val="1"/>
        </w:numPr>
        <w:spacing w:after="60" w:line="264"/>
      </w:pPr>
      <w:r>
        <w:rPr>
          <w:b w:val="false"/>
          <w:bCs w:val="false"/>
          <w:color w:val="2B2B2B"/>
          <w:sz w:val="21"/>
          <w:szCs w:val="21"/>
        </w:rPr>
        <w:t xml:space="preserve">Edukasi konsep golden hour: keterlambatan pengambilan keputusan keluarga berdampak langsung pada keselamatan ibu dan bayi.</w:t>
      </w:r>
    </w:p>
    <w:p>
      <w:pPr>
        <w:pStyle w:val="ListParagraph"/>
        <w:numPr>
          <w:ilvl w:val="0"/>
          <w:numId w:val="1"/>
        </w:numPr>
        <w:spacing w:after="60" w:line="264"/>
      </w:pPr>
      <w:r>
        <w:rPr>
          <w:b w:val="false"/>
          <w:bCs w:val="false"/>
          <w:color w:val="2B2B2B"/>
          <w:sz w:val="21"/>
          <w:szCs w:val="21"/>
        </w:rPr>
        <w:t xml:space="preserve">Libatkan keluarga dalam kesiapsiagaan rujukan (BAKSOKUDA) sejak masa kehamilan, bukan hanya saat kegawatan terjadi.</w:t>
      </w:r>
    </w:p>
    <w:p>
      <w:pPr>
        <w:pStyle w:val="ListParagraph"/>
        <w:numPr>
          <w:ilvl w:val="0"/>
          <w:numId w:val="1"/>
        </w:numPr>
        <w:spacing w:after="60" w:line="264"/>
      </w:pPr>
      <w:r>
        <w:rPr>
          <w:b w:val="false"/>
          <w:bCs w:val="false"/>
          <w:color w:val="2B2B2B"/>
          <w:sz w:val="21"/>
          <w:szCs w:val="21"/>
        </w:rPr>
        <w:t xml:space="preserve">Bagi pasien dengan riwayat kekerasan/KTD: informasikan hak atas layanan kesehatan tanpa diskriminasi, kerahasiaan, dan opsi rujukan ke layanan pendampingan psikososial/hukum, disampaikan tanpa menghakimi.</w:t>
      </w:r>
    </w:p>
    <w:p>
      <w:pPr>
        <w:pStyle w:val="ListParagraph"/>
        <w:numPr>
          <w:ilvl w:val="0"/>
          <w:numId w:val="1"/>
        </w:numPr>
        <w:spacing w:after="60" w:line="264"/>
      </w:pPr>
      <w:r>
        <w:rPr>
          <w:b w:val="false"/>
          <w:bCs w:val="false"/>
          <w:color w:val="2B2B2B"/>
          <w:sz w:val="21"/>
          <w:szCs w:val="21"/>
        </w:rPr>
        <w:t xml:space="preserve">Edukasi pascakrisis: tanda bahaya lanjutan yang perlu diwaspadai di rumah, jadwal kontrol pascarawat, dan kontak layanan darurat.</w:t>
      </w:r>
    </w:p>
    <w:p>
      <w:pPr>
        <w:spacing w:after="6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7A1F3D" w:sz="4"/>
              <w:left w:val="single" w:color="7A1F3D" w:sz="4"/>
              <w:bottom w:val="single" w:color="7A1F3D" w:sz="4"/>
              <w:right w:val="single" w:color="7A1F3D" w:sz="4"/>
            </w:tcBorders>
            <w:shd w:fill="7A1F3D" w:val="clear"/>
            <w:tcMar>
              <w:top w:type="dxa" w:w="120"/>
              <w:left w:type="dxa" w:w="180"/>
              <w:bottom w:type="dxa" w:w="120"/>
              <w:right w:type="dxa" w:w="180"/>
            </w:tcMar>
          </w:tcPr>
          <w:p>
            <w:r>
              <w:rPr>
                <w:b/>
                <w:bCs/>
                <w:color w:val="FFFFFF"/>
                <w:sz w:val="24"/>
                <w:szCs w:val="24"/>
              </w:rPr>
              <w:t xml:space="preserve">10. </w:t>
            </w:r>
            <w:r>
              <w:rPr>
                <w:b/>
                <w:bCs/>
                <w:color w:val="FFFFFF"/>
                <w:sz w:val="24"/>
                <w:szCs w:val="24"/>
              </w:rPr>
              <w:t xml:space="preserve">Prognosis</w:t>
            </w:r>
          </w:p>
        </w:tc>
      </w:tr>
    </w:tbl>
    <w:p>
      <w:pPr>
        <w:spacing w:after="80"/>
      </w:pPr>
    </w:p>
    <w:p>
      <w:pPr>
        <w:spacing w:after="100" w:line="276"/>
      </w:pPr>
      <w:r>
        <w:rPr>
          <w:b w:val="false"/>
          <w:bCs w:val="false"/>
          <w:i w:val="false"/>
          <w:iCs w:val="false"/>
          <w:color w:val="2B2B2B"/>
          <w:sz w:val="21"/>
          <w:szCs w:val="21"/>
        </w:rPr>
        <w:t xml:space="preserve">Prognosis sangat bergantung pada kecepatan pengenalan tanda bahaya, ketercapaian golden hour (≤60 menit), dan penyelesaian hambatan sosial (BAKSOKUDA) secara paralel dengan tata laksana medis.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400"/>
        <w:gridCol w:w="3600"/>
        <w:gridCol w:w="3638"/>
      </w:tblGrid>
      <w:tr>
        <w:trPr>
          <w:tblHeader/>
        </w:trPr>
        <w:tc>
          <w:tcPr>
            <w:tcW w:type="dxa" w:w="2400"/>
            <w:tcBorders>
              <w:top w:val="single" w:color="D9D9D9" w:sz="4"/>
              <w:left w:val="single" w:color="D9D9D9" w:sz="4"/>
              <w:bottom w:val="single" w:color="D9D9D9" w:sz="4"/>
              <w:right w:val="single" w:color="D9D9D9" w:sz="4"/>
            </w:tcBorders>
            <w:shd w:fill="7A1F3D" w:val="clear"/>
            <w:tcMar>
              <w:top w:type="dxa" w:w="80"/>
              <w:left w:type="dxa" w:w="100"/>
              <w:bottom w:type="dxa" w:w="80"/>
              <w:right w:type="dxa" w:w="100"/>
            </w:tcMar>
            <w:vAlign w:val="center"/>
          </w:tcPr>
          <w:p>
            <w:r>
              <w:rPr>
                <w:b/>
                <w:bCs/>
                <w:color w:val="FFFFFF"/>
                <w:sz w:val="19"/>
                <w:szCs w:val="19"/>
              </w:rPr>
              <w:t xml:space="preserve">Aspek</w:t>
            </w:r>
          </w:p>
        </w:tc>
        <w:tc>
          <w:tcPr>
            <w:tcW w:type="dxa" w:w="3600"/>
            <w:tcBorders>
              <w:top w:val="single" w:color="D9D9D9" w:sz="4"/>
              <w:left w:val="single" w:color="D9D9D9" w:sz="4"/>
              <w:bottom w:val="single" w:color="D9D9D9" w:sz="4"/>
              <w:right w:val="single" w:color="D9D9D9" w:sz="4"/>
            </w:tcBorders>
            <w:shd w:fill="7A1F3D" w:val="clear"/>
            <w:tcMar>
              <w:top w:type="dxa" w:w="80"/>
              <w:left w:type="dxa" w:w="100"/>
              <w:bottom w:type="dxa" w:w="80"/>
              <w:right w:type="dxa" w:w="100"/>
            </w:tcMar>
            <w:vAlign w:val="center"/>
          </w:tcPr>
          <w:p>
            <w:r>
              <w:rPr>
                <w:b/>
                <w:bCs/>
                <w:color w:val="FFFFFF"/>
                <w:sz w:val="19"/>
                <w:szCs w:val="19"/>
              </w:rPr>
              <w:t xml:space="preserve">Golden Hour Tercapai</w:t>
            </w:r>
          </w:p>
        </w:tc>
        <w:tc>
          <w:tcPr>
            <w:tcW w:type="dxa" w:w="3638"/>
            <w:tcBorders>
              <w:top w:val="single" w:color="D9D9D9" w:sz="4"/>
              <w:left w:val="single" w:color="D9D9D9" w:sz="4"/>
              <w:bottom w:val="single" w:color="D9D9D9" w:sz="4"/>
              <w:right w:val="single" w:color="D9D9D9" w:sz="4"/>
            </w:tcBorders>
            <w:shd w:fill="7A1F3D" w:val="clear"/>
            <w:tcMar>
              <w:top w:type="dxa" w:w="80"/>
              <w:left w:type="dxa" w:w="100"/>
              <w:bottom w:type="dxa" w:w="80"/>
              <w:right w:type="dxa" w:w="100"/>
            </w:tcMar>
            <w:vAlign w:val="center"/>
          </w:tcPr>
          <w:p>
            <w:r>
              <w:rPr>
                <w:b/>
                <w:bCs/>
                <w:color w:val="FFFFFF"/>
                <w:sz w:val="19"/>
                <w:szCs w:val="19"/>
              </w:rPr>
              <w:t xml:space="preserve">Golden Hour Tidak Tercapai</w:t>
            </w:r>
          </w:p>
        </w:tc>
      </w:tr>
      <w:tr>
        <w:tc>
          <w:tcPr>
            <w:tcW w:type="dxa" w:w="2400"/>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Ad vitam</w:t>
            </w:r>
          </w:p>
        </w:tc>
        <w:tc>
          <w:tcPr>
            <w:tcW w:type="dxa" w:w="3600"/>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Dubia ad bonam</w:t>
            </w:r>
          </w:p>
        </w:tc>
        <w:tc>
          <w:tcPr>
            <w:tcW w:type="dxa" w:w="3638"/>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Dubia ad malam</w:t>
            </w:r>
          </w:p>
        </w:tc>
      </w:tr>
      <w:tr>
        <w:tc>
          <w:tcPr>
            <w:tcW w:type="dxa" w:w="2400"/>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Ad functionam</w:t>
            </w:r>
          </w:p>
        </w:tc>
        <w:tc>
          <w:tcPr>
            <w:tcW w:type="dxa" w:w="3600"/>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Dubia ad bonam</w:t>
            </w:r>
          </w:p>
        </w:tc>
        <w:tc>
          <w:tcPr>
            <w:tcW w:type="dxa" w:w="3638"/>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Dubia ad malam</w:t>
            </w:r>
          </w:p>
        </w:tc>
      </w:tr>
      <w:tr>
        <w:tc>
          <w:tcPr>
            <w:tcW w:type="dxa" w:w="2400"/>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Ad sanationam</w:t>
            </w:r>
          </w:p>
        </w:tc>
        <w:tc>
          <w:tcPr>
            <w:tcW w:type="dxa" w:w="3600"/>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Dubia ad bonam</w:t>
            </w:r>
          </w:p>
        </w:tc>
        <w:tc>
          <w:tcPr>
            <w:tcW w:type="dxa" w:w="3638"/>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Dubia</w:t>
            </w:r>
          </w:p>
        </w:tc>
      </w:tr>
    </w:tbl>
    <w:p>
      <w:pPr>
        <w:spacing w:after="6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7A1F3D" w:sz="4"/>
              <w:left w:val="single" w:color="7A1F3D" w:sz="4"/>
              <w:bottom w:val="single" w:color="7A1F3D" w:sz="4"/>
              <w:right w:val="single" w:color="7A1F3D" w:sz="4"/>
            </w:tcBorders>
            <w:shd w:fill="7A1F3D" w:val="clear"/>
            <w:tcMar>
              <w:top w:type="dxa" w:w="120"/>
              <w:left w:type="dxa" w:w="180"/>
              <w:bottom w:type="dxa" w:w="120"/>
              <w:right w:type="dxa" w:w="180"/>
            </w:tcMar>
          </w:tcPr>
          <w:p>
            <w:r>
              <w:rPr>
                <w:b/>
                <w:bCs/>
                <w:color w:val="FFFFFF"/>
                <w:sz w:val="24"/>
                <w:szCs w:val="24"/>
              </w:rPr>
              <w:t xml:space="preserve">11. </w:t>
            </w:r>
            <w:r>
              <w:rPr>
                <w:b/>
                <w:bCs/>
                <w:color w:val="FFFFFF"/>
                <w:sz w:val="24"/>
                <w:szCs w:val="24"/>
              </w:rPr>
              <w:t xml:space="preserve">Tingkat Evidens</w:t>
            </w:r>
          </w:p>
        </w:tc>
      </w:tr>
    </w:tbl>
    <w:p>
      <w:pPr>
        <w:spacing w:after="8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6438"/>
        <w:gridCol w:w="3200"/>
      </w:tblGrid>
      <w:tr>
        <w:trPr>
          <w:tblHeader/>
        </w:trPr>
        <w:tc>
          <w:tcPr>
            <w:tcW w:type="dxa" w:w="6438"/>
            <w:tcBorders>
              <w:top w:val="single" w:color="D9D9D9" w:sz="4"/>
              <w:left w:val="single" w:color="D9D9D9" w:sz="4"/>
              <w:bottom w:val="single" w:color="D9D9D9" w:sz="4"/>
              <w:right w:val="single" w:color="D9D9D9" w:sz="4"/>
            </w:tcBorders>
            <w:shd w:fill="7A1F3D" w:val="clear"/>
            <w:tcMar>
              <w:top w:type="dxa" w:w="80"/>
              <w:left w:type="dxa" w:w="100"/>
              <w:bottom w:type="dxa" w:w="80"/>
              <w:right w:type="dxa" w:w="100"/>
            </w:tcMar>
            <w:vAlign w:val="center"/>
          </w:tcPr>
          <w:p>
            <w:r>
              <w:rPr>
                <w:b/>
                <w:bCs/>
                <w:color w:val="FFFFFF"/>
                <w:sz w:val="19"/>
                <w:szCs w:val="19"/>
              </w:rPr>
              <w:t xml:space="preserve">Intervensi</w:t>
            </w:r>
          </w:p>
        </w:tc>
        <w:tc>
          <w:tcPr>
            <w:tcW w:type="dxa" w:w="3200"/>
            <w:tcBorders>
              <w:top w:val="single" w:color="D9D9D9" w:sz="4"/>
              <w:left w:val="single" w:color="D9D9D9" w:sz="4"/>
              <w:bottom w:val="single" w:color="D9D9D9" w:sz="4"/>
              <w:right w:val="single" w:color="D9D9D9" w:sz="4"/>
            </w:tcBorders>
            <w:shd w:fill="7A1F3D" w:val="clear"/>
            <w:tcMar>
              <w:top w:type="dxa" w:w="80"/>
              <w:left w:type="dxa" w:w="100"/>
              <w:bottom w:type="dxa" w:w="80"/>
              <w:right w:type="dxa" w:w="100"/>
            </w:tcMar>
            <w:vAlign w:val="center"/>
          </w:tcPr>
          <w:p>
            <w:r>
              <w:rPr>
                <w:b/>
                <w:bCs/>
                <w:color w:val="FFFFFF"/>
                <w:sz w:val="19"/>
                <w:szCs w:val="19"/>
              </w:rPr>
              <w:t xml:space="preserve">Tingkat Evidens</w:t>
            </w:r>
          </w:p>
        </w:tc>
      </w:tr>
      <w:tr>
        <w:tc>
          <w:tcPr>
            <w:tcW w:type="dxa" w:w="6438"/>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MgSO4 untuk pencegahan/tata laksana eklampsia</w:t>
            </w:r>
          </w:p>
        </w:tc>
        <w:tc>
          <w:tcPr>
            <w:tcW w:type="dxa" w:w="3200"/>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I</w:t>
            </w:r>
          </w:p>
        </w:tc>
      </w:tr>
      <w:tr>
        <w:tc>
          <w:tcPr>
            <w:tcW w:type="dxa" w:w="6438"/>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Oksitosin/karbetosin profilaksis kala III untuk pencegahan PPH</w:t>
            </w:r>
          </w:p>
        </w:tc>
        <w:tc>
          <w:tcPr>
            <w:tcW w:type="dxa" w:w="3200"/>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I</w:t>
            </w:r>
          </w:p>
        </w:tc>
      </w:tr>
      <w:tr>
        <w:tc>
          <w:tcPr>
            <w:tcW w:type="dxa" w:w="6438"/>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Asam traneksamat dini (≤3 jam) pada perdarahan postpartum</w:t>
            </w:r>
          </w:p>
        </w:tc>
        <w:tc>
          <w:tcPr>
            <w:tcW w:type="dxa" w:w="3200"/>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I</w:t>
            </w:r>
          </w:p>
        </w:tc>
      </w:tr>
      <w:tr>
        <w:tc>
          <w:tcPr>
            <w:tcW w:type="dxa" w:w="6438"/>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Bundel MOTIVE untuk tata laksana PPH terstruktur</w:t>
            </w:r>
          </w:p>
        </w:tc>
        <w:tc>
          <w:tcPr>
            <w:tcW w:type="dxa" w:w="3200"/>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I</w:t>
            </w:r>
          </w:p>
        </w:tc>
      </w:tr>
      <w:tr>
        <w:tc>
          <w:tcPr>
            <w:tcW w:type="dxa" w:w="6438"/>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Carle's OEWS sebagai skor peringatan dini obstetri</w:t>
            </w:r>
          </w:p>
        </w:tc>
        <w:tc>
          <w:tcPr>
            <w:tcW w:type="dxa" w:w="3200"/>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II</w:t>
            </w:r>
          </w:p>
        </w:tc>
      </w:tr>
      <w:tr>
        <w:tc>
          <w:tcPr>
            <w:tcW w:type="dxa" w:w="6438"/>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Kerangka waktu golden hour pada kegawatdaruratan obstetri</w:t>
            </w:r>
          </w:p>
        </w:tc>
        <w:tc>
          <w:tcPr>
            <w:tcW w:type="dxa" w:w="3200"/>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II</w:t>
            </w:r>
          </w:p>
        </w:tc>
      </w:tr>
      <w:tr>
        <w:tc>
          <w:tcPr>
            <w:tcW w:type="dxa" w:w="6438"/>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Asesmen psikososial simultan (paralel) dengan stabilisasi medis</w:t>
            </w:r>
          </w:p>
        </w:tc>
        <w:tc>
          <w:tcPr>
            <w:tcW w:type="dxa" w:w="3200"/>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III</w:t>
            </w:r>
          </w:p>
        </w:tc>
      </w:tr>
      <w:tr>
        <w:tc>
          <w:tcPr>
            <w:tcW w:type="dxa" w:w="6438"/>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BAKSOKUDA sebagai model kesiapsiagaan rujukan berbasis masyarakat</w:t>
            </w:r>
          </w:p>
        </w:tc>
        <w:tc>
          <w:tcPr>
            <w:tcW w:type="dxa" w:w="3200"/>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III</w:t>
            </w:r>
          </w:p>
        </w:tc>
      </w:tr>
    </w:tbl>
    <w:p>
      <w:pPr>
        <w:spacing w:after="6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7A1F3D" w:sz="4"/>
              <w:left w:val="single" w:color="7A1F3D" w:sz="4"/>
              <w:bottom w:val="single" w:color="7A1F3D" w:sz="4"/>
              <w:right w:val="single" w:color="7A1F3D" w:sz="4"/>
            </w:tcBorders>
            <w:shd w:fill="7A1F3D" w:val="clear"/>
            <w:tcMar>
              <w:top w:type="dxa" w:w="120"/>
              <w:left w:type="dxa" w:w="180"/>
              <w:bottom w:type="dxa" w:w="120"/>
              <w:right w:type="dxa" w:w="180"/>
            </w:tcMar>
          </w:tcPr>
          <w:p>
            <w:r>
              <w:rPr>
                <w:b/>
                <w:bCs/>
                <w:color w:val="FFFFFF"/>
                <w:sz w:val="24"/>
                <w:szCs w:val="24"/>
              </w:rPr>
              <w:t xml:space="preserve">12. </w:t>
            </w:r>
            <w:r>
              <w:rPr>
                <w:b/>
                <w:bCs/>
                <w:color w:val="FFFFFF"/>
                <w:sz w:val="24"/>
                <w:szCs w:val="24"/>
              </w:rPr>
              <w:t xml:space="preserve">Tingkat Rekomendasi</w:t>
            </w:r>
          </w:p>
        </w:tc>
      </w:tr>
    </w:tbl>
    <w:p>
      <w:pPr>
        <w:spacing w:after="8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6438"/>
        <w:gridCol w:w="3200"/>
      </w:tblGrid>
      <w:tr>
        <w:trPr>
          <w:tblHeader/>
        </w:trPr>
        <w:tc>
          <w:tcPr>
            <w:tcW w:type="dxa" w:w="6438"/>
            <w:tcBorders>
              <w:top w:val="single" w:color="D9D9D9" w:sz="4"/>
              <w:left w:val="single" w:color="D9D9D9" w:sz="4"/>
              <w:bottom w:val="single" w:color="D9D9D9" w:sz="4"/>
              <w:right w:val="single" w:color="D9D9D9" w:sz="4"/>
            </w:tcBorders>
            <w:shd w:fill="7A1F3D" w:val="clear"/>
            <w:tcMar>
              <w:top w:type="dxa" w:w="80"/>
              <w:left w:type="dxa" w:w="100"/>
              <w:bottom w:type="dxa" w:w="80"/>
              <w:right w:type="dxa" w:w="100"/>
            </w:tcMar>
            <w:vAlign w:val="center"/>
          </w:tcPr>
          <w:p>
            <w:r>
              <w:rPr>
                <w:b/>
                <w:bCs/>
                <w:color w:val="FFFFFF"/>
                <w:sz w:val="19"/>
                <w:szCs w:val="19"/>
              </w:rPr>
              <w:t xml:space="preserve">Intervensi</w:t>
            </w:r>
          </w:p>
        </w:tc>
        <w:tc>
          <w:tcPr>
            <w:tcW w:type="dxa" w:w="3200"/>
            <w:tcBorders>
              <w:top w:val="single" w:color="D9D9D9" w:sz="4"/>
              <w:left w:val="single" w:color="D9D9D9" w:sz="4"/>
              <w:bottom w:val="single" w:color="D9D9D9" w:sz="4"/>
              <w:right w:val="single" w:color="D9D9D9" w:sz="4"/>
            </w:tcBorders>
            <w:shd w:fill="7A1F3D" w:val="clear"/>
            <w:tcMar>
              <w:top w:type="dxa" w:w="80"/>
              <w:left w:type="dxa" w:w="100"/>
              <w:bottom w:type="dxa" w:w="80"/>
              <w:right w:type="dxa" w:w="100"/>
            </w:tcMar>
            <w:vAlign w:val="center"/>
          </w:tcPr>
          <w:p>
            <w:r>
              <w:rPr>
                <w:b/>
                <w:bCs/>
                <w:color w:val="FFFFFF"/>
                <w:sz w:val="19"/>
                <w:szCs w:val="19"/>
              </w:rPr>
              <w:t xml:space="preserve">Tingkat Rekomendasi</w:t>
            </w:r>
          </w:p>
        </w:tc>
      </w:tr>
      <w:tr>
        <w:tc>
          <w:tcPr>
            <w:tcW w:type="dxa" w:w="6438"/>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MgSO4 untuk eklampsia/preeklampsia berat</w:t>
            </w:r>
          </w:p>
        </w:tc>
        <w:tc>
          <w:tcPr>
            <w:tcW w:type="dxa" w:w="3200"/>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A</w:t>
            </w:r>
          </w:p>
        </w:tc>
      </w:tr>
      <w:tr>
        <w:tc>
          <w:tcPr>
            <w:tcW w:type="dxa" w:w="6438"/>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Bundel MOTIVE (oksitosin/karbetosin &amp; asam traneksamat dini) pada PPH</w:t>
            </w:r>
          </w:p>
        </w:tc>
        <w:tc>
          <w:tcPr>
            <w:tcW w:type="dxa" w:w="3200"/>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A</w:t>
            </w:r>
          </w:p>
        </w:tc>
      </w:tr>
      <w:tr>
        <w:tc>
          <w:tcPr>
            <w:tcW w:type="dxa" w:w="6438"/>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Aktivasi golden hour ≤60 menit sebagai standar mutu</w:t>
            </w:r>
          </w:p>
        </w:tc>
        <w:tc>
          <w:tcPr>
            <w:tcW w:type="dxa" w:w="3200"/>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B</w:t>
            </w:r>
          </w:p>
        </w:tc>
      </w:tr>
      <w:tr>
        <w:tc>
          <w:tcPr>
            <w:tcW w:type="dxa" w:w="6438"/>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Integrasi asesmen sosial-psikologis paralel dalam algoritma emergensi</w:t>
            </w:r>
          </w:p>
        </w:tc>
        <w:tc>
          <w:tcPr>
            <w:tcW w:type="dxa" w:w="3200"/>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B</w:t>
            </w:r>
          </w:p>
        </w:tc>
      </w:tr>
      <w:tr>
        <w:tc>
          <w:tcPr>
            <w:tcW w:type="dxa" w:w="6438"/>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Penerapan BAKSOKUDA di jejaring rujukan RS</w:t>
            </w:r>
          </w:p>
        </w:tc>
        <w:tc>
          <w:tcPr>
            <w:tcW w:type="dxa" w:w="3200"/>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B</w:t>
            </w:r>
          </w:p>
        </w:tc>
      </w:tr>
    </w:tbl>
    <w:p>
      <w:pPr>
        <w:spacing w:after="6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7A1F3D" w:sz="4"/>
              <w:left w:val="single" w:color="7A1F3D" w:sz="4"/>
              <w:bottom w:val="single" w:color="7A1F3D" w:sz="4"/>
              <w:right w:val="single" w:color="7A1F3D" w:sz="4"/>
            </w:tcBorders>
            <w:shd w:fill="7A1F3D" w:val="clear"/>
            <w:tcMar>
              <w:top w:type="dxa" w:w="120"/>
              <w:left w:type="dxa" w:w="180"/>
              <w:bottom w:type="dxa" w:w="120"/>
              <w:right w:type="dxa" w:w="180"/>
            </w:tcMar>
          </w:tcPr>
          <w:p>
            <w:r>
              <w:rPr>
                <w:b/>
                <w:bCs/>
                <w:color w:val="FFFFFF"/>
                <w:sz w:val="24"/>
                <w:szCs w:val="24"/>
              </w:rPr>
              <w:t xml:space="preserve">13. </w:t>
            </w:r>
            <w:r>
              <w:rPr>
                <w:b/>
                <w:bCs/>
                <w:color w:val="FFFFFF"/>
                <w:sz w:val="24"/>
                <w:szCs w:val="24"/>
              </w:rPr>
              <w:t xml:space="preserve">Penelaah Kritis</w:t>
            </w:r>
          </w:p>
        </w:tc>
      </w:tr>
    </w:tbl>
    <w:p>
      <w:pPr>
        <w:spacing w:after="8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200"/>
        <w:gridCol w:w="4438"/>
      </w:tblGrid>
      <w:tr>
        <w:trPr>
          <w:tblHeader/>
        </w:trPr>
        <w:tc>
          <w:tcPr>
            <w:tcW w:type="dxa" w:w="5200"/>
            <w:tcBorders>
              <w:top w:val="single" w:color="D9D9D9" w:sz="4"/>
              <w:left w:val="single" w:color="D9D9D9" w:sz="4"/>
              <w:bottom w:val="single" w:color="D9D9D9" w:sz="4"/>
              <w:right w:val="single" w:color="D9D9D9" w:sz="4"/>
            </w:tcBorders>
            <w:shd w:fill="7A1F3D" w:val="clear"/>
            <w:tcMar>
              <w:top w:type="dxa" w:w="80"/>
              <w:left w:type="dxa" w:w="100"/>
              <w:bottom w:type="dxa" w:w="80"/>
              <w:right w:type="dxa" w:w="100"/>
            </w:tcMar>
            <w:vAlign w:val="center"/>
          </w:tcPr>
          <w:p>
            <w:r>
              <w:rPr>
                <w:b/>
                <w:bCs/>
                <w:color w:val="FFFFFF"/>
                <w:sz w:val="19"/>
                <w:szCs w:val="19"/>
              </w:rPr>
              <w:t xml:space="preserve">Nama</w:t>
            </w:r>
          </w:p>
        </w:tc>
        <w:tc>
          <w:tcPr>
            <w:tcW w:type="dxa" w:w="4438"/>
            <w:tcBorders>
              <w:top w:val="single" w:color="D9D9D9" w:sz="4"/>
              <w:left w:val="single" w:color="D9D9D9" w:sz="4"/>
              <w:bottom w:val="single" w:color="D9D9D9" w:sz="4"/>
              <w:right w:val="single" w:color="D9D9D9" w:sz="4"/>
            </w:tcBorders>
            <w:shd w:fill="7A1F3D" w:val="clear"/>
            <w:tcMar>
              <w:top w:type="dxa" w:w="80"/>
              <w:left w:type="dxa" w:w="100"/>
              <w:bottom w:type="dxa" w:w="80"/>
              <w:right w:type="dxa" w:w="100"/>
            </w:tcMar>
            <w:vAlign w:val="center"/>
          </w:tcPr>
          <w:p>
            <w:r>
              <w:rPr>
                <w:b/>
                <w:bCs/>
                <w:color w:val="FFFFFF"/>
                <w:sz w:val="19"/>
                <w:szCs w:val="19"/>
              </w:rPr>
              <w:t xml:space="preserve">Peran</w:t>
            </w:r>
          </w:p>
        </w:tc>
      </w:tr>
      <w:tr>
        <w:tc>
          <w:tcPr>
            <w:tcW w:type="dxa" w:w="5200"/>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[Nama Dokter Penanggung Jawab KSM Obgin]</w:t>
            </w:r>
          </w:p>
        </w:tc>
        <w:tc>
          <w:tcPr>
            <w:tcW w:type="dxa" w:w="4438"/>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Ketua KSM Obstetri dan Ginekologi</w:t>
            </w:r>
          </w:p>
        </w:tc>
      </w:tr>
      <w:tr>
        <w:tc>
          <w:tcPr>
            <w:tcW w:type="dxa" w:w="5200"/>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[Nama Konsultan Obginsos]</w:t>
            </w:r>
          </w:p>
        </w:tc>
        <w:tc>
          <w:tcPr>
            <w:tcW w:type="dxa" w:w="4438"/>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Konsultan Subspesialis Obstetri Ginekologi Sosial</w:t>
            </w:r>
          </w:p>
        </w:tc>
      </w:tr>
      <w:tr>
        <w:tc>
          <w:tcPr>
            <w:tcW w:type="dxa" w:w="5200"/>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[Nama Dokter Spesialis Anak/Neonatologi]</w:t>
            </w:r>
          </w:p>
        </w:tc>
        <w:tc>
          <w:tcPr>
            <w:tcW w:type="dxa" w:w="4438"/>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Penelaah Aspek Neonatal</w:t>
            </w:r>
          </w:p>
        </w:tc>
      </w:tr>
      <w:tr>
        <w:tc>
          <w:tcPr>
            <w:tcW w:type="dxa" w:w="5200"/>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[Nama Ketua Komite Medis]</w:t>
            </w:r>
          </w:p>
        </w:tc>
        <w:tc>
          <w:tcPr>
            <w:tcW w:type="dxa" w:w="4438"/>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Komite Medis — Pengesahan PPK</w:t>
            </w:r>
          </w:p>
        </w:tc>
      </w:tr>
      <w:tr>
        <w:tc>
          <w:tcPr>
            <w:tcW w:type="dxa" w:w="5200"/>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[Nama Perwakilan Komite PONEK RS]</w:t>
            </w:r>
          </w:p>
        </w:tc>
        <w:tc>
          <w:tcPr>
            <w:tcW w:type="dxa" w:w="4438"/>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Penelaah Sistem Rujukan &amp; Kesiapan PONEK</w:t>
            </w:r>
          </w:p>
        </w:tc>
      </w:tr>
    </w:tbl>
    <w:p>
      <w:pPr>
        <w:spacing w:after="6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7A1F3D" w:sz="4"/>
              <w:left w:val="single" w:color="7A1F3D" w:sz="4"/>
              <w:bottom w:val="single" w:color="7A1F3D" w:sz="4"/>
              <w:right w:val="single" w:color="7A1F3D" w:sz="4"/>
            </w:tcBorders>
            <w:shd w:fill="7A1F3D" w:val="clear"/>
            <w:tcMar>
              <w:top w:type="dxa" w:w="120"/>
              <w:left w:type="dxa" w:w="180"/>
              <w:bottom w:type="dxa" w:w="120"/>
              <w:right w:type="dxa" w:w="180"/>
            </w:tcMar>
          </w:tcPr>
          <w:p>
            <w:r>
              <w:rPr>
                <w:b/>
                <w:bCs/>
                <w:color w:val="FFFFFF"/>
                <w:sz w:val="24"/>
                <w:szCs w:val="24"/>
              </w:rPr>
              <w:t xml:space="preserve">14. </w:t>
            </w:r>
            <w:r>
              <w:rPr>
                <w:b/>
                <w:bCs/>
                <w:color w:val="FFFFFF"/>
                <w:sz w:val="24"/>
                <w:szCs w:val="24"/>
              </w:rPr>
              <w:t xml:space="preserve">Indikator Medis</w:t>
            </w:r>
          </w:p>
        </w:tc>
      </w:tr>
    </w:tbl>
    <w:p>
      <w:pPr>
        <w:spacing w:after="80"/>
      </w:pPr>
    </w:p>
    <w:p>
      <w:pPr>
        <w:spacing w:after="100" w:line="276"/>
      </w:pPr>
      <w:r>
        <w:rPr>
          <w:b w:val="false"/>
          <w:bCs w:val="false"/>
          <w:i w:val="false"/>
          <w:iCs w:val="false"/>
          <w:color w:val="2B2B2B"/>
          <w:sz w:val="21"/>
          <w:szCs w:val="21"/>
        </w:rPr>
        <w:t xml:space="preserve">Indikator berikut dipantau bulanan sebagai bagian dashboard mutu KSM Obstetri dan Ginekologi:</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400"/>
        <w:gridCol w:w="1800"/>
        <w:gridCol w:w="3438"/>
      </w:tblGrid>
      <w:tr>
        <w:trPr>
          <w:tblHeader/>
        </w:trPr>
        <w:tc>
          <w:tcPr>
            <w:tcW w:type="dxa" w:w="4400"/>
            <w:tcBorders>
              <w:top w:val="single" w:color="D9D9D9" w:sz="4"/>
              <w:left w:val="single" w:color="D9D9D9" w:sz="4"/>
              <w:bottom w:val="single" w:color="D9D9D9" w:sz="4"/>
              <w:right w:val="single" w:color="D9D9D9" w:sz="4"/>
            </w:tcBorders>
            <w:shd w:fill="7A1F3D" w:val="clear"/>
            <w:tcMar>
              <w:top w:type="dxa" w:w="80"/>
              <w:left w:type="dxa" w:w="100"/>
              <w:bottom w:type="dxa" w:w="80"/>
              <w:right w:type="dxa" w:w="100"/>
            </w:tcMar>
            <w:vAlign w:val="center"/>
          </w:tcPr>
          <w:p>
            <w:r>
              <w:rPr>
                <w:b/>
                <w:bCs/>
                <w:color w:val="FFFFFF"/>
                <w:sz w:val="19"/>
                <w:szCs w:val="19"/>
              </w:rPr>
              <w:t xml:space="preserve">Indikator</w:t>
            </w:r>
          </w:p>
        </w:tc>
        <w:tc>
          <w:tcPr>
            <w:tcW w:type="dxa" w:w="1800"/>
            <w:tcBorders>
              <w:top w:val="single" w:color="D9D9D9" w:sz="4"/>
              <w:left w:val="single" w:color="D9D9D9" w:sz="4"/>
              <w:bottom w:val="single" w:color="D9D9D9" w:sz="4"/>
              <w:right w:val="single" w:color="D9D9D9" w:sz="4"/>
            </w:tcBorders>
            <w:shd w:fill="7A1F3D" w:val="clear"/>
            <w:tcMar>
              <w:top w:type="dxa" w:w="80"/>
              <w:left w:type="dxa" w:w="100"/>
              <w:bottom w:type="dxa" w:w="80"/>
              <w:right w:type="dxa" w:w="100"/>
            </w:tcMar>
            <w:vAlign w:val="center"/>
          </w:tcPr>
          <w:p>
            <w:r>
              <w:rPr>
                <w:b/>
                <w:bCs/>
                <w:color w:val="FFFFFF"/>
                <w:sz w:val="19"/>
                <w:szCs w:val="19"/>
              </w:rPr>
              <w:t xml:space="preserve">Target</w:t>
            </w:r>
          </w:p>
        </w:tc>
        <w:tc>
          <w:tcPr>
            <w:tcW w:type="dxa" w:w="3438"/>
            <w:tcBorders>
              <w:top w:val="single" w:color="D9D9D9" w:sz="4"/>
              <w:left w:val="single" w:color="D9D9D9" w:sz="4"/>
              <w:bottom w:val="single" w:color="D9D9D9" w:sz="4"/>
              <w:right w:val="single" w:color="D9D9D9" w:sz="4"/>
            </w:tcBorders>
            <w:shd w:fill="7A1F3D" w:val="clear"/>
            <w:tcMar>
              <w:top w:type="dxa" w:w="80"/>
              <w:left w:type="dxa" w:w="100"/>
              <w:bottom w:type="dxa" w:w="80"/>
              <w:right w:type="dxa" w:w="100"/>
            </w:tcMar>
            <w:vAlign w:val="center"/>
          </w:tcPr>
          <w:p>
            <w:r>
              <w:rPr>
                <w:b/>
                <w:bCs/>
                <w:color w:val="FFFFFF"/>
                <w:sz w:val="19"/>
                <w:szCs w:val="19"/>
              </w:rPr>
              <w:t xml:space="preserve">Frekuensi Evaluasi</w:t>
            </w:r>
          </w:p>
        </w:tc>
      </w:tr>
      <w:tr>
        <w:tc>
          <w:tcPr>
            <w:tcW w:type="dxa" w:w="4400"/>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Kepatuhan golden hour (≤60 menit sejak waktu nol hingga tata laksana definitif/rujukan)</w:t>
            </w:r>
          </w:p>
        </w:tc>
        <w:tc>
          <w:tcPr>
            <w:tcW w:type="dxa" w:w="1800"/>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≥90%</w:t>
            </w:r>
          </w:p>
        </w:tc>
        <w:tc>
          <w:tcPr>
            <w:tcW w:type="dxa" w:w="3438"/>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Bulanan</w:t>
            </w:r>
          </w:p>
        </w:tc>
      </w:tr>
      <w:tr>
        <w:tc>
          <w:tcPr>
            <w:tcW w:type="dxa" w:w="4400"/>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Kelengkapan asesmen sosial-psikologis pada kasus kegawatdaruratan</w:t>
            </w:r>
          </w:p>
        </w:tc>
        <w:tc>
          <w:tcPr>
            <w:tcW w:type="dxa" w:w="1800"/>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100%</w:t>
            </w:r>
          </w:p>
        </w:tc>
        <w:tc>
          <w:tcPr>
            <w:tcW w:type="dxa" w:w="3438"/>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Bulanan</w:t>
            </w:r>
          </w:p>
        </w:tc>
      </w:tr>
      <w:tr>
        <w:tc>
          <w:tcPr>
            <w:tcW w:type="dxa" w:w="4400"/>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Waktu respons tim PONEK sejak aktivasi panggilan</w:t>
            </w:r>
          </w:p>
        </w:tc>
        <w:tc>
          <w:tcPr>
            <w:tcW w:type="dxa" w:w="1800"/>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≤15 menit</w:t>
            </w:r>
          </w:p>
        </w:tc>
        <w:tc>
          <w:tcPr>
            <w:tcW w:type="dxa" w:w="3438"/>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Bulanan</w:t>
            </w:r>
          </w:p>
        </w:tc>
      </w:tr>
      <w:tr>
        <w:tc>
          <w:tcPr>
            <w:tcW w:type="dxa" w:w="4400"/>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Angka kematian maternal akibat perdarahan/eklampsia/sepsis di RS</w:t>
            </w:r>
          </w:p>
        </w:tc>
        <w:tc>
          <w:tcPr>
            <w:tcW w:type="dxa" w:w="1800"/>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Tren menurun</w:t>
            </w:r>
          </w:p>
        </w:tc>
        <w:tc>
          <w:tcPr>
            <w:tcW w:type="dxa" w:w="3438"/>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Triwulan</w:t>
            </w:r>
          </w:p>
        </w:tc>
      </w:tr>
      <w:tr>
        <w:tc>
          <w:tcPr>
            <w:tcW w:type="dxa" w:w="4400"/>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Kelengkapan dokumentasi SBAR pada setiap rujukan</w:t>
            </w:r>
          </w:p>
        </w:tc>
        <w:tc>
          <w:tcPr>
            <w:tcW w:type="dxa" w:w="1800"/>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100%</w:t>
            </w:r>
          </w:p>
        </w:tc>
        <w:tc>
          <w:tcPr>
            <w:tcW w:type="dxa" w:w="3438"/>
            <w:tcBorders>
              <w:top w:val="single" w:color="D9D9D9" w:sz="4"/>
              <w:left w:val="single" w:color="D9D9D9" w:sz="4"/>
              <w:bottom w:val="single" w:color="D9D9D9" w:sz="4"/>
              <w:right w:val="single" w:color="D9D9D9" w:sz="4"/>
            </w:tcBorders>
            <w:shd w:fill="FFFFFF" w:val="clear"/>
            <w:tcMar>
              <w:top w:type="dxa" w:w="70"/>
              <w:left w:type="dxa" w:w="100"/>
              <w:bottom w:type="dxa" w:w="70"/>
              <w:right w:type="dxa" w:w="100"/>
            </w:tcMar>
            <w:vAlign w:val="center"/>
          </w:tcPr>
          <w:p>
            <w:r>
              <w:rPr>
                <w:color w:val="2B2B2B"/>
                <w:sz w:val="19"/>
                <w:szCs w:val="19"/>
              </w:rPr>
              <w:t xml:space="preserve">Bulanan</w:t>
            </w:r>
          </w:p>
        </w:tc>
      </w:tr>
      <w:tr>
        <w:tc>
          <w:tcPr>
            <w:tcW w:type="dxa" w:w="4400"/>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Kepatuhan MgSO4 pada preeklampsia berat/eklampsia</w:t>
            </w:r>
          </w:p>
        </w:tc>
        <w:tc>
          <w:tcPr>
            <w:tcW w:type="dxa" w:w="1800"/>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≥95%</w:t>
            </w:r>
          </w:p>
        </w:tc>
        <w:tc>
          <w:tcPr>
            <w:tcW w:type="dxa" w:w="3438"/>
            <w:tcBorders>
              <w:top w:val="single" w:color="D9D9D9" w:sz="4"/>
              <w:left w:val="single" w:color="D9D9D9" w:sz="4"/>
              <w:bottom w:val="single" w:color="D9D9D9" w:sz="4"/>
              <w:right w:val="single" w:color="D9D9D9" w:sz="4"/>
            </w:tcBorders>
            <w:shd w:fill="FBF1F4" w:val="clear"/>
            <w:tcMar>
              <w:top w:type="dxa" w:w="70"/>
              <w:left w:type="dxa" w:w="100"/>
              <w:bottom w:type="dxa" w:w="70"/>
              <w:right w:type="dxa" w:w="100"/>
            </w:tcMar>
            <w:vAlign w:val="center"/>
          </w:tcPr>
          <w:p>
            <w:r>
              <w:rPr>
                <w:color w:val="2B2B2B"/>
                <w:sz w:val="19"/>
                <w:szCs w:val="19"/>
              </w:rPr>
              <w:t xml:space="preserve">Bulanan</w:t>
            </w:r>
          </w:p>
        </w:tc>
      </w:tr>
    </w:tbl>
    <w:p>
      <w:pPr>
        <w:spacing w:after="6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7A1F3D" w:sz="4"/>
              <w:left w:val="single" w:color="7A1F3D" w:sz="4"/>
              <w:bottom w:val="single" w:color="7A1F3D" w:sz="4"/>
              <w:right w:val="single" w:color="7A1F3D" w:sz="4"/>
            </w:tcBorders>
            <w:shd w:fill="7A1F3D" w:val="clear"/>
            <w:tcMar>
              <w:top w:type="dxa" w:w="120"/>
              <w:left w:type="dxa" w:w="180"/>
              <w:bottom w:type="dxa" w:w="120"/>
              <w:right w:type="dxa" w:w="180"/>
            </w:tcMar>
          </w:tcPr>
          <w:p>
            <w:r>
              <w:rPr>
                <w:b/>
                <w:bCs/>
                <w:color w:val="FFFFFF"/>
                <w:sz w:val="24"/>
                <w:szCs w:val="24"/>
              </w:rPr>
              <w:t xml:space="preserve">15. </w:t>
            </w:r>
            <w:r>
              <w:rPr>
                <w:b/>
                <w:bCs/>
                <w:color w:val="FFFFFF"/>
                <w:sz w:val="24"/>
                <w:szCs w:val="24"/>
              </w:rPr>
              <w:t xml:space="preserve">Kepustakaan</w:t>
            </w:r>
          </w:p>
        </w:tc>
      </w:tr>
    </w:tbl>
    <w:p>
      <w:pPr>
        <w:spacing w:after="80"/>
      </w:pPr>
    </w:p>
    <w:p>
      <w:pPr>
        <w:pStyle w:val="ListParagraph"/>
        <w:numPr>
          <w:ilvl w:val="0"/>
          <w:numId w:val="1"/>
        </w:numPr>
        <w:spacing w:after="60" w:line="264"/>
      </w:pPr>
      <w:r>
        <w:rPr>
          <w:b w:val="false"/>
          <w:bCs w:val="false"/>
          <w:color w:val="2B2B2B"/>
          <w:sz w:val="21"/>
          <w:szCs w:val="21"/>
        </w:rPr>
        <w:t xml:space="preserve">1. Cunningham FG, Leveno KJ, Dashe JS, Hoffman BL, Spong CY, Casey BM, editor. Williams Obstetrics. Edisi ke-26. New York: McGraw Hill; 2022.</w:t>
      </w:r>
    </w:p>
    <w:p>
      <w:pPr>
        <w:pStyle w:val="ListParagraph"/>
        <w:numPr>
          <w:ilvl w:val="0"/>
          <w:numId w:val="1"/>
        </w:numPr>
        <w:spacing w:after="90" w:line="264"/>
      </w:pPr>
      <w:r>
        <w:rPr>
          <w:color w:val="2B2B2B"/>
          <w:sz w:val="20"/>
          <w:szCs w:val="20"/>
        </w:rPr>
        <w:t xml:space="preserve">2. World Health Organization, International Federation of Gynecology and Obstetrics, International Confederation of Midwives. Consolidated Guidelines for the Prevention, Diagnosis and Treatment of Postpartum Haemorrhage. Geneva: WHO; 2025. </w:t>
      </w:r>
      <w:hyperlink w:history="1" r:id="rIdchl39ejujn3sr5g9qyjum">
        <w:r>
          <w:rPr>
            <w:color w:val="1155CC"/>
            <w:sz w:val="20"/>
            <w:szCs w:val="20"/>
            <w:u w:val="single"/>
          </w:rPr>
          <w:t xml:space="preserve">https://www.ncbi.nlm.nih.gov/books/NBK619236/</w:t>
        </w:r>
      </w:hyperlink>
    </w:p>
    <w:p>
      <w:pPr>
        <w:pStyle w:val="ListParagraph"/>
        <w:numPr>
          <w:ilvl w:val="0"/>
          <w:numId w:val="1"/>
        </w:numPr>
        <w:spacing w:after="60" w:line="264"/>
      </w:pPr>
      <w:r>
        <w:rPr>
          <w:b w:val="false"/>
          <w:bCs w:val="false"/>
          <w:color w:val="2B2B2B"/>
          <w:sz w:val="21"/>
          <w:szCs w:val="21"/>
        </w:rPr>
        <w:t xml:space="preserve">3. Gallos ID, Devall AJ, Martin J, dkk., untuk E-MOTIVE Trial Collaborative Group. Randomized Trial of Early Detection and Treatment of Postpartum Hemorrhage. N Engl J Med. 2023;389:11–21.</w:t>
      </w:r>
    </w:p>
    <w:p>
      <w:pPr>
        <w:pStyle w:val="ListParagraph"/>
        <w:numPr>
          <w:ilvl w:val="0"/>
          <w:numId w:val="1"/>
        </w:numPr>
        <w:spacing w:after="90" w:line="264"/>
      </w:pPr>
      <w:r>
        <w:rPr>
          <w:color w:val="2B2B2B"/>
          <w:sz w:val="20"/>
          <w:szCs w:val="20"/>
        </w:rPr>
        <w:t xml:space="preserve">4. World Health Organization. WHO Recommendations for Prevention and Treatment of Pre-eclampsia and Eclampsia. Geneva: WHO; 2011. </w:t>
      </w:r>
      <w:hyperlink w:history="1" r:id="rIdb2spk6w3xnlqa9xyxgx2l">
        <w:r>
          <w:rPr>
            <w:color w:val="1155CC"/>
            <w:sz w:val="20"/>
            <w:szCs w:val="20"/>
            <w:u w:val="single"/>
          </w:rPr>
          <w:t xml:space="preserve">https://www.ncbi.nlm.nih.gov/books/NBK140555/</w:t>
        </w:r>
      </w:hyperlink>
    </w:p>
    <w:p>
      <w:pPr>
        <w:pStyle w:val="ListParagraph"/>
        <w:numPr>
          <w:ilvl w:val="0"/>
          <w:numId w:val="1"/>
        </w:numPr>
        <w:spacing w:after="90" w:line="264"/>
      </w:pPr>
      <w:r>
        <w:rPr>
          <w:color w:val="2B2B2B"/>
          <w:sz w:val="20"/>
          <w:szCs w:val="20"/>
        </w:rPr>
        <w:t xml:space="preserve">5. American College of Obstetricians and Gynecologists. Gestational Hypertension and Preeclampsia: ACOG Practice Bulletin No. 222. Obstet Gynecol. 2020;135:e237–60. </w:t>
      </w:r>
      <w:hyperlink w:history="1" r:id="rIdbx-xvqtyvwuelnsybbrxz">
        <w:r>
          <w:rPr>
            <w:color w:val="1155CC"/>
            <w:sz w:val="20"/>
            <w:szCs w:val="20"/>
            <w:u w:val="single"/>
          </w:rPr>
          <w:t xml:space="preserve">https://www.acog.org/clinical/clinical-guidance/practice-bulletin/articles/2020/06/gestational-hypertension-and-preeclampsia</w:t>
        </w:r>
      </w:hyperlink>
    </w:p>
    <w:p>
      <w:pPr>
        <w:pStyle w:val="ListParagraph"/>
        <w:numPr>
          <w:ilvl w:val="0"/>
          <w:numId w:val="1"/>
        </w:numPr>
        <w:spacing w:after="90" w:line="264"/>
      </w:pPr>
      <w:r>
        <w:rPr>
          <w:color w:val="2B2B2B"/>
          <w:sz w:val="20"/>
          <w:szCs w:val="20"/>
        </w:rPr>
        <w:t xml:space="preserve">6. American College of Obstetricians and Gynecologists. Postpartum Hemorrhage: ACOG Practice Bulletin No. 183. Obstet Gynecol. 2017;130:e168–86. </w:t>
      </w:r>
      <w:hyperlink w:history="1" r:id="rIdn6ofbfinh5vo4fzumq4kg">
        <w:r>
          <w:rPr>
            <w:color w:val="1155CC"/>
            <w:sz w:val="20"/>
            <w:szCs w:val="20"/>
            <w:u w:val="single"/>
          </w:rPr>
          <w:t xml:space="preserve">https://www.acog.org/clinical/clinical-guidance/practice-bulletin/articles/2017/10/postpartum-hemorrhage</w:t>
        </w:r>
      </w:hyperlink>
    </w:p>
    <w:p>
      <w:pPr>
        <w:pStyle w:val="ListParagraph"/>
        <w:numPr>
          <w:ilvl w:val="0"/>
          <w:numId w:val="1"/>
        </w:numPr>
        <w:spacing w:after="60" w:line="264"/>
      </w:pPr>
      <w:r>
        <w:rPr>
          <w:b w:val="false"/>
          <w:bCs w:val="false"/>
          <w:color w:val="2B2B2B"/>
          <w:sz w:val="21"/>
          <w:szCs w:val="21"/>
        </w:rPr>
        <w:t xml:space="preserve">7. Carle C, Alexander P, Columb M, Johal J. Design and internal validation of an obstetric early warning score: secondary analysis of the Intensive Care National Audit and Research Centre Case Mix Programme database. Anaesthesia. 2013;68:354–67.</w:t>
      </w:r>
    </w:p>
    <w:p>
      <w:pPr>
        <w:pStyle w:val="ListParagraph"/>
        <w:numPr>
          <w:ilvl w:val="0"/>
          <w:numId w:val="1"/>
        </w:numPr>
        <w:spacing w:after="60" w:line="264"/>
      </w:pPr>
      <w:r>
        <w:rPr>
          <w:b w:val="false"/>
          <w:bCs w:val="false"/>
          <w:color w:val="2B2B2B"/>
          <w:sz w:val="21"/>
          <w:szCs w:val="21"/>
        </w:rPr>
        <w:t xml:space="preserve">8. Singh S, McGlennan A, England A, Simons R. A validation study of the CEMACH recommended modified early obstetric warning system (MEOWS). Anaesthesia. 2012;67:12–18.</w:t>
      </w:r>
    </w:p>
    <w:p>
      <w:pPr>
        <w:pStyle w:val="ListParagraph"/>
        <w:numPr>
          <w:ilvl w:val="0"/>
          <w:numId w:val="1"/>
        </w:numPr>
        <w:spacing w:after="90" w:line="264"/>
      </w:pPr>
      <w:r>
        <w:rPr>
          <w:color w:val="2B2B2B"/>
          <w:sz w:val="20"/>
          <w:szCs w:val="20"/>
        </w:rPr>
        <w:t xml:space="preserve">9. Gupta C, Suri J, Bachani S, Bharti R, Pandey D, Mittal P. Carle's obstetric early warning score as a screening tool for critical care admission. Indian J Med Res. 2023;158:339–46. </w:t>
      </w:r>
      <w:hyperlink w:history="1" r:id="rIdxwggdknhn88csu8a5ztu9">
        <w:r>
          <w:rPr>
            <w:color w:val="1155CC"/>
            <w:sz w:val="20"/>
            <w:szCs w:val="20"/>
            <w:u w:val="single"/>
          </w:rPr>
          <w:t xml:space="preserve">https://pmc.ncbi.nlm.nih.gov/articles/PMC10793830/</w:t>
        </w:r>
      </w:hyperlink>
    </w:p>
    <w:p>
      <w:pPr>
        <w:pStyle w:val="ListParagraph"/>
        <w:numPr>
          <w:ilvl w:val="0"/>
          <w:numId w:val="1"/>
        </w:numPr>
        <w:spacing w:after="60" w:line="264"/>
      </w:pPr>
      <w:r>
        <w:rPr>
          <w:b w:val="false"/>
          <w:bCs w:val="false"/>
          <w:color w:val="2B2B2B"/>
          <w:sz w:val="21"/>
          <w:szCs w:val="21"/>
        </w:rPr>
        <w:t xml:space="preserve">10. American Academy of Pediatrics, American Heart Association. Textbook of Neonatal Resuscitation (NRP). Edisi ke-8. Itasca (IL): AAP; 2021.</w:t>
      </w:r>
    </w:p>
    <w:p>
      <w:pPr>
        <w:pStyle w:val="ListParagraph"/>
        <w:numPr>
          <w:ilvl w:val="0"/>
          <w:numId w:val="1"/>
        </w:numPr>
        <w:spacing w:after="60" w:line="264"/>
      </w:pPr>
      <w:r>
        <w:rPr>
          <w:b w:val="false"/>
          <w:bCs w:val="false"/>
          <w:color w:val="2B2B2B"/>
          <w:sz w:val="21"/>
          <w:szCs w:val="21"/>
        </w:rPr>
        <w:t xml:space="preserve">11. Say L, Souza JP, Pattinson RC; WHO Working Group on Maternal Mortality and Morbidity Classifications. Maternal near miss – towards a standard tool for monitoring quality of maternal health care. Best Pract Res Clin Obstet Gynaecol. 2009;23:287–96.</w:t>
      </w:r>
    </w:p>
    <w:p>
      <w:pPr>
        <w:pStyle w:val="ListParagraph"/>
        <w:numPr>
          <w:ilvl w:val="0"/>
          <w:numId w:val="1"/>
        </w:numPr>
        <w:spacing w:after="60" w:line="264"/>
      </w:pPr>
      <w:r>
        <w:rPr>
          <w:b w:val="false"/>
          <w:bCs w:val="false"/>
          <w:color w:val="2B2B2B"/>
          <w:sz w:val="21"/>
          <w:szCs w:val="21"/>
        </w:rPr>
        <w:t xml:space="preserve">12. Kementerian Kesehatan Republik Indonesia. Keputusan Menteri Kesehatan Nomor 1051/MENKES/SK/XI/2008 tentang Pedoman Penyelenggaraan Pelayanan Obstetri Neonatal Emergensi Komprehensif (PONEK) 24 Jam di Rumah Sakit. Jakarta: Kemenkes RI; 2008 (disusun bersama POGI, IDAI, IBI, PPNI, JNPK-KR).</w:t>
      </w:r>
    </w:p>
    <w:p>
      <w:pPr>
        <w:pStyle w:val="ListParagraph"/>
        <w:numPr>
          <w:ilvl w:val="0"/>
          <w:numId w:val="1"/>
        </w:numPr>
        <w:spacing w:after="60" w:line="264"/>
      </w:pPr>
      <w:r>
        <w:rPr>
          <w:b w:val="false"/>
          <w:bCs w:val="false"/>
          <w:color w:val="2B2B2B"/>
          <w:sz w:val="21"/>
          <w:szCs w:val="21"/>
        </w:rPr>
        <w:t xml:space="preserve">13. Keputusan Ketua Konsil Kesehatan Indonesia Nomor HK.01.02/KKI/1318/2026 tentang Standar Kompetensi Dokter Spesialis dan Subspesialis Bidang Obstetri dan Ginekologi. Jakarta: Konsil Kesehatan Indonesia; 2026.</w:t>
      </w:r>
    </w:p>
    <w:p>
      <w:pPr>
        <w:pStyle w:val="ListParagraph"/>
        <w:numPr>
          <w:ilvl w:val="0"/>
          <w:numId w:val="1"/>
        </w:numPr>
        <w:spacing w:after="60" w:line="264"/>
      </w:pPr>
      <w:r>
        <w:rPr>
          <w:b w:val="false"/>
          <w:bCs w:val="false"/>
          <w:color w:val="2B2B2B"/>
          <w:sz w:val="21"/>
          <w:szCs w:val="21"/>
        </w:rPr>
        <w:t xml:space="preserve">14. Republik Indonesia. Undang-Undang Nomor 12 Tahun 2022 tentang Tindak Pidana Kekerasan Seksual.</w:t>
      </w:r>
    </w:p>
    <w:p>
      <w:pPr>
        <w:pStyle w:val="ListParagraph"/>
        <w:numPr>
          <w:ilvl w:val="0"/>
          <w:numId w:val="1"/>
        </w:numPr>
        <w:spacing w:after="60" w:line="264"/>
      </w:pPr>
      <w:r>
        <w:rPr>
          <w:b w:val="false"/>
          <w:bCs w:val="false"/>
          <w:color w:val="2B2B2B"/>
          <w:sz w:val="21"/>
          <w:szCs w:val="21"/>
        </w:rPr>
        <w:t xml:space="preserve">15. Republik Indonesia. Undang-Undang Nomor 23 Tahun 2004 tentang Penghapusan Kekerasan Dalam Rumah Tangga.</w:t>
      </w:r>
    </w:p>
    <w:p>
      <w:pPr>
        <w:pStyle w:val="ListParagraph"/>
        <w:numPr>
          <w:ilvl w:val="0"/>
          <w:numId w:val="1"/>
        </w:numPr>
        <w:spacing w:after="60" w:line="264"/>
      </w:pPr>
      <w:r>
        <w:rPr>
          <w:b w:val="false"/>
          <w:bCs w:val="false"/>
          <w:color w:val="2B2B2B"/>
          <w:sz w:val="21"/>
          <w:szCs w:val="21"/>
        </w:rPr>
        <w:t xml:space="preserve">16. Republik Indonesia. Kitab Undang-Undang Hukum Pidana.</w:t>
      </w:r>
    </w:p>
    <w:p>
      <w:pPr>
        <w:spacing w:after="100"/>
      </w:pPr>
    </w:p>
    <w:p>
      <w:pPr>
        <w:spacing w:after="100" w:line="276"/>
      </w:pPr>
      <w:r>
        <w:rPr>
          <w:b w:val="false"/>
          <w:bCs w:val="false"/>
          <w:i/>
          <w:iCs/>
          <w:color w:val="2B2B2B"/>
          <w:sz w:val="21"/>
          <w:szCs w:val="21"/>
        </w:rPr>
        <w:t xml:space="preserve">Catatan transparansi sumber: seluruh sitasi di atas telah ditelusuri dan diverifikasi keberadaannya (judul, penulis/penerbit, tahun, dan — bila tersedia — tautan resmi) pada saat penyusunan dokumen ini (Juli 2026). Pedoman PONED-PONEK Kemenkes (KMK No. 1051/2008) adalah dasar hukum-teknis nasional yang masih berlaku sebagai rujukan operasional di RS Indonesia meskipun diterbitkan tahun 2008; bila RS memiliki pembaruan pedoman PONEK internal yang lebih baru, dokumen tersebut supaya disertakan dan menjadi rujukan tambahan pada saat telaah Komite Medis.</w:t>
      </w:r>
    </w:p>
    <w:sectPr>
      <w:headerReference w:type="default" r:id="rId7"/>
      <w:footerReference w:type="default" r:id="rId8"/>
      <w:pgSz w:w="11906" w:h="16838" w:orient="portrait"/>
      <w:pgMar w:top="900" w:right="1000" w:bottom="9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A8A8A"/>
        <w:sz w:val="16"/>
        <w:szCs w:val="16"/>
      </w:rPr>
      <w:t xml:space="preserve">Halaman </w:t>
    </w:r>
    <w:r>
      <w:rPr>
        <w:color w:val="8A8A8A"/>
        <w:sz w:val="16"/>
        <w:szCs w:val="16"/>
      </w:rPr>
      <w:fldChar w:fldCharType="begin"/>
      <w:instrText xml:space="preserve">PAGE</w:instrText>
      <w:fldChar w:fldCharType="separate"/>
      <w:fldChar w:fldCharType="end"/>
    </w:r>
    <w:r>
      <w:rPr>
        <w:color w:val="8A8A8A"/>
        <w:sz w:val="16"/>
        <w:szCs w:val="16"/>
      </w:rPr>
      <w:t xml:space="preserve"> dari </w:t>
    </w:r>
    <w:r>
      <w:rPr>
        <w:color w:val="8A8A8A"/>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8A8A8A"/>
        <w:sz w:val="15"/>
        <w:szCs w:val="15"/>
      </w:rPr>
      <w:t xml:space="preserve">PPK 18/19 — Kegawatdaruratan Obstetri &amp; Neonatal Dasar-Komprehensif</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B2B2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chl39ejujn3sr5g9qyjum" Type="http://schemas.openxmlformats.org/officeDocument/2006/relationships/hyperlink" Target="https://www.ncbi.nlm.nih.gov/books/NBK619236/" TargetMode="External"/><Relationship Id="rIdb2spk6w3xnlqa9xyxgx2l" Type="http://schemas.openxmlformats.org/officeDocument/2006/relationships/hyperlink" Target="https://www.ncbi.nlm.nih.gov/books/NBK140555/" TargetMode="External"/><Relationship Id="rIdbx-xvqtyvwuelnsybbrxz" Type="http://schemas.openxmlformats.org/officeDocument/2006/relationships/hyperlink" Target="https://www.acog.org/clinical/clinical-guidance/practice-bulletin/articles/2020/06/gestational-hypertension-and-preeclampsia" TargetMode="External"/><Relationship Id="rIdn6ofbfinh5vo4fzumq4kg" Type="http://schemas.openxmlformats.org/officeDocument/2006/relationships/hyperlink" Target="https://www.acog.org/clinical/clinical-guidance/practice-bulletin/articles/2017/10/postpartum-hemorrhage" TargetMode="External"/><Relationship Id="rIdxwggdknhn88csu8a5ztu9" Type="http://schemas.openxmlformats.org/officeDocument/2006/relationships/hyperlink" Target="https://pmc.ncbi.nlm.nih.gov/articles/PMC10793830/" TargetMode="External"/><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2026-08-01T01:35:32.365Z</dcterms:created>
  <dcterms:modified xsi:type="dcterms:W3CDTF">2026-08-01T01:35:32.380Z</dcterms:modified>
</cp:coreProperties>
</file>

<file path=docProps/custom.xml><?xml version="1.0" encoding="utf-8"?>
<Properties xmlns="http://schemas.openxmlformats.org/officeDocument/2006/custom-properties" xmlns:vt="http://schemas.openxmlformats.org/officeDocument/2006/docPropsVTypes"/>
</file>