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638"/>
        <w:tblBorders>
          <w:top w:val="single" w:color="7A1F3D" w:sz="24"/>
          <w:left w:val="single" w:color="7A1F3D" w:sz="24"/>
          <w:bottom w:val="single" w:color="7A1F3D" w:sz="24"/>
          <w:right w:val="single" w:color="7A1F3D" w:sz="24"/>
          <w:insideH w:val="none" w:color="FFFFFF" w:sz="0"/>
          <w:insideV w:val="none" w:color="FFFFFF" w:sz="0"/>
        </w:tblBorders>
      </w:tblPr>
      <w:tblGrid>
        <w:gridCol w:w="9638"/>
      </w:tblGrid>
      <w:tr>
        <w:tc>
          <w:tcPr>
            <w:tcW w:type="dxa" w:w="9638"/>
            <w:shd w:fill="FBF3F5" w:val="clear"/>
            <w:tcMar>
              <w:top w:type="dxa" w:w="260"/>
              <w:left w:type="dxa" w:w="300"/>
              <w:bottom w:type="dxa" w:w="260"/>
              <w:right w:type="dxa" w:w="300"/>
            </w:tcMar>
          </w:tcPr>
          <w:p>
            <w:pPr>
              <w:spacing w:after="120"/>
              <w:jc w:val="center"/>
            </w:pPr>
            <w:r>
              <w:rPr>
                <w:b/>
                <w:bCs/>
                <w:caps/>
                <w:color w:val="7A1F3D"/>
                <w:sz w:val="22"/>
                <w:szCs w:val="22"/>
              </w:rPr>
              <w:t xml:space="preserve">PANDUAN PRAKTIK KLINIS (PPK)</w:t>
            </w:r>
          </w:p>
          <w:p>
            <w:pPr>
              <w:spacing w:after="180"/>
              <w:jc w:val="center"/>
            </w:pPr>
            <w:r>
              <w:rPr>
                <w:b/>
                <w:bCs/>
                <w:color w:val="7A1F3D"/>
                <w:sz w:val="40"/>
                <w:szCs w:val="40"/>
              </w:rPr>
              <w:t xml:space="preserve">Kontrasepsi Darurat pada Perkosaan dan Kegagalan Kontrasepsi</w:t>
            </w:r>
          </w:p>
          <w:tbl>
            <w:tblPr>
              <w:tblW w:type="dxa" w:w="5300"/>
              <w:jc w:val="center"/>
              <w:tblBorders>
                <w:top w:val="none" w:color="FFFFFF" w:sz="0"/>
                <w:left w:val="none" w:color="FFFFFF" w:sz="0"/>
                <w:bottom w:val="none" w:color="FFFFFF" w:sz="0"/>
                <w:right w:val="none" w:color="FFFFFF" w:sz="0"/>
                <w:insideH w:val="none" w:color="FFFFFF" w:sz="0"/>
                <w:insideV w:val="none" w:color="FFFFFF" w:sz="0"/>
              </w:tblBorders>
            </w:tblPr>
            <w:tblGrid>
              <w:gridCol w:w="2650"/>
              <w:gridCol w:w="2650"/>
            </w:tblGrid>
            <w:tr>
              <w:tc>
                <w:tcPr>
                  <w:tcW w:type="dxa" w:w="2600"/>
                  <w:shd w:fill="7A1F3D" w:val="clear"/>
                  <w:tcMar>
                    <w:top w:type="dxa" w:w="80"/>
                    <w:left w:type="dxa" w:w="160"/>
                    <w:bottom w:type="dxa" w:w="80"/>
                    <w:right w:type="dxa" w:w="160"/>
                  </w:tcMar>
                </w:tcPr>
                <w:p>
                  <w:pPr>
                    <w:jc w:val="center"/>
                  </w:pPr>
                  <w:r>
                    <w:rPr>
                      <w:b/>
                      <w:bCs/>
                      <w:color w:val="FFFFFF"/>
                      <w:sz w:val="18"/>
                      <w:szCs w:val="18"/>
                    </w:rPr>
                    <w:t xml:space="preserve">JENIS: PPK</w:t>
                  </w:r>
                </w:p>
              </w:tc>
              <w:tc>
                <w:tcPr>
                  <w:tcW w:type="dxa" w:w="2600"/>
                  <w:shd w:fill="C9A24B" w:val="clear"/>
                  <w:tcMar>
                    <w:top w:type="dxa" w:w="80"/>
                    <w:left w:type="dxa" w:w="160"/>
                    <w:bottom w:type="dxa" w:w="80"/>
                    <w:right w:type="dxa" w:w="160"/>
                  </w:tcMar>
                </w:tcPr>
                <w:p>
                  <w:pPr>
                    <w:jc w:val="center"/>
                  </w:pPr>
                  <w:r>
                    <w:rPr>
                      <w:b/>
                      <w:bCs/>
                      <w:color w:val="3A2A00"/>
                      <w:sz w:val="18"/>
                      <w:szCs w:val="18"/>
                    </w:rPr>
                    <w:t xml:space="preserve">SERI 14 BUKU AJAR — BUKU 2</w:t>
                  </w:r>
                </w:p>
              </w:tc>
            </w:tr>
          </w:tbl>
          <w:p>
            <w:pPr>
              <w:spacing w:after="160"/>
            </w:pPr>
          </w:p>
          <w:p>
            <w:pPr>
              <w:jc w:val="center"/>
            </w:pPr>
            <w:r>
              <w:rPr>
                <w:i/>
                <w:iCs/>
                <w:color w:val="555555"/>
                <w:sz w:val="19"/>
                <w:szCs w:val="19"/>
              </w:rPr>
              <w:t xml:space="preserve">KSM Obstetri dan Ginekologi — Subspesialis Obstetri Ginekologi Sosial</w:t>
            </w:r>
          </w:p>
        </w:tc>
      </w:tr>
    </w:tbl>
    <w:p>
      <w:pPr>
        <w:spacing w:after="160"/>
      </w:pPr>
    </w:p>
    <w:tbl>
      <w:tblPr>
        <w:tblW w:type="dxa" w:w="9638"/>
        <w:tblBorders>
          <w:top w:val="single" w:color="CCCCCC" w:sz="4"/>
          <w:left w:val="single" w:color="CCCCCC" w:sz="4"/>
          <w:bottom w:val="single" w:color="CCCCCC" w:sz="4"/>
          <w:right w:val="single" w:color="CCCCCC" w:sz="4"/>
          <w:insideH w:val="single" w:color="DDDDDD" w:sz="4"/>
          <w:insideV w:val="single" w:color="DDDDDD" w:sz="4"/>
        </w:tblBorders>
      </w:tblPr>
      <w:tblGrid>
        <w:gridCol w:w="3200"/>
        <w:gridCol w:w="6438"/>
      </w:tblGrid>
      <w:tr>
        <w:trPr>
          <w:tblHeader/>
        </w:trPr>
        <w:tc>
          <w:tcPr>
            <w:tcW w:type="dxa" w:w="3200"/>
            <w:shd w:fill="7A1F3D" w:val="clear"/>
            <w:tcMar>
              <w:top w:type="dxa" w:w="100"/>
              <w:left w:type="dxa" w:w="100"/>
              <w:bottom w:type="dxa" w:w="100"/>
              <w:right w:type="dxa" w:w="100"/>
            </w:tcMar>
            <w:vAlign w:val="center"/>
          </w:tcPr>
          <w:p>
            <w:r>
              <w:rPr>
                <w:b/>
                <w:bCs/>
                <w:color w:val="FFFFFF"/>
                <w:sz w:val="19"/>
                <w:szCs w:val="19"/>
              </w:rPr>
              <w:t xml:space="preserve">Identitas Dokumen</w:t>
            </w:r>
          </w:p>
        </w:tc>
        <w:tc>
          <w:tcPr>
            <w:tcW w:type="dxa" w:w="6438"/>
            <w:shd w:fill="7A1F3D" w:val="clear"/>
            <w:tcMar>
              <w:top w:type="dxa" w:w="100"/>
              <w:left w:type="dxa" w:w="100"/>
              <w:bottom w:type="dxa" w:w="100"/>
              <w:right w:type="dxa" w:w="100"/>
            </w:tcMar>
            <w:vAlign w:val="center"/>
          </w:tcPr>
          <w:p>
            <w:r>
              <w:rPr>
                <w:b/>
                <w:bCs/>
                <w:color w:val="FFFFFF"/>
                <w:sz w:val="19"/>
                <w:szCs w:val="19"/>
              </w:rPr>
              <w:t xml:space="preserve">Keterangan</w:t>
            </w:r>
          </w:p>
        </w:tc>
      </w:tr>
      <w:tr>
        <w:tc>
          <w:tcPr>
            <w:tcW w:type="dxa" w:w="3200"/>
            <w:shd w:fill="FFFFFF" w:val="clear"/>
            <w:tcMar>
              <w:top w:type="dxa" w:w="90"/>
              <w:left w:type="dxa" w:w="100"/>
              <w:bottom w:type="dxa" w:w="90"/>
              <w:right w:type="dxa" w:w="100"/>
            </w:tcMar>
          </w:tcPr>
          <w:p>
            <w:r>
              <w:rPr>
                <w:sz w:val="19"/>
                <w:szCs w:val="19"/>
              </w:rPr>
              <w:t xml:space="preserve">Nama Rumah Sakit</w:t>
            </w:r>
          </w:p>
        </w:tc>
        <w:tc>
          <w:tcPr>
            <w:tcW w:type="dxa" w:w="6438"/>
            <w:shd w:fill="FFFFFF" w:val="clear"/>
            <w:tcMar>
              <w:top w:type="dxa" w:w="90"/>
              <w:left w:type="dxa" w:w="100"/>
              <w:bottom w:type="dxa" w:w="90"/>
              <w:right w:type="dxa" w:w="100"/>
            </w:tcMar>
          </w:tcPr>
          <w:p>
            <w:r>
              <w:rPr>
                <w:sz w:val="19"/>
                <w:szCs w:val="19"/>
              </w:rPr>
              <w:t xml:space="preserve">[Nama Rumah Sakit]</w:t>
            </w:r>
          </w:p>
        </w:tc>
      </w:tr>
      <w:tr>
        <w:tc>
          <w:tcPr>
            <w:tcW w:type="dxa" w:w="3200"/>
            <w:shd w:fill="F5F5F5" w:val="clear"/>
            <w:tcMar>
              <w:top w:type="dxa" w:w="90"/>
              <w:left w:type="dxa" w:w="100"/>
              <w:bottom w:type="dxa" w:w="90"/>
              <w:right w:type="dxa" w:w="100"/>
            </w:tcMar>
          </w:tcPr>
          <w:p>
            <w:r>
              <w:rPr>
                <w:sz w:val="19"/>
                <w:szCs w:val="19"/>
              </w:rPr>
              <w:t xml:space="preserve">Nama KSM/Departemen</w:t>
            </w:r>
          </w:p>
        </w:tc>
        <w:tc>
          <w:tcPr>
            <w:tcW w:type="dxa" w:w="6438"/>
            <w:shd w:fill="F5F5F5" w:val="clear"/>
            <w:tcMar>
              <w:top w:type="dxa" w:w="90"/>
              <w:left w:type="dxa" w:w="100"/>
              <w:bottom w:type="dxa" w:w="90"/>
              <w:right w:type="dxa" w:w="100"/>
            </w:tcMar>
          </w:tcPr>
          <w:p>
            <w:r>
              <w:rPr>
                <w:sz w:val="19"/>
                <w:szCs w:val="19"/>
              </w:rPr>
              <w:t xml:space="preserve">[Nama KSM/Departemen]</w:t>
            </w:r>
          </w:p>
        </w:tc>
      </w:tr>
      <w:tr>
        <w:tc>
          <w:tcPr>
            <w:tcW w:type="dxa" w:w="3200"/>
            <w:shd w:fill="FFFFFF" w:val="clear"/>
            <w:tcMar>
              <w:top w:type="dxa" w:w="90"/>
              <w:left w:type="dxa" w:w="100"/>
              <w:bottom w:type="dxa" w:w="90"/>
              <w:right w:type="dxa" w:w="100"/>
            </w:tcMar>
          </w:tcPr>
          <w:p>
            <w:r>
              <w:rPr>
                <w:sz w:val="19"/>
                <w:szCs w:val="19"/>
              </w:rPr>
              <w:t xml:space="preserve">Nomor Dokumen</w:t>
            </w:r>
          </w:p>
        </w:tc>
        <w:tc>
          <w:tcPr>
            <w:tcW w:type="dxa" w:w="6438"/>
            <w:shd w:fill="FFFFFF" w:val="clear"/>
            <w:tcMar>
              <w:top w:type="dxa" w:w="90"/>
              <w:left w:type="dxa" w:w="100"/>
              <w:bottom w:type="dxa" w:w="90"/>
              <w:right w:type="dxa" w:w="100"/>
            </w:tcMar>
          </w:tcPr>
          <w:p>
            <w:r>
              <w:rPr>
                <w:sz w:val="19"/>
                <w:szCs w:val="19"/>
              </w:rPr>
              <w:t xml:space="preserve">[Nomor Dokumen]</w:t>
            </w:r>
          </w:p>
        </w:tc>
      </w:tr>
      <w:tr>
        <w:tc>
          <w:tcPr>
            <w:tcW w:type="dxa" w:w="3200"/>
            <w:shd w:fill="F5F5F5" w:val="clear"/>
            <w:tcMar>
              <w:top w:type="dxa" w:w="90"/>
              <w:left w:type="dxa" w:w="100"/>
              <w:bottom w:type="dxa" w:w="90"/>
              <w:right w:type="dxa" w:w="100"/>
            </w:tcMar>
          </w:tcPr>
          <w:p>
            <w:r>
              <w:rPr>
                <w:sz w:val="19"/>
                <w:szCs w:val="19"/>
              </w:rPr>
              <w:t xml:space="preserve">Tanggal Berlaku / Tinjau Ulang</w:t>
            </w:r>
          </w:p>
        </w:tc>
        <w:tc>
          <w:tcPr>
            <w:tcW w:type="dxa" w:w="6438"/>
            <w:shd w:fill="F5F5F5" w:val="clear"/>
            <w:tcMar>
              <w:top w:type="dxa" w:w="90"/>
              <w:left w:type="dxa" w:w="100"/>
              <w:bottom w:type="dxa" w:w="90"/>
              <w:right w:type="dxa" w:w="100"/>
            </w:tcMar>
          </w:tcPr>
          <w:p>
            <w:r>
              <w:rPr>
                <w:sz w:val="19"/>
                <w:szCs w:val="19"/>
              </w:rPr>
              <w:t xml:space="preserve">[Tanggal Berlaku/Tinjau Ulang]</w:t>
            </w:r>
          </w:p>
        </w:tc>
      </w:tr>
      <w:tr>
        <w:tc>
          <w:tcPr>
            <w:tcW w:type="dxa" w:w="3200"/>
            <w:shd w:fill="FFFFFF" w:val="clear"/>
            <w:tcMar>
              <w:top w:type="dxa" w:w="90"/>
              <w:left w:type="dxa" w:w="100"/>
              <w:bottom w:type="dxa" w:w="90"/>
              <w:right w:type="dxa" w:w="100"/>
            </w:tcMar>
          </w:tcPr>
          <w:p>
            <w:r>
              <w:rPr>
                <w:sz w:val="19"/>
                <w:szCs w:val="19"/>
              </w:rPr>
              <w:t xml:space="preserve">Penulis/Penyusun</w:t>
            </w:r>
          </w:p>
        </w:tc>
        <w:tc>
          <w:tcPr>
            <w:tcW w:type="dxa" w:w="6438"/>
            <w:shd w:fill="FFFFFF" w:val="clear"/>
            <w:tcMar>
              <w:top w:type="dxa" w:w="90"/>
              <w:left w:type="dxa" w:w="100"/>
              <w:bottom w:type="dxa" w:w="90"/>
              <w:right w:type="dxa" w:w="100"/>
            </w:tcMar>
          </w:tcPr>
          <w:p>
            <w:r>
              <w:rPr>
                <w:sz w:val="19"/>
                <w:szCs w:val="19"/>
              </w:rPr>
              <w:t xml:space="preserve">Dr.dr. Budi Siswanto, Sp.OG., Subsp.Obginsos., SH., S.Kom.</w:t>
            </w:r>
          </w:p>
        </w:tc>
      </w:tr>
      <w:tr>
        <w:tc>
          <w:tcPr>
            <w:tcW w:type="dxa" w:w="3200"/>
            <w:shd w:fill="F5F5F5" w:val="clear"/>
            <w:tcMar>
              <w:top w:type="dxa" w:w="90"/>
              <w:left w:type="dxa" w:w="100"/>
              <w:bottom w:type="dxa" w:w="90"/>
              <w:right w:type="dxa" w:w="100"/>
            </w:tcMar>
          </w:tcPr>
          <w:p>
            <w:r>
              <w:rPr>
                <w:sz w:val="19"/>
                <w:szCs w:val="19"/>
              </w:rPr>
              <w:t xml:space="preserve">Penerbit</w:t>
            </w:r>
          </w:p>
        </w:tc>
        <w:tc>
          <w:tcPr>
            <w:tcW w:type="dxa" w:w="6438"/>
            <w:shd w:fill="F5F5F5" w:val="clear"/>
            <w:tcMar>
              <w:top w:type="dxa" w:w="90"/>
              <w:left w:type="dxa" w:w="100"/>
              <w:bottom w:type="dxa" w:w="90"/>
              <w:right w:type="dxa" w:w="100"/>
            </w:tcMar>
          </w:tcPr>
          <w:p>
            <w:r>
              <w:rPr>
                <w:sz w:val="19"/>
                <w:szCs w:val="19"/>
              </w:rPr>
              <w:t xml:space="preserve">Perpustakaan ABBA</w:t>
            </w:r>
          </w:p>
        </w:tc>
      </w:tr>
      <w:tr>
        <w:tc>
          <w:tcPr>
            <w:tcW w:type="dxa" w:w="3200"/>
            <w:shd w:fill="FFFFFF" w:val="clear"/>
            <w:tcMar>
              <w:top w:type="dxa" w:w="90"/>
              <w:left w:type="dxa" w:w="100"/>
              <w:bottom w:type="dxa" w:w="90"/>
              <w:right w:type="dxa" w:w="100"/>
            </w:tcMar>
          </w:tcPr>
          <w:p>
            <w:r>
              <w:rPr>
                <w:sz w:val="19"/>
                <w:szCs w:val="19"/>
              </w:rPr>
              <w:t xml:space="preserve">Alamat Penerbit</w:t>
            </w:r>
          </w:p>
        </w:tc>
        <w:tc>
          <w:tcPr>
            <w:tcW w:type="dxa" w:w="6438"/>
            <w:shd w:fill="FFFFFF" w:val="clear"/>
            <w:tcMar>
              <w:top w:type="dxa" w:w="90"/>
              <w:left w:type="dxa" w:w="100"/>
              <w:bottom w:type="dxa" w:w="90"/>
              <w:right w:type="dxa" w:w="100"/>
            </w:tcMar>
          </w:tcPr>
          <w:p>
            <w:r>
              <w:rPr>
                <w:sz w:val="19"/>
                <w:szCs w:val="19"/>
              </w:rPr>
              <w:t xml:space="preserve">Jl Danau Kerinci No 9 Malang</w:t>
            </w:r>
          </w:p>
        </w:tc>
      </w:tr>
    </w:tbl>
    <w:p>
      <w:pPr>
        <w:spacing w:after="280"/>
      </w:pP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c>
          <w:tcPr>
            <w:tcW w:type="dxa" w:w="9638"/>
            <w:shd w:fill="7A1F3D" w:val="clear"/>
            <w:tcMar>
              <w:top w:type="dxa" w:w="140"/>
              <w:left w:type="dxa" w:w="200"/>
              <w:bottom w:type="dxa" w:w="140"/>
              <w:right w:type="dxa" w:w="200"/>
            </w:tcMar>
          </w:tcPr>
          <w:p>
            <w:pPr>
              <w:spacing w:after="0"/>
            </w:pPr>
            <w:r>
              <w:rPr>
                <w:b/>
                <w:bCs/>
                <w:color w:val="FFFFFF"/>
                <w:sz w:val="26"/>
                <w:szCs w:val="26"/>
              </w:rPr>
              <w:t xml:space="preserve">1. </w:t>
            </w:r>
            <w:r>
              <w:rPr>
                <w:b/>
                <w:bCs/>
                <w:color w:val="FFFFFF"/>
                <w:sz w:val="26"/>
                <w:szCs w:val="26"/>
              </w:rPr>
              <w:t xml:space="preserve">Pengertian (Definisi)</w:t>
            </w:r>
          </w:p>
        </w:tc>
      </w:tr>
    </w:tbl>
    <w:p>
      <w:pPr>
        <w:spacing w:after="80"/>
      </w:pPr>
    </w:p>
    <w:tbl>
      <w:tblPr>
        <w:tblW w:type="dxa" w:w="9638"/>
        <w:tblBorders>
          <w:top w:val="single" w:color="F3E1E7" w:sz="4"/>
          <w:left w:val="single" w:color="F3E1E7" w:sz="4"/>
          <w:bottom w:val="single" w:color="F3E1E7" w:sz="4"/>
          <w:right w:val="single" w:color="F3E1E7" w:sz="4"/>
          <w:insideH w:val="none" w:color="FFFFFF" w:sz="0"/>
          <w:insideV w:val="none" w:color="FFFFFF" w:sz="0"/>
        </w:tblBorders>
      </w:tblPr>
      <w:tblGrid>
        <w:gridCol w:w="9638"/>
      </w:tblGrid>
      <w:tr>
        <w:tc>
          <w:tcPr>
            <w:tcW w:type="dxa" w:w="9638"/>
            <w:shd w:fill="FBF3F5" w:val="clear"/>
            <w:tcMar>
              <w:top w:type="dxa" w:w="160"/>
              <w:left w:type="dxa" w:w="220"/>
              <w:bottom w:type="dxa" w:w="160"/>
              <w:right w:type="dxa" w:w="220"/>
            </w:tcMar>
          </w:tcPr>
          <w:p>
            <w:pPr>
              <w:spacing w:after="100"/>
            </w:pPr>
            <w:r>
              <w:rPr>
                <w:sz w:val="21"/>
                <w:szCs w:val="21"/>
              </w:rPr>
              <w:t xml:space="preserve">Kontrasepsi darurat (KD) adalah metode kontrasepsi yang digunakan setelah hubungan seksual tanpa proteksi untuk mencegah kehamilan yang tidak diinginkan, termasuk pada dua kondisi utama: (1) korban perkosaan/kekerasan seksual, dan (2) kegagalan atau tidak digunakannya kontrasepsi reguler (kondom bocor/lepas, lupa pil, keterlambatan suntik, dan lain-lain).</w:t>
            </w:r>
          </w:p>
          <w:p>
            <w:pPr>
              <w:spacing w:after="100"/>
            </w:pPr>
            <w:r>
              <w:rPr>
                <w:sz w:val="21"/>
                <w:szCs w:val="21"/>
              </w:rPr>
              <w:t xml:space="preserve">Secara mekanisme kerja, seluruh metode KD (levonorgestrel, ulipristal asetat, maupun copper IUD) bekerja dengan mencegah atau menunda ovulasi serta menghambat fertilisasi; KD BUKAN abortifasien dan tidak mengganggu kehamilan yang sudah terjadi (pascaimplantasi). Kejelasan mekanisme ini penting secara ilmiah maupun etikolegal untuk membedakan KD dari tindakan aborsi.</w:t>
            </w:r>
          </w:p>
          <w:p>
            <w:pPr>
              <w:spacing w:after="100"/>
            </w:pPr>
            <w:r>
              <w:rPr>
                <w:sz w:val="21"/>
                <w:szCs w:val="21"/>
              </w:rPr>
              <w:t xml:space="preserve">Pada kasus perkosaan, KD merupakan bagian dari paket layanan komprehensif korban kekerasan seksual bersama tata laksana forensik, pencegahan infeksi menular seksual (IMS), pencegahan HIV (PEP), dan dukungan psikososial, dan diberikan tanpa memandang status pernikahan, usia, atau persetujuan pasangan/keluarga.</w:t>
            </w:r>
          </w:p>
        </w:tc>
      </w:tr>
    </w:tbl>
    <w:p>
      <w:pPr>
        <w:spacing w:after="200"/>
      </w:pP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c>
          <w:tcPr>
            <w:tcW w:type="dxa" w:w="9638"/>
            <w:shd w:fill="7A1F3D" w:val="clear"/>
            <w:tcMar>
              <w:top w:type="dxa" w:w="140"/>
              <w:left w:type="dxa" w:w="200"/>
              <w:bottom w:type="dxa" w:w="140"/>
              <w:right w:type="dxa" w:w="200"/>
            </w:tcMar>
          </w:tcPr>
          <w:p>
            <w:pPr>
              <w:spacing w:after="0"/>
            </w:pPr>
            <w:r>
              <w:rPr>
                <w:b/>
                <w:bCs/>
                <w:color w:val="FFFFFF"/>
                <w:sz w:val="26"/>
                <w:szCs w:val="26"/>
              </w:rPr>
              <w:t xml:space="preserve">2. </w:t>
            </w:r>
            <w:r>
              <w:rPr>
                <w:b/>
                <w:bCs/>
                <w:color w:val="FFFFFF"/>
                <w:sz w:val="26"/>
                <w:szCs w:val="26"/>
              </w:rPr>
              <w:t xml:space="preserve">Anamnesis</w:t>
            </w:r>
          </w:p>
        </w:tc>
      </w:tr>
    </w:tbl>
    <w:p>
      <w:pPr>
        <w:spacing w:after="80"/>
      </w:pPr>
    </w:p>
    <w:tbl>
      <w:tblPr>
        <w:tblW w:type="dxa" w:w="9638"/>
        <w:tblBorders>
          <w:top w:val="single" w:color="F3E1E7" w:sz="4"/>
          <w:left w:val="single" w:color="F3E1E7" w:sz="4"/>
          <w:bottom w:val="single" w:color="F3E1E7" w:sz="4"/>
          <w:right w:val="single" w:color="F3E1E7" w:sz="4"/>
          <w:insideH w:val="none" w:color="FFFFFF" w:sz="0"/>
          <w:insideV w:val="none" w:color="FFFFFF" w:sz="0"/>
        </w:tblBorders>
      </w:tblPr>
      <w:tblGrid>
        <w:gridCol w:w="9638"/>
      </w:tblGrid>
      <w:tr>
        <w:tc>
          <w:tcPr>
            <w:tcW w:type="dxa" w:w="9638"/>
            <w:shd w:fill="FBF3F5" w:val="clear"/>
            <w:tcMar>
              <w:top w:type="dxa" w:w="160"/>
              <w:left w:type="dxa" w:w="220"/>
              <w:bottom w:type="dxa" w:w="160"/>
              <w:right w:type="dxa" w:w="220"/>
            </w:tcMar>
          </w:tcPr>
          <w:p>
            <w:pPr>
              <w:spacing w:after="80" w:before="120"/>
            </w:pPr>
            <w:r>
              <w:rPr>
                <w:b/>
                <w:bCs/>
                <w:color w:val="7A1F3D"/>
                <w:sz w:val="21"/>
                <w:szCs w:val="21"/>
              </w:rPr>
              <w:t xml:space="preserve">Anamnesis Umum</w:t>
            </w:r>
          </w:p>
          <w:p>
            <w:pPr>
              <w:pStyle w:val="ListParagraph"/>
              <w:numPr>
                <w:ilvl w:val="0"/>
                <w:numId w:val="1"/>
              </w:numPr>
              <w:spacing w:after="60"/>
            </w:pPr>
            <w:r>
              <w:rPr>
                <w:sz w:val="21"/>
                <w:szCs w:val="21"/>
              </w:rPr>
              <w:t xml:space="preserve">Waktu hubungan seksual tanpa proteksi/kejadian perkosaan (tanggal dan jam sepresisi mungkin) — menentukan jendela waktu efektivitas KD.</w:t>
            </w:r>
          </w:p>
          <w:p>
            <w:pPr>
              <w:pStyle w:val="ListParagraph"/>
              <w:numPr>
                <w:ilvl w:val="0"/>
                <w:numId w:val="1"/>
              </w:numPr>
              <w:spacing w:after="60"/>
            </w:pPr>
            <w:r>
              <w:rPr>
                <w:sz w:val="21"/>
                <w:szCs w:val="21"/>
              </w:rPr>
              <w:t xml:space="preserve">Hari pertama haid terakhir (HPHT) dan siklus haid, untuk estimasi risiko kehamilan dan masa subur.</w:t>
            </w:r>
          </w:p>
          <w:p>
            <w:pPr>
              <w:pStyle w:val="ListParagraph"/>
              <w:numPr>
                <w:ilvl w:val="0"/>
                <w:numId w:val="1"/>
              </w:numPr>
              <w:spacing w:after="60"/>
            </w:pPr>
            <w:r>
              <w:rPr>
                <w:sz w:val="21"/>
                <w:szCs w:val="21"/>
              </w:rPr>
              <w:t xml:space="preserve">Riwayat kontrasepsi yang sedang digunakan dan jenis kegagalannya (kondom bocor/lepas, lupa pil ≥2 tablet, keterlambatan suntik progestin &gt;2 minggu, dan lain-lain).</w:t>
            </w:r>
          </w:p>
          <w:p>
            <w:pPr>
              <w:pStyle w:val="ListParagraph"/>
              <w:numPr>
                <w:ilvl w:val="0"/>
                <w:numId w:val="1"/>
              </w:numPr>
              <w:spacing w:after="60"/>
            </w:pPr>
            <w:r>
              <w:rPr>
                <w:sz w:val="21"/>
                <w:szCs w:val="21"/>
              </w:rPr>
              <w:t xml:space="preserve">Berat badan dan/atau indeks massa tubuh (IMT) — relevan untuk pemilihan dan penyesuaian dosis metode hormonal (lihat Bagian 8.2).</w:t>
            </w:r>
          </w:p>
          <w:p>
            <w:pPr>
              <w:pStyle w:val="ListParagraph"/>
              <w:numPr>
                <w:ilvl w:val="0"/>
                <w:numId w:val="1"/>
              </w:numPr>
              <w:spacing w:after="60"/>
            </w:pPr>
            <w:r>
              <w:rPr>
                <w:sz w:val="21"/>
                <w:szCs w:val="21"/>
              </w:rPr>
              <w:t xml:space="preserve">Riwayat hubungan seksual lain dalam siklus haid berjalan (untuk menilai kemungkinan kehamilan yang sudah terjadi sebelum kejadian indeks).</w:t>
            </w:r>
          </w:p>
          <w:p>
            <w:pPr>
              <w:pStyle w:val="ListParagraph"/>
              <w:numPr>
                <w:ilvl w:val="0"/>
                <w:numId w:val="1"/>
              </w:numPr>
              <w:spacing w:after="60"/>
            </w:pPr>
            <w:r>
              <w:rPr>
                <w:sz w:val="21"/>
                <w:szCs w:val="21"/>
              </w:rPr>
              <w:t xml:space="preserve">Riwayat medis: kontraindikasi hormonal (tromboemboli, migren dengan aura, penyakit hati berat), alergi obat, kehamilan yang sudah diketahui.</w:t>
            </w:r>
          </w:p>
          <w:p>
            <w:pPr>
              <w:spacing w:after="80" w:before="120"/>
            </w:pPr>
            <w:r>
              <w:rPr>
                <w:b/>
                <w:bCs/>
                <w:color w:val="7A1F3D"/>
                <w:sz w:val="21"/>
                <w:szCs w:val="21"/>
              </w:rPr>
              <w:t xml:space="preserve">Anamnesis Khusus Kasus Perkosaan (dilakukan nonjudgmental, privat, didampingi tenaga terlatih)</w:t>
            </w:r>
          </w:p>
          <w:p>
            <w:pPr>
              <w:pStyle w:val="ListParagraph"/>
              <w:numPr>
                <w:ilvl w:val="0"/>
                <w:numId w:val="1"/>
              </w:numPr>
              <w:spacing w:after="60"/>
            </w:pPr>
            <w:r>
              <w:rPr>
                <w:sz w:val="21"/>
                <w:szCs w:val="21"/>
              </w:rPr>
              <w:t xml:space="preserve">Kronologi kejadian secukupnya untuk kebutuhan medikolegal, dengan bahasa yang tidak menghakimi dan tidak memaksa pengulangan cerita berlebihan.</w:t>
            </w:r>
          </w:p>
          <w:p>
            <w:pPr>
              <w:pStyle w:val="ListParagraph"/>
              <w:numPr>
                <w:ilvl w:val="0"/>
                <w:numId w:val="1"/>
              </w:numPr>
              <w:spacing w:after="60"/>
            </w:pPr>
            <w:r>
              <w:rPr>
                <w:sz w:val="21"/>
                <w:szCs w:val="21"/>
              </w:rPr>
              <w:t xml:space="preserve">Kesediaan korban untuk visum et repertum dan/atau pelaporan ke penegak hukum — WAJIB ditanyakan sebagai pilihan, bukan syarat pelayanan medis.</w:t>
            </w:r>
          </w:p>
          <w:p>
            <w:pPr>
              <w:pStyle w:val="ListParagraph"/>
              <w:numPr>
                <w:ilvl w:val="0"/>
                <w:numId w:val="1"/>
              </w:numPr>
              <w:spacing w:after="60"/>
            </w:pPr>
            <w:r>
              <w:rPr>
                <w:sz w:val="21"/>
                <w:szCs w:val="21"/>
              </w:rPr>
              <w:t xml:space="preserve">Dukungan psikososial yang tersedia (keluarga, pendamping, lembaga layanan korban) dan kebutuhan rujukan psikologi/psikiatri.</w:t>
            </w:r>
          </w:p>
        </w:tc>
      </w:tr>
    </w:tbl>
    <w:p>
      <w:pPr>
        <w:spacing w:after="200"/>
      </w:pP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c>
          <w:tcPr>
            <w:tcW w:type="dxa" w:w="9638"/>
            <w:shd w:fill="7A1F3D" w:val="clear"/>
            <w:tcMar>
              <w:top w:type="dxa" w:w="140"/>
              <w:left w:type="dxa" w:w="200"/>
              <w:bottom w:type="dxa" w:w="140"/>
              <w:right w:type="dxa" w:w="200"/>
            </w:tcMar>
          </w:tcPr>
          <w:p>
            <w:pPr>
              <w:spacing w:after="0"/>
            </w:pPr>
            <w:r>
              <w:rPr>
                <w:b/>
                <w:bCs/>
                <w:color w:val="FFFFFF"/>
                <w:sz w:val="26"/>
                <w:szCs w:val="26"/>
              </w:rPr>
              <w:t xml:space="preserve">3. </w:t>
            </w:r>
            <w:r>
              <w:rPr>
                <w:b/>
                <w:bCs/>
                <w:color w:val="FFFFFF"/>
                <w:sz w:val="26"/>
                <w:szCs w:val="26"/>
              </w:rPr>
              <w:t xml:space="preserve">Pemeriksaan Fisik</w:t>
            </w:r>
          </w:p>
        </w:tc>
      </w:tr>
    </w:tbl>
    <w:p>
      <w:pPr>
        <w:spacing w:after="80"/>
      </w:pPr>
    </w:p>
    <w:tbl>
      <w:tblPr>
        <w:tblW w:type="dxa" w:w="9638"/>
        <w:tblBorders>
          <w:top w:val="single" w:color="F3E1E7" w:sz="4"/>
          <w:left w:val="single" w:color="F3E1E7" w:sz="4"/>
          <w:bottom w:val="single" w:color="F3E1E7" w:sz="4"/>
          <w:right w:val="single" w:color="F3E1E7" w:sz="4"/>
          <w:insideH w:val="none" w:color="FFFFFF" w:sz="0"/>
          <w:insideV w:val="none" w:color="FFFFFF" w:sz="0"/>
        </w:tblBorders>
      </w:tblPr>
      <w:tblGrid>
        <w:gridCol w:w="9638"/>
      </w:tblGrid>
      <w:tr>
        <w:tc>
          <w:tcPr>
            <w:tcW w:type="dxa" w:w="9638"/>
            <w:shd w:fill="FBF3F5" w:val="clear"/>
            <w:tcMar>
              <w:top w:type="dxa" w:w="160"/>
              <w:left w:type="dxa" w:w="220"/>
              <w:bottom w:type="dxa" w:w="160"/>
              <w:right w:type="dxa" w:w="220"/>
            </w:tcMar>
          </w:tcPr>
          <w:p>
            <w:pPr>
              <w:pStyle w:val="ListParagraph"/>
              <w:numPr>
                <w:ilvl w:val="0"/>
                <w:numId w:val="1"/>
              </w:numPr>
              <w:spacing w:after="60"/>
            </w:pPr>
            <w:r>
              <w:rPr>
                <w:sz w:val="21"/>
                <w:szCs w:val="21"/>
              </w:rPr>
              <w:t xml:space="preserve">Tanda vital dan status generalis.</w:t>
            </w:r>
          </w:p>
          <w:p>
            <w:pPr>
              <w:pStyle w:val="ListParagraph"/>
              <w:numPr>
                <w:ilvl w:val="0"/>
                <w:numId w:val="1"/>
              </w:numPr>
              <w:spacing w:after="60"/>
            </w:pPr>
            <w:r>
              <w:rPr>
                <w:sz w:val="21"/>
                <w:szCs w:val="21"/>
              </w:rPr>
              <w:t xml:space="preserve">Pemeriksaan tanda kekerasan fisik (jejas, luka, ekimosis) didokumentasikan lengkap dengan body map bila kasus perkosaan.</w:t>
            </w:r>
          </w:p>
          <w:p>
            <w:pPr>
              <w:pStyle w:val="ListParagraph"/>
              <w:numPr>
                <w:ilvl w:val="0"/>
                <w:numId w:val="1"/>
              </w:numPr>
              <w:spacing w:after="60"/>
            </w:pPr>
            <w:r>
              <w:rPr>
                <w:sz w:val="21"/>
                <w:szCs w:val="21"/>
              </w:rPr>
              <w:t xml:space="preserve">Pemeriksaan genitalia eksterna dan interna sesuai indikasi klinis dan persetujuan korban; dilakukan seminimal mungkin trauma tambahan, oleh tenaga terlatih, dengan pendamping bila memungkinkan.</w:t>
            </w:r>
          </w:p>
          <w:p>
            <w:pPr>
              <w:pStyle w:val="ListParagraph"/>
              <w:numPr>
                <w:ilvl w:val="0"/>
                <w:numId w:val="1"/>
              </w:numPr>
              <w:spacing w:after="60"/>
            </w:pPr>
            <w:r>
              <w:rPr>
                <w:sz w:val="21"/>
                <w:szCs w:val="21"/>
              </w:rPr>
              <w:t xml:space="preserve">Pemeriksaan penunjang forensik (swab, sampel) dilakukan bersamaan bila korban menyetujui visum et repertum, mengikuti protokol rantai bukti (chain of custody).</w:t>
            </w:r>
          </w:p>
          <w:p>
            <w:pPr>
              <w:pStyle w:val="ListParagraph"/>
              <w:numPr>
                <w:ilvl w:val="0"/>
                <w:numId w:val="1"/>
              </w:numPr>
              <w:spacing w:after="60"/>
            </w:pPr>
            <w:r>
              <w:rPr>
                <w:sz w:val="21"/>
                <w:szCs w:val="21"/>
              </w:rPr>
              <w:t xml:space="preserve">Pemeriksaan tidak boleh ditunda hingga menghambat pemberian KD dalam jendela waktu efektif.</w:t>
            </w:r>
          </w:p>
        </w:tc>
      </w:tr>
    </w:tbl>
    <w:p>
      <w:pPr>
        <w:spacing w:after="200"/>
      </w:pP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c>
          <w:tcPr>
            <w:tcW w:type="dxa" w:w="9638"/>
            <w:shd w:fill="7A1F3D" w:val="clear"/>
            <w:tcMar>
              <w:top w:type="dxa" w:w="140"/>
              <w:left w:type="dxa" w:w="200"/>
              <w:bottom w:type="dxa" w:w="140"/>
              <w:right w:type="dxa" w:w="200"/>
            </w:tcMar>
          </w:tcPr>
          <w:p>
            <w:pPr>
              <w:spacing w:after="0"/>
            </w:pPr>
            <w:r>
              <w:rPr>
                <w:b/>
                <w:bCs/>
                <w:color w:val="FFFFFF"/>
                <w:sz w:val="26"/>
                <w:szCs w:val="26"/>
              </w:rPr>
              <w:t xml:space="preserve">4. </w:t>
            </w:r>
            <w:r>
              <w:rPr>
                <w:b/>
                <w:bCs/>
                <w:color w:val="FFFFFF"/>
                <w:sz w:val="26"/>
                <w:szCs w:val="26"/>
              </w:rPr>
              <w:t xml:space="preserve">Kriteria Diagnosis</w:t>
            </w:r>
          </w:p>
        </w:tc>
      </w:tr>
    </w:tbl>
    <w:p>
      <w:pPr>
        <w:spacing w:after="80"/>
      </w:pPr>
    </w:p>
    <w:tbl>
      <w:tblPr>
        <w:tblW w:type="dxa" w:w="9638"/>
        <w:tblBorders>
          <w:top w:val="single" w:color="F3E1E7" w:sz="4"/>
          <w:left w:val="single" w:color="F3E1E7" w:sz="4"/>
          <w:bottom w:val="single" w:color="F3E1E7" w:sz="4"/>
          <w:right w:val="single" w:color="F3E1E7" w:sz="4"/>
          <w:insideH w:val="none" w:color="FFFFFF" w:sz="0"/>
          <w:insideV w:val="none" w:color="FFFFFF" w:sz="0"/>
        </w:tblBorders>
      </w:tblPr>
      <w:tblGrid>
        <w:gridCol w:w="9638"/>
      </w:tblGrid>
      <w:tr>
        <w:tc>
          <w:tcPr>
            <w:tcW w:type="dxa" w:w="9638"/>
            <w:shd w:fill="FBF3F5" w:val="clear"/>
            <w:tcMar>
              <w:top w:type="dxa" w:w="160"/>
              <w:left w:type="dxa" w:w="220"/>
              <w:bottom w:type="dxa" w:w="160"/>
              <w:right w:type="dxa" w:w="220"/>
            </w:tcMar>
          </w:tcPr>
          <w:p>
            <w:pPr>
              <w:spacing w:after="100"/>
            </w:pPr>
            <w:r>
              <w:rPr>
                <w:sz w:val="21"/>
                <w:szCs w:val="21"/>
              </w:rPr>
              <w:t xml:space="preserve">Tidak terdapat skor diagnostik baku untuk indikasi KD; penentuan didasarkan pada kriteria klinis berikut:</w:t>
            </w:r>
          </w:p>
          <w:tbl>
            <w:tblPr>
              <w:tblW w:type="dxa" w:w="9638"/>
              <w:tblBorders>
                <w:top w:val="single" w:color="CCCCCC" w:sz="4"/>
                <w:left w:val="single" w:color="CCCCCC" w:sz="4"/>
                <w:bottom w:val="single" w:color="CCCCCC" w:sz="4"/>
                <w:right w:val="single" w:color="CCCCCC" w:sz="4"/>
                <w:insideH w:val="single" w:color="DDDDDD" w:sz="4"/>
                <w:insideV w:val="single" w:color="DDDDDD" w:sz="4"/>
              </w:tblBorders>
            </w:tblPr>
            <w:tblGrid>
              <w:gridCol w:w="3800"/>
              <w:gridCol w:w="5838"/>
            </w:tblGrid>
            <w:tr>
              <w:trPr>
                <w:tblHeader/>
              </w:trPr>
              <w:tc>
                <w:tcPr>
                  <w:tcW w:type="dxa" w:w="3800"/>
                  <w:shd w:fill="7A1F3D" w:val="clear"/>
                  <w:tcMar>
                    <w:top w:type="dxa" w:w="100"/>
                    <w:left w:type="dxa" w:w="100"/>
                    <w:bottom w:type="dxa" w:w="100"/>
                    <w:right w:type="dxa" w:w="100"/>
                  </w:tcMar>
                  <w:vAlign w:val="center"/>
                </w:tcPr>
                <w:p>
                  <w:r>
                    <w:rPr>
                      <w:b/>
                      <w:bCs/>
                      <w:color w:val="FFFFFF"/>
                      <w:sz w:val="19"/>
                      <w:szCs w:val="19"/>
                    </w:rPr>
                    <w:t xml:space="preserve">Kriteria</w:t>
                  </w:r>
                </w:p>
              </w:tc>
              <w:tc>
                <w:tcPr>
                  <w:tcW w:type="dxa" w:w="5838"/>
                  <w:shd w:fill="7A1F3D" w:val="clear"/>
                  <w:tcMar>
                    <w:top w:type="dxa" w:w="100"/>
                    <w:left w:type="dxa" w:w="100"/>
                    <w:bottom w:type="dxa" w:w="100"/>
                    <w:right w:type="dxa" w:w="100"/>
                  </w:tcMar>
                  <w:vAlign w:val="center"/>
                </w:tcPr>
                <w:p>
                  <w:r>
                    <w:rPr>
                      <w:b/>
                      <w:bCs/>
                      <w:color w:val="FFFFFF"/>
                      <w:sz w:val="19"/>
                      <w:szCs w:val="19"/>
                    </w:rPr>
                    <w:t xml:space="preserve">Keterangan</w:t>
                  </w:r>
                </w:p>
              </w:tc>
            </w:tr>
            <w:tr>
              <w:tc>
                <w:tcPr>
                  <w:tcW w:type="dxa" w:w="3800"/>
                  <w:shd w:fill="FFFFFF" w:val="clear"/>
                  <w:tcMar>
                    <w:top w:type="dxa" w:w="90"/>
                    <w:left w:type="dxa" w:w="100"/>
                    <w:bottom w:type="dxa" w:w="90"/>
                    <w:right w:type="dxa" w:w="100"/>
                  </w:tcMar>
                </w:tcPr>
                <w:p>
                  <w:r>
                    <w:rPr>
                      <w:sz w:val="19"/>
                      <w:szCs w:val="19"/>
                    </w:rPr>
                    <w:t xml:space="preserve">Waktu sejak hubungan seksual tanpa proteksi</w:t>
                  </w:r>
                </w:p>
              </w:tc>
              <w:tc>
                <w:tcPr>
                  <w:tcW w:type="dxa" w:w="5838"/>
                  <w:shd w:fill="FFFFFF" w:val="clear"/>
                  <w:tcMar>
                    <w:top w:type="dxa" w:w="90"/>
                    <w:left w:type="dxa" w:w="100"/>
                    <w:bottom w:type="dxa" w:w="90"/>
                    <w:right w:type="dxa" w:w="100"/>
                  </w:tcMar>
                </w:tcPr>
                <w:p>
                  <w:r>
                    <w:rPr>
                      <w:sz w:val="19"/>
                      <w:szCs w:val="19"/>
                    </w:rPr>
                    <w:t xml:space="preserve">≤ 120 jam (5 hari) — sesuai jendela waktu metode yang dipilih</w:t>
                  </w:r>
                </w:p>
              </w:tc>
            </w:tr>
            <w:tr>
              <w:tc>
                <w:tcPr>
                  <w:tcW w:type="dxa" w:w="3800"/>
                  <w:shd w:fill="F5F5F5" w:val="clear"/>
                  <w:tcMar>
                    <w:top w:type="dxa" w:w="90"/>
                    <w:left w:type="dxa" w:w="100"/>
                    <w:bottom w:type="dxa" w:w="90"/>
                    <w:right w:type="dxa" w:w="100"/>
                  </w:tcMar>
                </w:tcPr>
                <w:p>
                  <w:r>
                    <w:rPr>
                      <w:sz w:val="19"/>
                      <w:szCs w:val="19"/>
                    </w:rPr>
                    <w:t xml:space="preserve">Status kehamilan saat ini</w:t>
                  </w:r>
                </w:p>
              </w:tc>
              <w:tc>
                <w:tcPr>
                  <w:tcW w:type="dxa" w:w="5838"/>
                  <w:shd w:fill="F5F5F5" w:val="clear"/>
                  <w:tcMar>
                    <w:top w:type="dxa" w:w="90"/>
                    <w:left w:type="dxa" w:w="100"/>
                    <w:bottom w:type="dxa" w:w="90"/>
                    <w:right w:type="dxa" w:w="100"/>
                  </w:tcMar>
                </w:tcPr>
                <w:p>
                  <w:r>
                    <w:rPr>
                      <w:sz w:val="19"/>
                      <w:szCs w:val="19"/>
                    </w:rPr>
                    <w:t xml:space="preserve">Dipastikan belum hamil (anamnesis HPHT ± tes kehamilan bila meragukan)</w:t>
                  </w:r>
                </w:p>
              </w:tc>
            </w:tr>
            <w:tr>
              <w:tc>
                <w:tcPr>
                  <w:tcW w:type="dxa" w:w="3800"/>
                  <w:shd w:fill="FFFFFF" w:val="clear"/>
                  <w:tcMar>
                    <w:top w:type="dxa" w:w="90"/>
                    <w:left w:type="dxa" w:w="100"/>
                    <w:bottom w:type="dxa" w:w="90"/>
                    <w:right w:type="dxa" w:w="100"/>
                  </w:tcMar>
                </w:tcPr>
                <w:p>
                  <w:r>
                    <w:rPr>
                      <w:sz w:val="19"/>
                      <w:szCs w:val="19"/>
                    </w:rPr>
                    <w:t xml:space="preserve">Jenis paparan</w:t>
                  </w:r>
                </w:p>
              </w:tc>
              <w:tc>
                <w:tcPr>
                  <w:tcW w:type="dxa" w:w="5838"/>
                  <w:shd w:fill="FFFFFF" w:val="clear"/>
                  <w:tcMar>
                    <w:top w:type="dxa" w:w="90"/>
                    <w:left w:type="dxa" w:w="100"/>
                    <w:bottom w:type="dxa" w:w="90"/>
                    <w:right w:type="dxa" w:w="100"/>
                  </w:tcMar>
                </w:tcPr>
                <w:p>
                  <w:r>
                    <w:rPr>
                      <w:sz w:val="19"/>
                      <w:szCs w:val="19"/>
                    </w:rPr>
                    <w:t xml:space="preserve">Perkosaan, atau kegagalan/tidak digunakannya kontrasepsi reguler</w:t>
                  </w:r>
                </w:p>
              </w:tc>
            </w:tr>
            <w:tr>
              <w:tc>
                <w:tcPr>
                  <w:tcW w:type="dxa" w:w="3800"/>
                  <w:shd w:fill="F5F5F5" w:val="clear"/>
                  <w:tcMar>
                    <w:top w:type="dxa" w:w="90"/>
                    <w:left w:type="dxa" w:w="100"/>
                    <w:bottom w:type="dxa" w:w="90"/>
                    <w:right w:type="dxa" w:w="100"/>
                  </w:tcMar>
                </w:tcPr>
                <w:p>
                  <w:r>
                    <w:rPr>
                      <w:sz w:val="19"/>
                      <w:szCs w:val="19"/>
                    </w:rPr>
                    <w:t xml:space="preserve">Persetujuan (informed consent)</w:t>
                  </w:r>
                </w:p>
              </w:tc>
              <w:tc>
                <w:tcPr>
                  <w:tcW w:type="dxa" w:w="5838"/>
                  <w:shd w:fill="F5F5F5" w:val="clear"/>
                  <w:tcMar>
                    <w:top w:type="dxa" w:w="90"/>
                    <w:left w:type="dxa" w:w="100"/>
                    <w:bottom w:type="dxa" w:w="90"/>
                    <w:right w:type="dxa" w:w="100"/>
                  </w:tcMar>
                </w:tcPr>
                <w:p>
                  <w:r>
                    <w:rPr>
                      <w:sz w:val="19"/>
                      <w:szCs w:val="19"/>
                    </w:rPr>
                    <w:t xml:space="preserve">Korban/pasien menyetujui tindakan setelah mendapat penjelasan</w:t>
                  </w:r>
                </w:p>
              </w:tc>
            </w:tr>
          </w:tbl>
          <w:p/>
        </w:tc>
      </w:tr>
    </w:tbl>
    <w:p>
      <w:pPr>
        <w:spacing w:after="200"/>
      </w:pP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c>
          <w:tcPr>
            <w:tcW w:type="dxa" w:w="9638"/>
            <w:shd w:fill="7A1F3D" w:val="clear"/>
            <w:tcMar>
              <w:top w:type="dxa" w:w="140"/>
              <w:left w:type="dxa" w:w="200"/>
              <w:bottom w:type="dxa" w:w="140"/>
              <w:right w:type="dxa" w:w="200"/>
            </w:tcMar>
          </w:tcPr>
          <w:p>
            <w:pPr>
              <w:spacing w:after="0"/>
            </w:pPr>
            <w:r>
              <w:rPr>
                <w:b/>
                <w:bCs/>
                <w:color w:val="FFFFFF"/>
                <w:sz w:val="26"/>
                <w:szCs w:val="26"/>
              </w:rPr>
              <w:t xml:space="preserve">5. </w:t>
            </w:r>
            <w:r>
              <w:rPr>
                <w:b/>
                <w:bCs/>
                <w:color w:val="FFFFFF"/>
                <w:sz w:val="26"/>
                <w:szCs w:val="26"/>
              </w:rPr>
              <w:t xml:space="preserve">Diagnosis Kerja</w:t>
            </w:r>
          </w:p>
        </w:tc>
      </w:tr>
    </w:tbl>
    <w:p>
      <w:pPr>
        <w:spacing w:after="80"/>
      </w:pPr>
    </w:p>
    <w:tbl>
      <w:tblPr>
        <w:tblW w:type="dxa" w:w="9638"/>
        <w:tblBorders>
          <w:top w:val="single" w:color="F3E1E7" w:sz="4"/>
          <w:left w:val="single" w:color="F3E1E7" w:sz="4"/>
          <w:bottom w:val="single" w:color="F3E1E7" w:sz="4"/>
          <w:right w:val="single" w:color="F3E1E7" w:sz="4"/>
          <w:insideH w:val="none" w:color="FFFFFF" w:sz="0"/>
          <w:insideV w:val="none" w:color="FFFFFF" w:sz="0"/>
        </w:tblBorders>
      </w:tblPr>
      <w:tblGrid>
        <w:gridCol w:w="9638"/>
      </w:tblGrid>
      <w:tr>
        <w:tc>
          <w:tcPr>
            <w:tcW w:type="dxa" w:w="9638"/>
            <w:shd w:fill="FBF3F5" w:val="clear"/>
            <w:tcMar>
              <w:top w:type="dxa" w:w="160"/>
              <w:left w:type="dxa" w:w="220"/>
              <w:bottom w:type="dxa" w:w="160"/>
              <w:right w:type="dxa" w:w="220"/>
            </w:tcMar>
          </w:tcPr>
          <w:p>
            <w:pPr>
              <w:pStyle w:val="ListParagraph"/>
              <w:numPr>
                <w:ilvl w:val="0"/>
                <w:numId w:val="1"/>
              </w:numPr>
              <w:spacing w:after="60"/>
            </w:pPr>
            <w:r>
              <w:rPr>
                <w:sz w:val="21"/>
                <w:szCs w:val="21"/>
              </w:rPr>
              <w:t xml:space="preserve">Pasca-hubungan seksual tanpa proteksi akibat kekerasan seksual (perkosaan), memerlukan kontrasepsi darurat.</w:t>
            </w:r>
          </w:p>
          <w:p>
            <w:pPr>
              <w:pStyle w:val="ListParagraph"/>
              <w:numPr>
                <w:ilvl w:val="0"/>
                <w:numId w:val="1"/>
              </w:numPr>
              <w:spacing w:after="60"/>
            </w:pPr>
            <w:r>
              <w:rPr>
                <w:sz w:val="21"/>
                <w:szCs w:val="21"/>
              </w:rPr>
              <w:t xml:space="preserve">Pasca-kegagalan kontrasepsi reguler, memerlukan kontrasepsi darurat.</w:t>
            </w:r>
          </w:p>
        </w:tc>
      </w:tr>
    </w:tbl>
    <w:p>
      <w:pPr>
        <w:spacing w:after="200"/>
      </w:pP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c>
          <w:tcPr>
            <w:tcW w:type="dxa" w:w="9638"/>
            <w:shd w:fill="7A1F3D" w:val="clear"/>
            <w:tcMar>
              <w:top w:type="dxa" w:w="140"/>
              <w:left w:type="dxa" w:w="200"/>
              <w:bottom w:type="dxa" w:w="140"/>
              <w:right w:type="dxa" w:w="200"/>
            </w:tcMar>
          </w:tcPr>
          <w:p>
            <w:pPr>
              <w:spacing w:after="0"/>
            </w:pPr>
            <w:r>
              <w:rPr>
                <w:b/>
                <w:bCs/>
                <w:color w:val="FFFFFF"/>
                <w:sz w:val="26"/>
                <w:szCs w:val="26"/>
              </w:rPr>
              <w:t xml:space="preserve">6. </w:t>
            </w:r>
            <w:r>
              <w:rPr>
                <w:b/>
                <w:bCs/>
                <w:color w:val="FFFFFF"/>
                <w:sz w:val="26"/>
                <w:szCs w:val="26"/>
              </w:rPr>
              <w:t xml:space="preserve">Diagnosis Banding</w:t>
            </w:r>
          </w:p>
        </w:tc>
      </w:tr>
    </w:tbl>
    <w:p>
      <w:pPr>
        <w:spacing w:after="80"/>
      </w:pPr>
    </w:p>
    <w:tbl>
      <w:tblPr>
        <w:tblW w:type="dxa" w:w="9638"/>
        <w:tblBorders>
          <w:top w:val="single" w:color="F3E1E7" w:sz="4"/>
          <w:left w:val="single" w:color="F3E1E7" w:sz="4"/>
          <w:bottom w:val="single" w:color="F3E1E7" w:sz="4"/>
          <w:right w:val="single" w:color="F3E1E7" w:sz="4"/>
          <w:insideH w:val="none" w:color="FFFFFF" w:sz="0"/>
          <w:insideV w:val="none" w:color="FFFFFF" w:sz="0"/>
        </w:tblBorders>
      </w:tblPr>
      <w:tblGrid>
        <w:gridCol w:w="9638"/>
      </w:tblGrid>
      <w:tr>
        <w:tc>
          <w:tcPr>
            <w:tcW w:type="dxa" w:w="9638"/>
            <w:shd w:fill="FBF3F5" w:val="clear"/>
            <w:tcMar>
              <w:top w:type="dxa" w:w="160"/>
              <w:left w:type="dxa" w:w="220"/>
              <w:bottom w:type="dxa" w:w="160"/>
              <w:right w:type="dxa" w:w="220"/>
            </w:tcMar>
          </w:tcPr>
          <w:p>
            <w:pPr>
              <w:pStyle w:val="ListParagraph"/>
              <w:numPr>
                <w:ilvl w:val="0"/>
                <w:numId w:val="1"/>
              </w:numPr>
              <w:spacing w:after="60"/>
            </w:pPr>
            <w:r>
              <w:rPr>
                <w:sz w:val="21"/>
                <w:szCs w:val="21"/>
              </w:rPr>
              <w:t xml:space="preserve">Kehamilan yang sudah terjadi sebelum kejadian indeks (perlu disingkirkan dengan anamnesis siklus haid dan/atau tes kehamilan).</w:t>
            </w:r>
          </w:p>
          <w:p>
            <w:pPr>
              <w:pStyle w:val="ListParagraph"/>
              <w:numPr>
                <w:ilvl w:val="0"/>
                <w:numId w:val="1"/>
              </w:numPr>
              <w:spacing w:after="60"/>
            </w:pPr>
            <w:r>
              <w:rPr>
                <w:sz w:val="21"/>
                <w:szCs w:val="21"/>
              </w:rPr>
              <w:t xml:space="preserve">Perdarahan uterus abnormal non-kehamilan yang menyerupai keluhan penyerta.</w:t>
            </w:r>
          </w:p>
          <w:p>
            <w:pPr>
              <w:pStyle w:val="ListParagraph"/>
              <w:numPr>
                <w:ilvl w:val="0"/>
                <w:numId w:val="1"/>
              </w:numPr>
              <w:spacing w:after="60"/>
            </w:pPr>
            <w:r>
              <w:rPr>
                <w:sz w:val="21"/>
                <w:szCs w:val="21"/>
              </w:rPr>
              <w:t xml:space="preserve">Kebutuhan kontrasepsi rutin jangka panjang (bukan kondisi darurat) — dibedakan dari indikasi KD akut.</w:t>
            </w:r>
          </w:p>
        </w:tc>
      </w:tr>
    </w:tbl>
    <w:p>
      <w:pPr>
        <w:spacing w:after="200"/>
      </w:pP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c>
          <w:tcPr>
            <w:tcW w:type="dxa" w:w="9638"/>
            <w:shd w:fill="7A1F3D" w:val="clear"/>
            <w:tcMar>
              <w:top w:type="dxa" w:w="140"/>
              <w:left w:type="dxa" w:w="200"/>
              <w:bottom w:type="dxa" w:w="140"/>
              <w:right w:type="dxa" w:w="200"/>
            </w:tcMar>
          </w:tcPr>
          <w:p>
            <w:pPr>
              <w:spacing w:after="0"/>
            </w:pPr>
            <w:r>
              <w:rPr>
                <w:b/>
                <w:bCs/>
                <w:color w:val="FFFFFF"/>
                <w:sz w:val="26"/>
                <w:szCs w:val="26"/>
              </w:rPr>
              <w:t xml:space="preserve">7. </w:t>
            </w:r>
            <w:r>
              <w:rPr>
                <w:b/>
                <w:bCs/>
                <w:color w:val="FFFFFF"/>
                <w:sz w:val="26"/>
                <w:szCs w:val="26"/>
              </w:rPr>
              <w:t xml:space="preserve">Pemeriksaan Penunjang</w:t>
            </w:r>
          </w:p>
        </w:tc>
      </w:tr>
    </w:tbl>
    <w:p>
      <w:pPr>
        <w:spacing w:after="80"/>
      </w:pPr>
    </w:p>
    <w:tbl>
      <w:tblPr>
        <w:tblW w:type="dxa" w:w="9638"/>
        <w:tblBorders>
          <w:top w:val="single" w:color="F3E1E7" w:sz="4"/>
          <w:left w:val="single" w:color="F3E1E7" w:sz="4"/>
          <w:bottom w:val="single" w:color="F3E1E7" w:sz="4"/>
          <w:right w:val="single" w:color="F3E1E7" w:sz="4"/>
          <w:insideH w:val="none" w:color="FFFFFF" w:sz="0"/>
          <w:insideV w:val="none" w:color="FFFFFF" w:sz="0"/>
        </w:tblBorders>
      </w:tblPr>
      <w:tblGrid>
        <w:gridCol w:w="9638"/>
      </w:tblGrid>
      <w:tr>
        <w:tc>
          <w:tcPr>
            <w:tcW w:type="dxa" w:w="9638"/>
            <w:shd w:fill="FBF3F5" w:val="clear"/>
            <w:tcMar>
              <w:top w:type="dxa" w:w="160"/>
              <w:left w:type="dxa" w:w="220"/>
              <w:bottom w:type="dxa" w:w="160"/>
              <w:right w:type="dxa" w:w="220"/>
            </w:tcMar>
          </w:tcPr>
          <w:p>
            <w:pPr>
              <w:pStyle w:val="ListParagraph"/>
              <w:numPr>
                <w:ilvl w:val="0"/>
                <w:numId w:val="1"/>
              </w:numPr>
              <w:spacing w:after="60"/>
            </w:pPr>
            <w:r>
              <w:rPr>
                <w:sz w:val="21"/>
                <w:szCs w:val="21"/>
              </w:rPr>
              <w:t xml:space="preserve">Tes kehamilan (urin β-hCG) bila ada keraguan status kehamilan saat ini; hasil negatif tidak menyingkirkan kehamilan sangat dini sehingga tidak boleh menunda pemberian KD.</w:t>
            </w:r>
          </w:p>
          <w:p>
            <w:pPr>
              <w:pStyle w:val="ListParagraph"/>
              <w:numPr>
                <w:ilvl w:val="0"/>
                <w:numId w:val="1"/>
              </w:numPr>
              <w:spacing w:after="60"/>
            </w:pPr>
            <w:r>
              <w:rPr>
                <w:sz w:val="21"/>
                <w:szCs w:val="21"/>
              </w:rPr>
              <w:t xml:space="preserve">Skrining IMS (gonore, klamidia, sifilis, HIV, hepatitis B) sesuai standar layanan korban kekerasan seksual — idealnya baseline dan follow-up 6 minggu–3 bulan.</w:t>
            </w:r>
          </w:p>
          <w:p>
            <w:pPr>
              <w:pStyle w:val="ListParagraph"/>
              <w:numPr>
                <w:ilvl w:val="0"/>
                <w:numId w:val="1"/>
              </w:numPr>
              <w:spacing w:after="60"/>
            </w:pPr>
            <w:r>
              <w:rPr>
                <w:sz w:val="21"/>
                <w:szCs w:val="21"/>
              </w:rPr>
              <w:t xml:space="preserve">USG transvaginal/transabdominal bila direncanakan pemasangan copper IUD, untuk konfirmasi tidak ada kehamilan dan menilai anatomi uterus.</w:t>
            </w:r>
          </w:p>
          <w:p>
            <w:pPr>
              <w:pStyle w:val="ListParagraph"/>
              <w:numPr>
                <w:ilvl w:val="0"/>
                <w:numId w:val="1"/>
              </w:numPr>
              <w:spacing w:after="60"/>
            </w:pPr>
            <w:r>
              <w:rPr>
                <w:sz w:val="21"/>
                <w:szCs w:val="21"/>
              </w:rPr>
              <w:t xml:space="preserve">Pemeriksaan forensik (swab genital, kuku, pakaian) hanya bila korban menyetujui visum et repertum, dilakukan sesuai protokol rantai bukti oleh petugas berwenang.</w:t>
            </w:r>
          </w:p>
        </w:tc>
      </w:tr>
    </w:tbl>
    <w:p>
      <w:pPr>
        <w:spacing w:after="200"/>
      </w:pP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c>
          <w:tcPr>
            <w:tcW w:type="dxa" w:w="9638"/>
            <w:shd w:fill="7A1F3D" w:val="clear"/>
            <w:tcMar>
              <w:top w:type="dxa" w:w="140"/>
              <w:left w:type="dxa" w:w="200"/>
              <w:bottom w:type="dxa" w:w="140"/>
              <w:right w:type="dxa" w:w="200"/>
            </w:tcMar>
          </w:tcPr>
          <w:p>
            <w:pPr>
              <w:spacing w:after="0"/>
            </w:pPr>
            <w:r>
              <w:rPr>
                <w:b/>
                <w:bCs/>
                <w:color w:val="FFFFFF"/>
                <w:sz w:val="26"/>
                <w:szCs w:val="26"/>
              </w:rPr>
              <w:t xml:space="preserve">8. </w:t>
            </w:r>
            <w:r>
              <w:rPr>
                <w:b/>
                <w:bCs/>
                <w:color w:val="FFFFFF"/>
                <w:sz w:val="26"/>
                <w:szCs w:val="26"/>
              </w:rPr>
              <w:t xml:space="preserve">Tata Laksana (Terapi)</w:t>
            </w:r>
          </w:p>
        </w:tc>
      </w:tr>
    </w:tbl>
    <w:p>
      <w:pPr>
        <w:spacing w:after="80"/>
      </w:pPr>
    </w:p>
    <w:tbl>
      <w:tblPr>
        <w:tblW w:type="dxa" w:w="9638"/>
        <w:tblBorders>
          <w:top w:val="single" w:color="F3E1E7" w:sz="4"/>
          <w:left w:val="single" w:color="F3E1E7" w:sz="4"/>
          <w:bottom w:val="single" w:color="F3E1E7" w:sz="4"/>
          <w:right w:val="single" w:color="F3E1E7" w:sz="4"/>
          <w:insideH w:val="none" w:color="FFFFFF" w:sz="0"/>
          <w:insideV w:val="none" w:color="FFFFFF" w:sz="0"/>
        </w:tblBorders>
      </w:tblPr>
      <w:tblGrid>
        <w:gridCol w:w="9638"/>
      </w:tblGrid>
      <w:tr>
        <w:tc>
          <w:tcPr>
            <w:tcW w:type="dxa" w:w="9638"/>
            <w:shd w:fill="FBF3F5" w:val="clear"/>
            <w:tcMar>
              <w:top w:type="dxa" w:w="160"/>
              <w:left w:type="dxa" w:w="220"/>
              <w:bottom w:type="dxa" w:w="160"/>
              <w:right w:type="dxa" w:w="220"/>
            </w:tcMar>
          </w:tcPr>
          <w:p>
            <w:pPr>
              <w:spacing w:after="80" w:before="120"/>
            </w:pPr>
            <w:r>
              <w:rPr>
                <w:b/>
                <w:bCs/>
                <w:color w:val="7A1F3D"/>
                <w:sz w:val="21"/>
                <w:szCs w:val="21"/>
              </w:rPr>
              <w:t xml:space="preserve">8.1 Aspek Etikolegal dan Kerahasiaan</w:t>
            </w:r>
          </w:p>
          <w:p>
            <w:pPr>
              <w:spacing w:after="100"/>
            </w:pPr>
            <w:r>
              <w:rPr>
                <w:sz w:val="21"/>
                <w:szCs w:val="21"/>
              </w:rPr>
              <w:t xml:space="preserve">Sebelum uraian rekomendasi klinis internasional, tata laksana kasus perkosaan WAJIB memperhatikan kerangka hukum Indonesia terkini (berlaku per Juli 2026):</w:t>
            </w:r>
          </w:p>
          <w:p>
            <w:pPr>
              <w:pStyle w:val="ListParagraph"/>
              <w:numPr>
                <w:ilvl w:val="0"/>
                <w:numId w:val="1"/>
              </w:numPr>
              <w:spacing w:after="60"/>
            </w:pPr>
            <w:r>
              <w:rPr>
                <w:sz w:val="21"/>
                <w:szCs w:val="21"/>
              </w:rPr>
              <w:t xml:space="preserve">Undang-Undang Nomor 17 Tahun 2023 tentang Kesehatan, Pasal 55 huruf c, menegaskan hak setiap orang untuk menerima pelayanan dan pemulihan kesehatan akibat tindak pidana kekerasan seksual; Pasal 60 mengecualikan korban perkosaan dari syarat persetujuan suami untuk tindakan terkait kehamilan akibat kekerasan seksual.</w:t>
            </w:r>
          </w:p>
          <w:p>
            <w:pPr>
              <w:pStyle w:val="ListParagraph"/>
              <w:numPr>
                <w:ilvl w:val="0"/>
                <w:numId w:val="1"/>
              </w:numPr>
              <w:spacing w:after="60"/>
            </w:pPr>
            <w:r>
              <w:rPr>
                <w:sz w:val="21"/>
                <w:szCs w:val="21"/>
              </w:rPr>
              <w:t xml:space="preserve">Undang-Undang Nomor 17 Tahun 2023 tentang Kesehatan, Pasal 429 ayat (3), menegaskan Tenaga Medis/Tenaga Kesehatan yang melakukan tindakan karena indikasi kedaruratan medis atau terhadap korban tindak pidana perkosaan/kekerasan seksual lain yang menyebabkan kehamilan TIDAK DIPIDANA; pemberian kontrasepsi darurat sebagai tindakan pencegahan kehamilan (bukan aborsi) berada dalam koridor perlindungan hukum yang sama.</w:t>
            </w:r>
          </w:p>
          <w:p>
            <w:pPr>
              <w:pStyle w:val="ListParagraph"/>
              <w:numPr>
                <w:ilvl w:val="0"/>
                <w:numId w:val="1"/>
              </w:numPr>
              <w:spacing w:after="60"/>
            </w:pPr>
            <w:r>
              <w:rPr>
                <w:sz w:val="21"/>
                <w:szCs w:val="21"/>
              </w:rPr>
              <w:t xml:space="preserve">Peraturan Pemerintah Nomor 28 Tahun 2024 tentang Peraturan Pelaksanaan UU Nomor 17 Tahun 2023 tentang Kesehatan, Pasal 110, secara eksplisit mengatur layanan kontrasepsi darurat bagi korban tindak pidana perkosaan/kekerasan seksual sebagai bagian dari pelayanan kesehatan reproduksi wajib fasilitas kesehatan.</w:t>
            </w:r>
          </w:p>
          <w:p>
            <w:pPr>
              <w:pStyle w:val="ListParagraph"/>
              <w:numPr>
                <w:ilvl w:val="0"/>
                <w:numId w:val="1"/>
              </w:numPr>
              <w:spacing w:after="60"/>
            </w:pPr>
            <w:r>
              <w:rPr>
                <w:sz w:val="21"/>
                <w:szCs w:val="21"/>
              </w:rPr>
              <w:t xml:space="preserve">Undang-Undang Nomor 1 Tahun 2023 tentang Kitab Undang-Undang Hukum Pidana (KUHP Nasional) telah berlaku efektif sejak 2 Januari 2026, menggantikan KUHP warisan kolonial. Pasal 463 ayat (2) KUHP Nasional, dibaca bersama Pasal 60 UU Kesehatan, memperluas pengecualian tindakan terkait kehamilan akibat kekerasan seksual hingga usia kehamilan 14 minggu — relevan sebagai konteks rujukan bila kontrasepsi darurat tidak berhasil dan korban memerlukan konseling lanjutan (dibahas pada PPK terpisah mengenai aborsi pada kasus kekerasan seksual).</w:t>
            </w:r>
          </w:p>
          <w:p>
            <w:pPr>
              <w:pStyle w:val="ListParagraph"/>
              <w:numPr>
                <w:ilvl w:val="0"/>
                <w:numId w:val="1"/>
              </w:numPr>
              <w:spacing w:after="60"/>
            </w:pPr>
            <w:r>
              <w:rPr>
                <w:sz w:val="21"/>
                <w:szCs w:val="21"/>
              </w:rPr>
              <w:t xml:space="preserve">Undang-Undang Nomor 12 Tahun 2022 tentang Tindak Pidana Kekerasan Seksual (UU TPKS) menjamin hak korban atas penanganan medis segera tanpa memerlukan laporan polisi terlebih dahulu sebagai prasyarat pelayanan, serta hak atas pendampingan dan restitusi.</w:t>
            </w:r>
          </w:p>
          <w:p>
            <w:pPr>
              <w:pStyle w:val="ListParagraph"/>
              <w:numPr>
                <w:ilvl w:val="0"/>
                <w:numId w:val="1"/>
              </w:numPr>
              <w:spacing w:after="60"/>
            </w:pPr>
            <w:r>
              <w:rPr>
                <w:sz w:val="21"/>
                <w:szCs w:val="21"/>
              </w:rPr>
              <w:t xml:space="preserve">Undang-Undang Nomor 23 Tahun 2004 tentang Penghapusan Kekerasan Dalam Rumah Tangga (UU PKDRT) relevan bila kejadian terjadi dalam relasi rumah tangga/perkawinan.</w:t>
            </w:r>
          </w:p>
          <w:p>
            <w:pPr>
              <w:pStyle w:val="ListParagraph"/>
              <w:numPr>
                <w:ilvl w:val="0"/>
                <w:numId w:val="1"/>
              </w:numPr>
              <w:spacing w:after="60"/>
            </w:pPr>
            <w:r>
              <w:rPr>
                <w:sz w:val="21"/>
                <w:szCs w:val="21"/>
              </w:rPr>
              <w:t xml:space="preserve">Persetujuan tindakan medis (informed consent) diperoleh langsung dari korban dewasa; pada korban anak, mengikuti ketentuan perlindungan anak dan persetujuan wali dengan tetap mengutamakan kepentingan terbaik anak dan kerahasiaan.</w:t>
            </w:r>
          </w:p>
          <w:p>
            <w:pPr>
              <w:pStyle w:val="ListParagraph"/>
              <w:numPr>
                <w:ilvl w:val="0"/>
                <w:numId w:val="1"/>
              </w:numPr>
              <w:spacing w:after="60"/>
            </w:pPr>
            <w:r>
              <w:rPr>
                <w:sz w:val="21"/>
                <w:szCs w:val="21"/>
              </w:rPr>
              <w:t xml:space="preserve">Kerahasiaan rekam medis dan identitas korban wajib dijaga; pelaporan ke penegak hukum bersifat pilihan korban dan TIDAK menjadi prasyarat pemberian kontrasepsi darurat, kecuali diwajibkan oleh ketentuan perlindungan anak yang berlaku.</w:t>
            </w:r>
          </w:p>
          <w:p>
            <w:pPr>
              <w:pStyle w:val="ListParagraph"/>
              <w:numPr>
                <w:ilvl w:val="0"/>
                <w:numId w:val="1"/>
              </w:numPr>
              <w:spacing w:after="60"/>
            </w:pPr>
            <w:r>
              <w:rPr>
                <w:sz w:val="21"/>
                <w:szCs w:val="21"/>
              </w:rPr>
              <w:t xml:space="preserve">Dokumentasi medis (termasuk visum et repertum bila disetujui) dilakukan sesuai standar rantai bukti agar dapat digunakan dalam proses hukum bila korban memilih melapor.</w:t>
            </w:r>
          </w:p>
          <w:p>
            <w:pPr>
              <w:spacing w:after="80" w:before="120"/>
            </w:pPr>
            <w:r>
              <w:rPr>
                <w:b/>
                <w:bCs/>
                <w:color w:val="7A1F3D"/>
                <w:sz w:val="21"/>
                <w:szCs w:val="21"/>
              </w:rPr>
              <w:t xml:space="preserve">8.2 Pilihan Metode Kontrasepsi Darurat</w:t>
            </w:r>
          </w:p>
          <w:p>
            <w:pPr>
              <w:spacing w:after="100"/>
            </w:pPr>
            <w:r>
              <w:rPr>
                <w:sz w:val="21"/>
                <w:szCs w:val="21"/>
              </w:rPr>
              <w:t xml:space="preserve">Berdasarkan WHO Clinical Practice Handbook for Quality Abortion Care dan guideline kontrasepsi darurat internasional (WHO/FIGO), berikut perbandingan metode:</w:t>
            </w:r>
          </w:p>
          <w:tbl>
            <w:tblPr>
              <w:tblW w:type="dxa" w:w="9638"/>
              <w:tblBorders>
                <w:top w:val="single" w:color="CCCCCC" w:sz="4"/>
                <w:left w:val="single" w:color="CCCCCC" w:sz="4"/>
                <w:bottom w:val="single" w:color="CCCCCC" w:sz="4"/>
                <w:right w:val="single" w:color="CCCCCC" w:sz="4"/>
                <w:insideH w:val="single" w:color="DDDDDD" w:sz="4"/>
                <w:insideV w:val="single" w:color="DDDDDD" w:sz="4"/>
              </w:tblBorders>
            </w:tblPr>
            <w:tblGrid>
              <w:gridCol w:w="2000"/>
              <w:gridCol w:w="2400"/>
              <w:gridCol w:w="2600"/>
              <w:gridCol w:w="2638"/>
            </w:tblGrid>
            <w:tr>
              <w:trPr>
                <w:tblHeader/>
              </w:trPr>
              <w:tc>
                <w:tcPr>
                  <w:tcW w:type="dxa" w:w="2000"/>
                  <w:shd w:fill="7A1F3D" w:val="clear"/>
                  <w:tcMar>
                    <w:top w:type="dxa" w:w="100"/>
                    <w:left w:type="dxa" w:w="100"/>
                    <w:bottom w:type="dxa" w:w="100"/>
                    <w:right w:type="dxa" w:w="100"/>
                  </w:tcMar>
                  <w:vAlign w:val="center"/>
                </w:tcPr>
                <w:p>
                  <w:r>
                    <w:rPr>
                      <w:b/>
                      <w:bCs/>
                      <w:color w:val="FFFFFF"/>
                      <w:sz w:val="19"/>
                      <w:szCs w:val="19"/>
                    </w:rPr>
                    <w:t xml:space="preserve">Metode</w:t>
                  </w:r>
                </w:p>
              </w:tc>
              <w:tc>
                <w:tcPr>
                  <w:tcW w:type="dxa" w:w="2400"/>
                  <w:shd w:fill="7A1F3D" w:val="clear"/>
                  <w:tcMar>
                    <w:top w:type="dxa" w:w="100"/>
                    <w:left w:type="dxa" w:w="100"/>
                    <w:bottom w:type="dxa" w:w="100"/>
                    <w:right w:type="dxa" w:w="100"/>
                  </w:tcMar>
                  <w:vAlign w:val="center"/>
                </w:tcPr>
                <w:p>
                  <w:r>
                    <w:rPr>
                      <w:b/>
                      <w:bCs/>
                      <w:color w:val="FFFFFF"/>
                      <w:sz w:val="19"/>
                      <w:szCs w:val="19"/>
                    </w:rPr>
                    <w:t xml:space="preserve">Dosis</w:t>
                  </w:r>
                </w:p>
              </w:tc>
              <w:tc>
                <w:tcPr>
                  <w:tcW w:type="dxa" w:w="2600"/>
                  <w:shd w:fill="7A1F3D" w:val="clear"/>
                  <w:tcMar>
                    <w:top w:type="dxa" w:w="100"/>
                    <w:left w:type="dxa" w:w="100"/>
                    <w:bottom w:type="dxa" w:w="100"/>
                    <w:right w:type="dxa" w:w="100"/>
                  </w:tcMar>
                  <w:vAlign w:val="center"/>
                </w:tcPr>
                <w:p>
                  <w:r>
                    <w:rPr>
                      <w:b/>
                      <w:bCs/>
                      <w:color w:val="FFFFFF"/>
                      <w:sz w:val="19"/>
                      <w:szCs w:val="19"/>
                    </w:rPr>
                    <w:t xml:space="preserve">Jendela Waktu Efektivitas</w:t>
                  </w:r>
                </w:p>
              </w:tc>
              <w:tc>
                <w:tcPr>
                  <w:tcW w:type="dxa" w:w="2638"/>
                  <w:shd w:fill="7A1F3D" w:val="clear"/>
                  <w:tcMar>
                    <w:top w:type="dxa" w:w="100"/>
                    <w:left w:type="dxa" w:w="100"/>
                    <w:bottom w:type="dxa" w:w="100"/>
                    <w:right w:type="dxa" w:w="100"/>
                  </w:tcMar>
                  <w:vAlign w:val="center"/>
                </w:tcPr>
                <w:p>
                  <w:r>
                    <w:rPr>
                      <w:b/>
                      <w:bCs/>
                      <w:color w:val="FFFFFF"/>
                      <w:sz w:val="19"/>
                      <w:szCs w:val="19"/>
                    </w:rPr>
                    <w:t xml:space="preserve">Catatan Efektivitas</w:t>
                  </w:r>
                </w:p>
              </w:tc>
            </w:tr>
            <w:tr>
              <w:tc>
                <w:tcPr>
                  <w:tcW w:type="dxa" w:w="2000"/>
                  <w:shd w:fill="FFFFFF" w:val="clear"/>
                  <w:tcMar>
                    <w:top w:type="dxa" w:w="90"/>
                    <w:left w:type="dxa" w:w="100"/>
                    <w:bottom w:type="dxa" w:w="90"/>
                    <w:right w:type="dxa" w:w="100"/>
                  </w:tcMar>
                </w:tcPr>
                <w:p>
                  <w:r>
                    <w:rPr>
                      <w:sz w:val="19"/>
                      <w:szCs w:val="19"/>
                    </w:rPr>
                    <w:t xml:space="preserve">Levonorgestrel (LNG) 1,5 mg</w:t>
                  </w:r>
                </w:p>
              </w:tc>
              <w:tc>
                <w:tcPr>
                  <w:tcW w:type="dxa" w:w="2400"/>
                  <w:shd w:fill="FFFFFF" w:val="clear"/>
                  <w:tcMar>
                    <w:top w:type="dxa" w:w="90"/>
                    <w:left w:type="dxa" w:w="100"/>
                    <w:bottom w:type="dxa" w:w="90"/>
                    <w:right w:type="dxa" w:w="100"/>
                  </w:tcMar>
                </w:tcPr>
                <w:p>
                  <w:r>
                    <w:rPr>
                      <w:sz w:val="19"/>
                      <w:szCs w:val="19"/>
                    </w:rPr>
                    <w:t xml:space="preserve">Dosis tunggal per oral 1,5 mg (atau 0,75 mg × 2 dosis berjarak 12 jam); FSRH menyarankan pertimbangan dosis ganda (3 mg) bila IMT &gt;26 kg/m² atau berat &gt;70 kg</w:t>
                  </w:r>
                </w:p>
              </w:tc>
              <w:tc>
                <w:tcPr>
                  <w:tcW w:type="dxa" w:w="2600"/>
                  <w:shd w:fill="FFFFFF" w:val="clear"/>
                  <w:tcMar>
                    <w:top w:type="dxa" w:w="90"/>
                    <w:left w:type="dxa" w:w="100"/>
                    <w:bottom w:type="dxa" w:w="90"/>
                    <w:right w:type="dxa" w:w="100"/>
                  </w:tcMar>
                </w:tcPr>
                <w:p>
                  <w:r>
                    <w:rPr>
                      <w:sz w:val="19"/>
                      <w:szCs w:val="19"/>
                    </w:rPr>
                    <w:t xml:space="preserve">Optimal ≤ 72 jam (3 hari); masih dapat diberikan hingga 96–120 jam (4–5 hari) dengan efikasi menurun</w:t>
                  </w:r>
                </w:p>
              </w:tc>
              <w:tc>
                <w:tcPr>
                  <w:tcW w:type="dxa" w:w="2638"/>
                  <w:shd w:fill="FFFFFF" w:val="clear"/>
                  <w:tcMar>
                    <w:top w:type="dxa" w:w="90"/>
                    <w:left w:type="dxa" w:w="100"/>
                    <w:bottom w:type="dxa" w:w="90"/>
                    <w:right w:type="dxa" w:w="100"/>
                  </w:tcMar>
                </w:tcPr>
                <w:p>
                  <w:r>
                    <w:rPr>
                      <w:sz w:val="19"/>
                      <w:szCs w:val="19"/>
                    </w:rPr>
                    <w:t xml:space="preserve">Analisis gabungan 4 studi WHO HRP (Festin dkk., 2017) menunjukkan efikasi menurun pada IMT/berat badan tinggi; bukti dosis ganda masih terbatas</w:t>
                  </w:r>
                </w:p>
              </w:tc>
            </w:tr>
            <w:tr>
              <w:tc>
                <w:tcPr>
                  <w:tcW w:type="dxa" w:w="2000"/>
                  <w:shd w:fill="F5F5F5" w:val="clear"/>
                  <w:tcMar>
                    <w:top w:type="dxa" w:w="90"/>
                    <w:left w:type="dxa" w:w="100"/>
                    <w:bottom w:type="dxa" w:w="90"/>
                    <w:right w:type="dxa" w:w="100"/>
                  </w:tcMar>
                </w:tcPr>
                <w:p>
                  <w:r>
                    <w:rPr>
                      <w:sz w:val="19"/>
                      <w:szCs w:val="19"/>
                    </w:rPr>
                    <w:t xml:space="preserve">Ulipristal asetat (UPA) 30 mg</w:t>
                  </w:r>
                </w:p>
              </w:tc>
              <w:tc>
                <w:tcPr>
                  <w:tcW w:type="dxa" w:w="2400"/>
                  <w:shd w:fill="F5F5F5" w:val="clear"/>
                  <w:tcMar>
                    <w:top w:type="dxa" w:w="90"/>
                    <w:left w:type="dxa" w:w="100"/>
                    <w:bottom w:type="dxa" w:w="90"/>
                    <w:right w:type="dxa" w:w="100"/>
                  </w:tcMar>
                </w:tcPr>
                <w:p>
                  <w:r>
                    <w:rPr>
                      <w:sz w:val="19"/>
                      <w:szCs w:val="19"/>
                    </w:rPr>
                    <w:t xml:space="preserve">Dosis tunggal per oral 30 mg</w:t>
                  </w:r>
                </w:p>
              </w:tc>
              <w:tc>
                <w:tcPr>
                  <w:tcW w:type="dxa" w:w="2600"/>
                  <w:shd w:fill="F5F5F5" w:val="clear"/>
                  <w:tcMar>
                    <w:top w:type="dxa" w:w="90"/>
                    <w:left w:type="dxa" w:w="100"/>
                    <w:bottom w:type="dxa" w:w="90"/>
                    <w:right w:type="dxa" w:w="100"/>
                  </w:tcMar>
                </w:tcPr>
                <w:p>
                  <w:r>
                    <w:rPr>
                      <w:sz w:val="19"/>
                      <w:szCs w:val="19"/>
                    </w:rPr>
                    <w:t xml:space="preserve">Efektif hingga 120 jam (5 hari) pascahubungan seksual, dengan efikasi relatif stabil sepanjang jendela waktu</w:t>
                  </w:r>
                </w:p>
              </w:tc>
              <w:tc>
                <w:tcPr>
                  <w:tcW w:type="dxa" w:w="2638"/>
                  <w:shd w:fill="F5F5F5" w:val="clear"/>
                  <w:tcMar>
                    <w:top w:type="dxa" w:w="90"/>
                    <w:left w:type="dxa" w:w="100"/>
                    <w:bottom w:type="dxa" w:w="90"/>
                    <w:right w:type="dxa" w:w="100"/>
                  </w:tcMar>
                </w:tcPr>
                <w:p>
                  <w:r>
                    <w:rPr>
                      <w:sz w:val="19"/>
                      <w:szCs w:val="19"/>
                    </w:rPr>
                    <w:t xml:space="preserve">Efikasi lebih konsisten dibanding LNG pada 72–120 jam; hindari pemberian bersamaan progestin ±7 hari</w:t>
                  </w:r>
                </w:p>
              </w:tc>
            </w:tr>
            <w:tr>
              <w:tc>
                <w:tcPr>
                  <w:tcW w:type="dxa" w:w="2000"/>
                  <w:shd w:fill="FFFFFF" w:val="clear"/>
                  <w:tcMar>
                    <w:top w:type="dxa" w:w="90"/>
                    <w:left w:type="dxa" w:w="100"/>
                    <w:bottom w:type="dxa" w:w="90"/>
                    <w:right w:type="dxa" w:w="100"/>
                  </w:tcMar>
                </w:tcPr>
                <w:p>
                  <w:r>
                    <w:rPr>
                      <w:sz w:val="19"/>
                      <w:szCs w:val="19"/>
                    </w:rPr>
                    <w:t xml:space="preserve">Copper IUD (AKDR tembaga)</w:t>
                  </w:r>
                </w:p>
              </w:tc>
              <w:tc>
                <w:tcPr>
                  <w:tcW w:type="dxa" w:w="2400"/>
                  <w:shd w:fill="FFFFFF" w:val="clear"/>
                  <w:tcMar>
                    <w:top w:type="dxa" w:w="90"/>
                    <w:left w:type="dxa" w:w="100"/>
                    <w:bottom w:type="dxa" w:w="90"/>
                    <w:right w:type="dxa" w:w="100"/>
                  </w:tcMar>
                </w:tcPr>
                <w:p>
                  <w:r>
                    <w:rPr>
                      <w:sz w:val="19"/>
                      <w:szCs w:val="19"/>
                    </w:rPr>
                    <w:t xml:space="preserve">Insersi intrauterin oleh tenaga terlatih</w:t>
                  </w:r>
                </w:p>
              </w:tc>
              <w:tc>
                <w:tcPr>
                  <w:tcW w:type="dxa" w:w="2600"/>
                  <w:shd w:fill="FFFFFF" w:val="clear"/>
                  <w:tcMar>
                    <w:top w:type="dxa" w:w="90"/>
                    <w:left w:type="dxa" w:w="100"/>
                    <w:bottom w:type="dxa" w:w="90"/>
                    <w:right w:type="dxa" w:w="100"/>
                  </w:tcMar>
                </w:tcPr>
                <w:p>
                  <w:r>
                    <w:rPr>
                      <w:sz w:val="19"/>
                      <w:szCs w:val="19"/>
                    </w:rPr>
                    <w:t xml:space="preserve">Insersi dalam 120 jam (5 hari) pascahubungan seksual</w:t>
                  </w:r>
                </w:p>
              </w:tc>
              <w:tc>
                <w:tcPr>
                  <w:tcW w:type="dxa" w:w="2638"/>
                  <w:shd w:fill="FFFFFF" w:val="clear"/>
                  <w:tcMar>
                    <w:top w:type="dxa" w:w="90"/>
                    <w:left w:type="dxa" w:w="100"/>
                    <w:bottom w:type="dxa" w:w="90"/>
                    <w:right w:type="dxa" w:w="100"/>
                  </w:tcMar>
                </w:tcPr>
                <w:p>
                  <w:r>
                    <w:rPr>
                      <w:sz w:val="19"/>
                      <w:szCs w:val="19"/>
                    </w:rPr>
                    <w:t xml:space="preserve">Metode paling efektif (kegagalan &lt;1%); sekaligus memberi proteksi kontrasepsi jangka panjang bila diinginkan</w:t>
                  </w:r>
                </w:p>
              </w:tc>
            </w:tr>
          </w:tbl>
          <w:p>
            <w:pPr>
              <w:spacing w:after="80" w:before="120"/>
            </w:pPr>
            <w:r>
              <w:rPr>
                <w:b/>
                <w:bCs/>
                <w:color w:val="7A1F3D"/>
                <w:sz w:val="21"/>
                <w:szCs w:val="21"/>
              </w:rPr>
              <w:t xml:space="preserve">8.3 Alur Keputusan Pemilihan Metode</w:t>
            </w:r>
          </w:p>
          <w:tbl>
            <w:tblPr>
              <w:tblW w:type="dxa" w:w="9100"/>
              <w:tblBorders>
                <w:top w:val="none" w:color="FFFFFF" w:sz="0"/>
                <w:left w:val="none" w:color="FFFFFF" w:sz="0"/>
                <w:bottom w:val="none" w:color="FFFFFF" w:sz="0"/>
                <w:right w:val="none" w:color="FFFFFF" w:sz="0"/>
                <w:insideH w:val="none" w:color="FFFFFF" w:sz="0"/>
                <w:insideV w:val="none" w:color="FFFFFF" w:sz="0"/>
              </w:tblBorders>
            </w:tblPr>
            <w:tblGrid>
              <w:gridCol w:w="900"/>
              <w:gridCol w:w="8200"/>
            </w:tblGrid>
            <w:tr>
              <w:tc>
                <w:tcPr>
                  <w:tcW w:type="dxa" w:w="900"/>
                  <w:shd w:fill="7A1F3D" w:val="clear"/>
                  <w:tcMar>
                    <w:top w:type="dxa" w:w="60"/>
                    <w:left w:type="dxa" w:w="60"/>
                    <w:bottom w:type="dxa" w:w="60"/>
                    <w:right w:type="dxa" w:w="60"/>
                  </w:tcMar>
                  <w:vAlign w:val="center"/>
                </w:tcPr>
                <w:p>
                  <w:pPr>
                    <w:jc w:val="center"/>
                  </w:pPr>
                  <w:r>
                    <w:rPr>
                      <w:b/>
                      <w:bCs/>
                      <w:color w:val="FFFFFF"/>
                      <w:sz w:val="20"/>
                      <w:szCs w:val="20"/>
                    </w:rPr>
                    <w:t xml:space="preserve">1</w:t>
                  </w:r>
                </w:p>
              </w:tc>
              <w:tc>
                <w:tcPr>
                  <w:tcW w:type="dxa" w:w="8200"/>
                  <w:tcBorders>
                    <w:left w:val="single" w:color="7A1F3D" w:sz="12"/>
                  </w:tcBorders>
                  <w:shd w:fill="F3E1E7" w:val="clear"/>
                  <w:tcMar>
                    <w:top w:type="dxa" w:w="80"/>
                    <w:left w:type="dxa" w:w="140"/>
                    <w:bottom w:type="dxa" w:w="80"/>
                    <w:right w:type="dxa" w:w="140"/>
                  </w:tcMar>
                </w:tcPr>
                <w:p>
                  <w:r>
                    <w:rPr>
                      <w:sz w:val="20"/>
                      <w:szCs w:val="20"/>
                    </w:rPr>
                    <w:t xml:space="preserve">Konfirmasi waktu sejak hubungan seksual tanpa proteksi dan singkirkan kehamilan yang sudah ada sebelumnya (anamnesis HPHT ± tes kehamilan).</w:t>
                  </w:r>
                </w:p>
              </w:tc>
            </w:tr>
            <w:tr>
              <w:tc>
                <w:tcPr>
                  <w:tcW w:type="dxa" w:w="900"/>
                  <w:shd w:fill="7A1F3D" w:val="clear"/>
                  <w:tcMar>
                    <w:top w:type="dxa" w:w="60"/>
                    <w:left w:type="dxa" w:w="60"/>
                    <w:bottom w:type="dxa" w:w="60"/>
                    <w:right w:type="dxa" w:w="60"/>
                  </w:tcMar>
                  <w:vAlign w:val="center"/>
                </w:tcPr>
                <w:p>
                  <w:pPr>
                    <w:jc w:val="center"/>
                  </w:pPr>
                  <w:r>
                    <w:rPr>
                      <w:b/>
                      <w:bCs/>
                      <w:color w:val="FFFFFF"/>
                      <w:sz w:val="20"/>
                      <w:szCs w:val="20"/>
                    </w:rPr>
                    <w:t xml:space="preserve">2</w:t>
                  </w:r>
                </w:p>
              </w:tc>
              <w:tc>
                <w:tcPr>
                  <w:tcW w:type="dxa" w:w="8200"/>
                  <w:tcBorders>
                    <w:left w:val="single" w:color="7A1F3D" w:sz="12"/>
                  </w:tcBorders>
                  <w:shd w:fill="FFFFFF" w:val="clear"/>
                  <w:tcMar>
                    <w:top w:type="dxa" w:w="80"/>
                    <w:left w:type="dxa" w:w="140"/>
                    <w:bottom w:type="dxa" w:w="80"/>
                    <w:right w:type="dxa" w:w="140"/>
                  </w:tcMar>
                </w:tcPr>
                <w:p>
                  <w:r>
                    <w:rPr>
                      <w:sz w:val="20"/>
                      <w:szCs w:val="20"/>
                    </w:rPr>
                    <w:t xml:space="preserve">Bila korban menginginkan/memenuhi syarat copper IUD dan waktu ≤ 120 jam → tawarkan copper IUD sebagai pilihan paling efektif, sekaligus kontrasepsi jangka panjang bila diinginkan.</w:t>
                  </w:r>
                </w:p>
              </w:tc>
            </w:tr>
            <w:tr>
              <w:tc>
                <w:tcPr>
                  <w:tcW w:type="dxa" w:w="900"/>
                  <w:shd w:fill="7A1F3D" w:val="clear"/>
                  <w:tcMar>
                    <w:top w:type="dxa" w:w="60"/>
                    <w:left w:type="dxa" w:w="60"/>
                    <w:bottom w:type="dxa" w:w="60"/>
                    <w:right w:type="dxa" w:w="60"/>
                  </w:tcMar>
                  <w:vAlign w:val="center"/>
                </w:tcPr>
                <w:p>
                  <w:pPr>
                    <w:jc w:val="center"/>
                  </w:pPr>
                  <w:r>
                    <w:rPr>
                      <w:b/>
                      <w:bCs/>
                      <w:color w:val="FFFFFF"/>
                      <w:sz w:val="20"/>
                      <w:szCs w:val="20"/>
                    </w:rPr>
                    <w:t xml:space="preserve">3</w:t>
                  </w:r>
                </w:p>
              </w:tc>
              <w:tc>
                <w:tcPr>
                  <w:tcW w:type="dxa" w:w="8200"/>
                  <w:tcBorders>
                    <w:left w:val="single" w:color="7A1F3D" w:sz="12"/>
                  </w:tcBorders>
                  <w:shd w:fill="F3E1E7" w:val="clear"/>
                  <w:tcMar>
                    <w:top w:type="dxa" w:w="80"/>
                    <w:left w:type="dxa" w:w="140"/>
                    <w:bottom w:type="dxa" w:w="80"/>
                    <w:right w:type="dxa" w:w="140"/>
                  </w:tcMar>
                </w:tcPr>
                <w:p>
                  <w:r>
                    <w:rPr>
                      <w:sz w:val="20"/>
                      <w:szCs w:val="20"/>
                    </w:rPr>
                    <w:t xml:space="preserve">Bila IUD tidak diinginkan/tidak memenuhi syarat, dan waktu ≤ 120 jam → berikan ulipristal asetat 30 mg dosis tunggal (pilihan hormonal dengan efikasi paling stabil di jendela 72–120 jam).</w:t>
                  </w:r>
                </w:p>
              </w:tc>
            </w:tr>
            <w:tr>
              <w:tc>
                <w:tcPr>
                  <w:tcW w:type="dxa" w:w="900"/>
                  <w:shd w:fill="7A1F3D" w:val="clear"/>
                  <w:tcMar>
                    <w:top w:type="dxa" w:w="60"/>
                    <w:left w:type="dxa" w:w="60"/>
                    <w:bottom w:type="dxa" w:w="60"/>
                    <w:right w:type="dxa" w:w="60"/>
                  </w:tcMar>
                  <w:vAlign w:val="center"/>
                </w:tcPr>
                <w:p>
                  <w:pPr>
                    <w:jc w:val="center"/>
                  </w:pPr>
                  <w:r>
                    <w:rPr>
                      <w:b/>
                      <w:bCs/>
                      <w:color w:val="FFFFFF"/>
                      <w:sz w:val="20"/>
                      <w:szCs w:val="20"/>
                    </w:rPr>
                    <w:t xml:space="preserve">4</w:t>
                  </w:r>
                </w:p>
              </w:tc>
              <w:tc>
                <w:tcPr>
                  <w:tcW w:type="dxa" w:w="8200"/>
                  <w:tcBorders>
                    <w:left w:val="single" w:color="7A1F3D" w:sz="12"/>
                  </w:tcBorders>
                  <w:shd w:fill="FFFFFF" w:val="clear"/>
                  <w:tcMar>
                    <w:top w:type="dxa" w:w="80"/>
                    <w:left w:type="dxa" w:w="140"/>
                    <w:bottom w:type="dxa" w:w="80"/>
                    <w:right w:type="dxa" w:w="140"/>
                  </w:tcMar>
                </w:tcPr>
                <w:p>
                  <w:r>
                    <w:rPr>
                      <w:sz w:val="20"/>
                      <w:szCs w:val="20"/>
                    </w:rPr>
                    <w:t xml:space="preserve">Bila ulipristal asetat tidak tersedia dan waktu ≤ 72–96 jam → berikan levonorgestrel 1,5 mg dosis tunggal.</w:t>
                  </w:r>
                </w:p>
              </w:tc>
            </w:tr>
            <w:tr>
              <w:tc>
                <w:tcPr>
                  <w:tcW w:type="dxa" w:w="900"/>
                  <w:shd w:fill="7A1F3D" w:val="clear"/>
                  <w:tcMar>
                    <w:top w:type="dxa" w:w="60"/>
                    <w:left w:type="dxa" w:w="60"/>
                    <w:bottom w:type="dxa" w:w="60"/>
                    <w:right w:type="dxa" w:w="60"/>
                  </w:tcMar>
                  <w:vAlign w:val="center"/>
                </w:tcPr>
                <w:p>
                  <w:pPr>
                    <w:jc w:val="center"/>
                  </w:pPr>
                  <w:r>
                    <w:rPr>
                      <w:b/>
                      <w:bCs/>
                      <w:color w:val="FFFFFF"/>
                      <w:sz w:val="20"/>
                      <w:szCs w:val="20"/>
                    </w:rPr>
                    <w:t xml:space="preserve">5</w:t>
                  </w:r>
                </w:p>
              </w:tc>
              <w:tc>
                <w:tcPr>
                  <w:tcW w:type="dxa" w:w="8200"/>
                  <w:tcBorders>
                    <w:left w:val="single" w:color="7A1F3D" w:sz="12"/>
                  </w:tcBorders>
                  <w:shd w:fill="F3E1E7" w:val="clear"/>
                  <w:tcMar>
                    <w:top w:type="dxa" w:w="80"/>
                    <w:left w:type="dxa" w:w="140"/>
                    <w:bottom w:type="dxa" w:w="80"/>
                    <w:right w:type="dxa" w:w="140"/>
                  </w:tcMar>
                </w:tcPr>
                <w:p>
                  <w:r>
                    <w:rPr>
                      <w:sz w:val="20"/>
                      <w:szCs w:val="20"/>
                    </w:rPr>
                    <w:t xml:space="preserve">Edukasi tanda peringatan kegagalan (haid terlambat &gt;7 hari) dan jadwalkan kontrol serta skrining IMS/HIV sesuai Bagian 7 dan 9.</w:t>
                  </w:r>
                </w:p>
              </w:tc>
            </w:tr>
          </w:tbl>
          <w:p>
            <w:pPr>
              <w:spacing w:after="80" w:before="120"/>
            </w:pPr>
            <w:r>
              <w:rPr>
                <w:b/>
                <w:bCs/>
                <w:color w:val="7A1F3D"/>
                <w:sz w:val="21"/>
                <w:szCs w:val="21"/>
              </w:rPr>
              <w:t xml:space="preserve">8.3.1 Mekanisme Kerja dan Batasan Konseptual</w:t>
            </w:r>
          </w:p>
          <w:p>
            <w:pPr>
              <w:pStyle w:val="ListParagraph"/>
              <w:numPr>
                <w:ilvl w:val="0"/>
                <w:numId w:val="1"/>
              </w:numPr>
              <w:spacing w:after="60"/>
            </w:pPr>
            <w:r>
              <w:rPr>
                <w:sz w:val="21"/>
                <w:szCs w:val="21"/>
              </w:rPr>
              <w:t xml:space="preserve">Levonorgestrel dan ulipristal asetat bekerja dengan menghambat atau menunda lonjakan hormon luteinizing (LH) sehingga menunda/mencegah ovulasi; ulipristal asetat bekerja sebagai modulator/antagonis reseptor progesteron yang tetap efektif menekan ovulasi mendekati waktu lonjakan LH. Copper IUD mencegah fertilisasi melalui efek toksik tembaga terhadap sperma dan ovum.</w:t>
            </w:r>
          </w:p>
          <w:p>
            <w:pPr>
              <w:pStyle w:val="ListParagraph"/>
              <w:numPr>
                <w:ilvl w:val="0"/>
                <w:numId w:val="1"/>
              </w:numPr>
              <w:spacing w:after="60"/>
            </w:pPr>
            <w:r>
              <w:rPr>
                <w:sz w:val="21"/>
                <w:szCs w:val="21"/>
              </w:rPr>
              <w:t xml:space="preserve">Kontrasepsi darurat BUKAN abortifasien — tidak mengganggu implantasi dan tidak dapat menghentikan kehamilan yang sudah terjadi (established pregnancy). Penjelasan ini penting disampaikan kepada korban maupun tenaga kesehatan lain untuk mencegah kesalahpahaman etikolegal.</w:t>
            </w:r>
          </w:p>
          <w:p>
            <w:pPr>
              <w:pStyle w:val="ListParagraph"/>
              <w:numPr>
                <w:ilvl w:val="0"/>
                <w:numId w:val="1"/>
              </w:numPr>
              <w:spacing w:after="60"/>
            </w:pPr>
            <w:r>
              <w:rPr>
                <w:sz w:val="21"/>
                <w:szCs w:val="21"/>
              </w:rPr>
              <w:t xml:space="preserve">Jendela waktu copper IUD idealnya dihitung dari waktu hubungan seksual (≤120 jam), namun pada kasus dengan ketidakpastian waktu ovulasi/siklus tidak teratur, insersi tetap dapat dipertimbangkan hingga 5 hari pascaestimasi ovulasi apabila periode tersebut lebih panjang dari 120 jam pascahubungan seksual, sesuai penilaian klinis.</w:t>
            </w:r>
          </w:p>
          <w:p>
            <w:pPr>
              <w:spacing w:after="80" w:before="120"/>
            </w:pPr>
            <w:r>
              <w:rPr>
                <w:b/>
                <w:bCs/>
                <w:color w:val="7A1F3D"/>
                <w:sz w:val="21"/>
                <w:szCs w:val="21"/>
              </w:rPr>
              <w:t xml:space="preserve">8.4 Terapi Penyerta</w:t>
            </w:r>
          </w:p>
          <w:p>
            <w:pPr>
              <w:pStyle w:val="ListParagraph"/>
              <w:numPr>
                <w:ilvl w:val="0"/>
                <w:numId w:val="1"/>
              </w:numPr>
              <w:spacing w:after="60"/>
            </w:pPr>
            <w:r>
              <w:rPr>
                <w:sz w:val="21"/>
                <w:szCs w:val="21"/>
              </w:rPr>
              <w:t xml:space="preserve">Profilaksis pascapajanan HIV (PEP) dipertimbangkan pada kasus perkosaan dengan risiko pajanan, dimulai sesegera mungkin (idealnya &lt;72 jam) sesuai pedoman HIV nasional.</w:t>
            </w:r>
          </w:p>
          <w:p>
            <w:pPr>
              <w:pStyle w:val="ListParagraph"/>
              <w:numPr>
                <w:ilvl w:val="0"/>
                <w:numId w:val="1"/>
              </w:numPr>
              <w:spacing w:after="60"/>
            </w:pPr>
            <w:r>
              <w:rPr>
                <w:sz w:val="21"/>
                <w:szCs w:val="21"/>
              </w:rPr>
              <w:t xml:space="preserve">Profilaksis IMS empiris (gonore, klamidia, trikomoniasis, sifilis) dipertimbangkan sesuai epidemiologi lokal dan ketersediaan obat.</w:t>
            </w:r>
          </w:p>
          <w:p>
            <w:pPr>
              <w:pStyle w:val="ListParagraph"/>
              <w:numPr>
                <w:ilvl w:val="0"/>
                <w:numId w:val="1"/>
              </w:numPr>
              <w:spacing w:after="60"/>
            </w:pPr>
            <w:r>
              <w:rPr>
                <w:sz w:val="21"/>
                <w:szCs w:val="21"/>
              </w:rPr>
              <w:t xml:space="preserve">Antiemetik dapat diberikan sebelum dosis oral LNG/UPA bila terdapat riwayat mual muntah berat dengan kontrasepsi hormonal sebelumnya.</w:t>
            </w:r>
          </w:p>
          <w:p>
            <w:pPr>
              <w:pStyle w:val="ListParagraph"/>
              <w:numPr>
                <w:ilvl w:val="0"/>
                <w:numId w:val="1"/>
              </w:numPr>
              <w:spacing w:after="60"/>
            </w:pPr>
            <w:r>
              <w:rPr>
                <w:sz w:val="21"/>
                <w:szCs w:val="21"/>
              </w:rPr>
              <w:t xml:space="preserve">Kontraindikasi utama: hipersensitivitas terhadap komponen obat; UPA sebaiknya dihindari pada asma berat tidak terkontrol dengan kortikosteroid oral; copper IUD dikontraindikasikan pada infeksi pelvis aktif, kelainan anatomi uterus berat, atau kehamilan yang sudah dikonfirmasi.</w:t>
            </w:r>
          </w:p>
        </w:tc>
      </w:tr>
    </w:tbl>
    <w:p>
      <w:pPr>
        <w:spacing w:after="200"/>
      </w:pP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c>
          <w:tcPr>
            <w:tcW w:type="dxa" w:w="9638"/>
            <w:shd w:fill="7A1F3D" w:val="clear"/>
            <w:tcMar>
              <w:top w:type="dxa" w:w="140"/>
              <w:left w:type="dxa" w:w="200"/>
              <w:bottom w:type="dxa" w:w="140"/>
              <w:right w:type="dxa" w:w="200"/>
            </w:tcMar>
          </w:tcPr>
          <w:p>
            <w:pPr>
              <w:spacing w:after="0"/>
            </w:pPr>
            <w:r>
              <w:rPr>
                <w:b/>
                <w:bCs/>
                <w:color w:val="FFFFFF"/>
                <w:sz w:val="26"/>
                <w:szCs w:val="26"/>
              </w:rPr>
              <w:t xml:space="preserve">9. </w:t>
            </w:r>
            <w:r>
              <w:rPr>
                <w:b/>
                <w:bCs/>
                <w:color w:val="FFFFFF"/>
                <w:sz w:val="26"/>
                <w:szCs w:val="26"/>
              </w:rPr>
              <w:t xml:space="preserve">Edukasi</w:t>
            </w:r>
          </w:p>
        </w:tc>
      </w:tr>
    </w:tbl>
    <w:p>
      <w:pPr>
        <w:spacing w:after="80"/>
      </w:pPr>
    </w:p>
    <w:tbl>
      <w:tblPr>
        <w:tblW w:type="dxa" w:w="9638"/>
        <w:tblBorders>
          <w:top w:val="single" w:color="F3E1E7" w:sz="4"/>
          <w:left w:val="single" w:color="F3E1E7" w:sz="4"/>
          <w:bottom w:val="single" w:color="F3E1E7" w:sz="4"/>
          <w:right w:val="single" w:color="F3E1E7" w:sz="4"/>
          <w:insideH w:val="none" w:color="FFFFFF" w:sz="0"/>
          <w:insideV w:val="none" w:color="FFFFFF" w:sz="0"/>
        </w:tblBorders>
      </w:tblPr>
      <w:tblGrid>
        <w:gridCol w:w="9638"/>
      </w:tblGrid>
      <w:tr>
        <w:tc>
          <w:tcPr>
            <w:tcW w:type="dxa" w:w="9638"/>
            <w:shd w:fill="FBF3F5" w:val="clear"/>
            <w:tcMar>
              <w:top w:type="dxa" w:w="160"/>
              <w:left w:type="dxa" w:w="220"/>
              <w:bottom w:type="dxa" w:w="160"/>
              <w:right w:type="dxa" w:w="220"/>
            </w:tcMar>
          </w:tcPr>
          <w:p>
            <w:pPr>
              <w:pStyle w:val="ListParagraph"/>
              <w:numPr>
                <w:ilvl w:val="0"/>
                <w:numId w:val="1"/>
              </w:numPr>
              <w:spacing w:after="60"/>
            </w:pPr>
            <w:r>
              <w:rPr>
                <w:sz w:val="21"/>
                <w:szCs w:val="21"/>
              </w:rPr>
              <w:t xml:space="preserve">KD bukan metode kontrasepsi rutin; edukasi pilihan kontrasepsi jangka panjang (pil, suntik, implan, IUD) setelah masa krisis terlewati.</w:t>
            </w:r>
          </w:p>
          <w:p>
            <w:pPr>
              <w:pStyle w:val="ListParagraph"/>
              <w:numPr>
                <w:ilvl w:val="0"/>
                <w:numId w:val="1"/>
              </w:numPr>
              <w:spacing w:after="60"/>
            </w:pPr>
            <w:r>
              <w:rPr>
                <w:sz w:val="21"/>
                <w:szCs w:val="21"/>
              </w:rPr>
              <w:t xml:space="preserve">Efek samping ringan yang mungkin timbul: mual, nyeri kepala, gangguan pola haid sementara, nyeri payudara.</w:t>
            </w:r>
          </w:p>
          <w:p>
            <w:pPr>
              <w:pStyle w:val="ListParagraph"/>
              <w:numPr>
                <w:ilvl w:val="0"/>
                <w:numId w:val="1"/>
              </w:numPr>
              <w:spacing w:after="60"/>
            </w:pPr>
            <w:r>
              <w:rPr>
                <w:sz w:val="21"/>
                <w:szCs w:val="21"/>
              </w:rPr>
              <w:t xml:space="preserve">Tanda kegagalan KD: haid terlambat lebih dari 7 hari dari jadwal seharusnya — wajib kontrol dan tes kehamilan.</w:t>
            </w:r>
          </w:p>
          <w:p>
            <w:pPr>
              <w:pStyle w:val="ListParagraph"/>
              <w:numPr>
                <w:ilvl w:val="0"/>
                <w:numId w:val="1"/>
              </w:numPr>
              <w:spacing w:after="60"/>
            </w:pPr>
            <w:r>
              <w:rPr>
                <w:sz w:val="21"/>
                <w:szCs w:val="21"/>
              </w:rPr>
              <w:t xml:space="preserve">Rencana kontrol tes kehamilan ulang dijadwalkan 2–3 minggu pascatindakan, sesuai standar kompetensi nasional, tanpa menunggu keterlambatan haid bila korban cemas.</w:t>
            </w:r>
          </w:p>
          <w:p>
            <w:pPr>
              <w:pStyle w:val="ListParagraph"/>
              <w:numPr>
                <w:ilvl w:val="0"/>
                <w:numId w:val="1"/>
              </w:numPr>
              <w:spacing w:after="60"/>
            </w:pPr>
            <w:r>
              <w:rPr>
                <w:sz w:val="21"/>
                <w:szCs w:val="21"/>
              </w:rPr>
              <w:t xml:space="preserve">Pentingnya kontrol ulang untuk skrining IMS/HIV pada 2 minggu dan 6 minggu–3 bulan pascakejadian pada kasus perkosaan.</w:t>
            </w:r>
          </w:p>
          <w:p>
            <w:pPr>
              <w:pStyle w:val="ListParagraph"/>
              <w:numPr>
                <w:ilvl w:val="0"/>
                <w:numId w:val="1"/>
              </w:numPr>
              <w:spacing w:after="60"/>
            </w:pPr>
            <w:r>
              <w:rPr>
                <w:sz w:val="21"/>
                <w:szCs w:val="21"/>
              </w:rPr>
              <w:t xml:space="preserve">Informasi layanan dukungan psikososial, hotline korban kekerasan seksual, dan pendampingan hukum bila korban memilih melapor.</w:t>
            </w:r>
          </w:p>
          <w:p>
            <w:pPr>
              <w:pStyle w:val="ListParagraph"/>
              <w:numPr>
                <w:ilvl w:val="0"/>
                <w:numId w:val="1"/>
              </w:numPr>
              <w:spacing w:after="60"/>
            </w:pPr>
            <w:r>
              <w:rPr>
                <w:sz w:val="21"/>
                <w:szCs w:val="21"/>
              </w:rPr>
              <w:t xml:space="preserve">Penekanan bahwa keputusan melapor ke penegak hukum sepenuhnya hak korban dan tidak memengaruhi akses layanan medis.</w:t>
            </w:r>
          </w:p>
        </w:tc>
      </w:tr>
    </w:tbl>
    <w:p>
      <w:pPr>
        <w:spacing w:after="200"/>
      </w:pP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c>
          <w:tcPr>
            <w:tcW w:type="dxa" w:w="9638"/>
            <w:shd w:fill="7A1F3D" w:val="clear"/>
            <w:tcMar>
              <w:top w:type="dxa" w:w="140"/>
              <w:left w:type="dxa" w:w="200"/>
              <w:bottom w:type="dxa" w:w="140"/>
              <w:right w:type="dxa" w:w="200"/>
            </w:tcMar>
          </w:tcPr>
          <w:p>
            <w:pPr>
              <w:spacing w:after="0"/>
            </w:pPr>
            <w:r>
              <w:rPr>
                <w:b/>
                <w:bCs/>
                <w:color w:val="FFFFFF"/>
                <w:sz w:val="26"/>
                <w:szCs w:val="26"/>
              </w:rPr>
              <w:t xml:space="preserve">10. </w:t>
            </w:r>
            <w:r>
              <w:rPr>
                <w:b/>
                <w:bCs/>
                <w:color w:val="FFFFFF"/>
                <w:sz w:val="26"/>
                <w:szCs w:val="26"/>
              </w:rPr>
              <w:t xml:space="preserve">Prognosis</w:t>
            </w:r>
          </w:p>
        </w:tc>
      </w:tr>
    </w:tbl>
    <w:p>
      <w:pPr>
        <w:spacing w:after="80"/>
      </w:pPr>
    </w:p>
    <w:tbl>
      <w:tblPr>
        <w:tblW w:type="dxa" w:w="9638"/>
        <w:tblBorders>
          <w:top w:val="single" w:color="F3E1E7" w:sz="4"/>
          <w:left w:val="single" w:color="F3E1E7" w:sz="4"/>
          <w:bottom w:val="single" w:color="F3E1E7" w:sz="4"/>
          <w:right w:val="single" w:color="F3E1E7" w:sz="4"/>
          <w:insideH w:val="none" w:color="FFFFFF" w:sz="0"/>
          <w:insideV w:val="none" w:color="FFFFFF" w:sz="0"/>
        </w:tblBorders>
      </w:tblPr>
      <w:tblGrid>
        <w:gridCol w:w="9638"/>
      </w:tblGrid>
      <w:tr>
        <w:tc>
          <w:tcPr>
            <w:tcW w:type="dxa" w:w="9638"/>
            <w:shd w:fill="FBF3F5" w:val="clear"/>
            <w:tcMar>
              <w:top w:type="dxa" w:w="160"/>
              <w:left w:type="dxa" w:w="220"/>
              <w:bottom w:type="dxa" w:w="160"/>
              <w:right w:type="dxa" w:w="220"/>
            </w:tcMar>
          </w:tcPr>
          <w:p>
            <w:pPr>
              <w:spacing w:after="100"/>
            </w:pPr>
            <w:r>
              <w:rPr>
                <w:sz w:val="21"/>
                <w:szCs w:val="21"/>
              </w:rPr>
              <w:t xml:space="preserve">Prognosis pencegahan kehamilan baik bila KD diberikan dalam jendela waktu efektif, terutama dengan copper IUD (kegagalan &lt;1%). Prognosis psikososial korban perkosaan sangat bergantung pada dukungan berkelanjutan (psikologis, sosial, hukum) dan tata laksana terintegrasi lintas disiplin.</w:t>
            </w:r>
          </w:p>
        </w:tc>
      </w:tr>
    </w:tbl>
    <w:p>
      <w:pPr>
        <w:spacing w:after="200"/>
      </w:pP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c>
          <w:tcPr>
            <w:tcW w:type="dxa" w:w="9638"/>
            <w:shd w:fill="7A1F3D" w:val="clear"/>
            <w:tcMar>
              <w:top w:type="dxa" w:w="140"/>
              <w:left w:type="dxa" w:w="200"/>
              <w:bottom w:type="dxa" w:w="140"/>
              <w:right w:type="dxa" w:w="200"/>
            </w:tcMar>
          </w:tcPr>
          <w:p>
            <w:pPr>
              <w:spacing w:after="0"/>
            </w:pPr>
            <w:r>
              <w:rPr>
                <w:b/>
                <w:bCs/>
                <w:color w:val="FFFFFF"/>
                <w:sz w:val="26"/>
                <w:szCs w:val="26"/>
              </w:rPr>
              <w:t xml:space="preserve">11. </w:t>
            </w:r>
            <w:r>
              <w:rPr>
                <w:b/>
                <w:bCs/>
                <w:color w:val="FFFFFF"/>
                <w:sz w:val="26"/>
                <w:szCs w:val="26"/>
              </w:rPr>
              <w:t xml:space="preserve">Tingkat Evidens</w:t>
            </w:r>
          </w:p>
        </w:tc>
      </w:tr>
    </w:tbl>
    <w:p>
      <w:pPr>
        <w:spacing w:after="80"/>
      </w:pPr>
    </w:p>
    <w:tbl>
      <w:tblPr>
        <w:tblW w:type="dxa" w:w="9638"/>
        <w:tblBorders>
          <w:top w:val="single" w:color="F3E1E7" w:sz="4"/>
          <w:left w:val="single" w:color="F3E1E7" w:sz="4"/>
          <w:bottom w:val="single" w:color="F3E1E7" w:sz="4"/>
          <w:right w:val="single" w:color="F3E1E7" w:sz="4"/>
          <w:insideH w:val="none" w:color="FFFFFF" w:sz="0"/>
          <w:insideV w:val="none" w:color="FFFFFF" w:sz="0"/>
        </w:tblBorders>
      </w:tblPr>
      <w:tblGrid>
        <w:gridCol w:w="9638"/>
      </w:tblGrid>
      <w:tr>
        <w:tc>
          <w:tcPr>
            <w:tcW w:type="dxa" w:w="9638"/>
            <w:shd w:fill="FBF3F5" w:val="clear"/>
            <w:tcMar>
              <w:top w:type="dxa" w:w="160"/>
              <w:left w:type="dxa" w:w="220"/>
              <w:bottom w:type="dxa" w:w="160"/>
              <w:right w:type="dxa" w:w="220"/>
            </w:tcMar>
          </w:tcPr>
          <w:tbl>
            <w:tblPr>
              <w:tblW w:type="dxa" w:w="9638"/>
              <w:tblBorders>
                <w:top w:val="single" w:color="CCCCCC" w:sz="4"/>
                <w:left w:val="single" w:color="CCCCCC" w:sz="4"/>
                <w:bottom w:val="single" w:color="CCCCCC" w:sz="4"/>
                <w:right w:val="single" w:color="CCCCCC" w:sz="4"/>
                <w:insideH w:val="single" w:color="DDDDDD" w:sz="4"/>
                <w:insideV w:val="single" w:color="DDDDDD" w:sz="4"/>
              </w:tblBorders>
            </w:tblPr>
            <w:tblGrid>
              <w:gridCol w:w="4300"/>
              <w:gridCol w:w="2800"/>
              <w:gridCol w:w="2538"/>
            </w:tblGrid>
            <w:tr>
              <w:trPr>
                <w:tblHeader/>
              </w:trPr>
              <w:tc>
                <w:tcPr>
                  <w:tcW w:type="dxa" w:w="4300"/>
                  <w:shd w:fill="7A1F3D" w:val="clear"/>
                  <w:tcMar>
                    <w:top w:type="dxa" w:w="100"/>
                    <w:left w:type="dxa" w:w="100"/>
                    <w:bottom w:type="dxa" w:w="100"/>
                    <w:right w:type="dxa" w:w="100"/>
                  </w:tcMar>
                  <w:vAlign w:val="center"/>
                </w:tcPr>
                <w:p>
                  <w:r>
                    <w:rPr>
                      <w:b/>
                      <w:bCs/>
                      <w:color w:val="FFFFFF"/>
                      <w:sz w:val="19"/>
                      <w:szCs w:val="19"/>
                    </w:rPr>
                    <w:t xml:space="preserve">Komponen</w:t>
                  </w:r>
                </w:p>
              </w:tc>
              <w:tc>
                <w:tcPr>
                  <w:tcW w:type="dxa" w:w="2800"/>
                  <w:shd w:fill="7A1F3D" w:val="clear"/>
                  <w:tcMar>
                    <w:top w:type="dxa" w:w="100"/>
                    <w:left w:type="dxa" w:w="100"/>
                    <w:bottom w:type="dxa" w:w="100"/>
                    <w:right w:type="dxa" w:w="100"/>
                  </w:tcMar>
                  <w:vAlign w:val="center"/>
                </w:tcPr>
                <w:p>
                  <w:r>
                    <w:rPr>
                      <w:b/>
                      <w:bCs/>
                      <w:color w:val="FFFFFF"/>
                      <w:sz w:val="19"/>
                      <w:szCs w:val="19"/>
                    </w:rPr>
                    <w:t xml:space="preserve">Tingkat Evidens</w:t>
                  </w:r>
                </w:p>
              </w:tc>
              <w:tc>
                <w:tcPr>
                  <w:tcW w:type="dxa" w:w="2538"/>
                  <w:shd w:fill="7A1F3D" w:val="clear"/>
                  <w:tcMar>
                    <w:top w:type="dxa" w:w="100"/>
                    <w:left w:type="dxa" w:w="100"/>
                    <w:bottom w:type="dxa" w:w="100"/>
                    <w:right w:type="dxa" w:w="100"/>
                  </w:tcMar>
                  <w:vAlign w:val="center"/>
                </w:tcPr>
                <w:p>
                  <w:r>
                    <w:rPr>
                      <w:b/>
                      <w:bCs/>
                      <w:color w:val="FFFFFF"/>
                      <w:sz w:val="19"/>
                      <w:szCs w:val="19"/>
                    </w:rPr>
                    <w:t xml:space="preserve">Sumber Utama</w:t>
                  </w:r>
                </w:p>
              </w:tc>
            </w:tr>
            <w:tr>
              <w:tc>
                <w:tcPr>
                  <w:tcW w:type="dxa" w:w="4300"/>
                  <w:shd w:fill="FFFFFF" w:val="clear"/>
                  <w:tcMar>
                    <w:top w:type="dxa" w:w="90"/>
                    <w:left w:type="dxa" w:w="100"/>
                    <w:bottom w:type="dxa" w:w="90"/>
                    <w:right w:type="dxa" w:w="100"/>
                  </w:tcMar>
                </w:tcPr>
                <w:p>
                  <w:r>
                    <w:rPr>
                      <w:sz w:val="19"/>
                      <w:szCs w:val="19"/>
                    </w:rPr>
                    <w:t xml:space="preserve">Efikasi levonorgestrel dan penurunannya seiring waktu/IMT</w:t>
                  </w:r>
                </w:p>
              </w:tc>
              <w:tc>
                <w:tcPr>
                  <w:tcW w:type="dxa" w:w="2800"/>
                  <w:shd w:fill="FFFFFF" w:val="clear"/>
                  <w:tcMar>
                    <w:top w:type="dxa" w:w="90"/>
                    <w:left w:type="dxa" w:w="100"/>
                    <w:bottom w:type="dxa" w:w="90"/>
                    <w:right w:type="dxa" w:w="100"/>
                  </w:tcMar>
                </w:tcPr>
                <w:p>
                  <w:r>
                    <w:rPr>
                      <w:sz w:val="19"/>
                      <w:szCs w:val="19"/>
                    </w:rPr>
                    <w:t xml:space="preserve">I (uji klinis acak dan meta-analisis)</w:t>
                  </w:r>
                </w:p>
              </w:tc>
              <w:tc>
                <w:tcPr>
                  <w:tcW w:type="dxa" w:w="2538"/>
                  <w:shd w:fill="FFFFFF" w:val="clear"/>
                  <w:tcMar>
                    <w:top w:type="dxa" w:w="90"/>
                    <w:left w:type="dxa" w:w="100"/>
                    <w:bottom w:type="dxa" w:w="90"/>
                    <w:right w:type="dxa" w:w="100"/>
                  </w:tcMar>
                </w:tcPr>
                <w:p>
                  <w:r>
                    <w:rPr>
                      <w:sz w:val="19"/>
                      <w:szCs w:val="19"/>
                    </w:rPr>
                    <w:t xml:space="preserve">ACOG PB No.152 (2015); Festin dkk. (2017)</w:t>
                  </w:r>
                </w:p>
              </w:tc>
            </w:tr>
            <w:tr>
              <w:tc>
                <w:tcPr>
                  <w:tcW w:type="dxa" w:w="4300"/>
                  <w:shd w:fill="F5F5F5" w:val="clear"/>
                  <w:tcMar>
                    <w:top w:type="dxa" w:w="90"/>
                    <w:left w:type="dxa" w:w="100"/>
                    <w:bottom w:type="dxa" w:w="90"/>
                    <w:right w:type="dxa" w:w="100"/>
                  </w:tcMar>
                </w:tcPr>
                <w:p>
                  <w:r>
                    <w:rPr>
                      <w:sz w:val="19"/>
                      <w:szCs w:val="19"/>
                    </w:rPr>
                    <w:t xml:space="preserve">Ulipristal asetat lebih efektif dan stabil hingga 120 jam</w:t>
                  </w:r>
                </w:p>
              </w:tc>
              <w:tc>
                <w:tcPr>
                  <w:tcW w:type="dxa" w:w="2800"/>
                  <w:shd w:fill="F5F5F5" w:val="clear"/>
                  <w:tcMar>
                    <w:top w:type="dxa" w:w="90"/>
                    <w:left w:type="dxa" w:w="100"/>
                    <w:bottom w:type="dxa" w:w="90"/>
                    <w:right w:type="dxa" w:w="100"/>
                  </w:tcMar>
                </w:tcPr>
                <w:p>
                  <w:r>
                    <w:rPr>
                      <w:sz w:val="19"/>
                      <w:szCs w:val="19"/>
                    </w:rPr>
                    <w:t xml:space="preserve">I (uji klinis acak dan meta-analisis)</w:t>
                  </w:r>
                </w:p>
              </w:tc>
              <w:tc>
                <w:tcPr>
                  <w:tcW w:type="dxa" w:w="2538"/>
                  <w:shd w:fill="F5F5F5" w:val="clear"/>
                  <w:tcMar>
                    <w:top w:type="dxa" w:w="90"/>
                    <w:left w:type="dxa" w:w="100"/>
                    <w:bottom w:type="dxa" w:w="90"/>
                    <w:right w:type="dxa" w:w="100"/>
                  </w:tcMar>
                </w:tcPr>
                <w:p>
                  <w:r>
                    <w:rPr>
                      <w:sz w:val="19"/>
                      <w:szCs w:val="19"/>
                    </w:rPr>
                    <w:t xml:space="preserve">ACOG PB No.152 (2015); FSRH (2023)</w:t>
                  </w:r>
                </w:p>
              </w:tc>
            </w:tr>
            <w:tr>
              <w:tc>
                <w:tcPr>
                  <w:tcW w:type="dxa" w:w="4300"/>
                  <w:shd w:fill="FFFFFF" w:val="clear"/>
                  <w:tcMar>
                    <w:top w:type="dxa" w:w="90"/>
                    <w:left w:type="dxa" w:w="100"/>
                    <w:bottom w:type="dxa" w:w="90"/>
                    <w:right w:type="dxa" w:w="100"/>
                  </w:tcMar>
                </w:tcPr>
                <w:p>
                  <w:r>
                    <w:rPr>
                      <w:sz w:val="19"/>
                      <w:szCs w:val="19"/>
                    </w:rPr>
                    <w:t xml:space="preserve">Copper IUD sebagai KD paling efektif (&lt;1% kegagalan)</w:t>
                  </w:r>
                </w:p>
              </w:tc>
              <w:tc>
                <w:tcPr>
                  <w:tcW w:type="dxa" w:w="2800"/>
                  <w:shd w:fill="FFFFFF" w:val="clear"/>
                  <w:tcMar>
                    <w:top w:type="dxa" w:w="90"/>
                    <w:left w:type="dxa" w:w="100"/>
                    <w:bottom w:type="dxa" w:w="90"/>
                    <w:right w:type="dxa" w:w="100"/>
                  </w:tcMar>
                </w:tcPr>
                <w:p>
                  <w:r>
                    <w:rPr>
                      <w:sz w:val="19"/>
                      <w:szCs w:val="19"/>
                    </w:rPr>
                    <w:t xml:space="preserve">I (studi kohort besar dan meta-analisis)</w:t>
                  </w:r>
                </w:p>
              </w:tc>
              <w:tc>
                <w:tcPr>
                  <w:tcW w:type="dxa" w:w="2538"/>
                  <w:shd w:fill="FFFFFF" w:val="clear"/>
                  <w:tcMar>
                    <w:top w:type="dxa" w:w="90"/>
                    <w:left w:type="dxa" w:w="100"/>
                    <w:bottom w:type="dxa" w:w="90"/>
                    <w:right w:type="dxa" w:w="100"/>
                  </w:tcMar>
                </w:tcPr>
                <w:p>
                  <w:r>
                    <w:rPr>
                      <w:sz w:val="19"/>
                      <w:szCs w:val="19"/>
                    </w:rPr>
                    <w:t xml:space="preserve">ACOG PB No.152 (2015); WHO SPR ed.4 (2023)</w:t>
                  </w:r>
                </w:p>
              </w:tc>
            </w:tr>
            <w:tr>
              <w:tc>
                <w:tcPr>
                  <w:tcW w:type="dxa" w:w="4300"/>
                  <w:shd w:fill="F5F5F5" w:val="clear"/>
                  <w:tcMar>
                    <w:top w:type="dxa" w:w="90"/>
                    <w:left w:type="dxa" w:w="100"/>
                    <w:bottom w:type="dxa" w:w="90"/>
                    <w:right w:type="dxa" w:w="100"/>
                  </w:tcMar>
                </w:tcPr>
                <w:p>
                  <w:r>
                    <w:rPr>
                      <w:sz w:val="19"/>
                      <w:szCs w:val="19"/>
                    </w:rPr>
                    <w:t xml:space="preserve">Akses KD tanpa syarat laporan polisi pada korban perkosaan</w:t>
                  </w:r>
                </w:p>
              </w:tc>
              <w:tc>
                <w:tcPr>
                  <w:tcW w:type="dxa" w:w="2800"/>
                  <w:shd w:fill="F5F5F5" w:val="clear"/>
                  <w:tcMar>
                    <w:top w:type="dxa" w:w="90"/>
                    <w:left w:type="dxa" w:w="100"/>
                    <w:bottom w:type="dxa" w:w="90"/>
                    <w:right w:type="dxa" w:w="100"/>
                  </w:tcMar>
                </w:tcPr>
                <w:p>
                  <w:r>
                    <w:rPr>
                      <w:sz w:val="19"/>
                      <w:szCs w:val="19"/>
                    </w:rPr>
                    <w:t xml:space="preserve">II–III (konsensus ahli dan regulasi nasional)</w:t>
                  </w:r>
                </w:p>
              </w:tc>
              <w:tc>
                <w:tcPr>
                  <w:tcW w:type="dxa" w:w="2538"/>
                  <w:shd w:fill="F5F5F5" w:val="clear"/>
                  <w:tcMar>
                    <w:top w:type="dxa" w:w="90"/>
                    <w:left w:type="dxa" w:w="100"/>
                    <w:bottom w:type="dxa" w:w="90"/>
                    <w:right w:type="dxa" w:w="100"/>
                  </w:tcMar>
                </w:tcPr>
                <w:p>
                  <w:r>
                    <w:rPr>
                      <w:sz w:val="19"/>
                      <w:szCs w:val="19"/>
                    </w:rPr>
                    <w:t xml:space="preserve">PP No.28/2024 Pasal 110; UU TPKS</w:t>
                  </w:r>
                </w:p>
              </w:tc>
            </w:tr>
          </w:tbl>
          <w:p/>
        </w:tc>
      </w:tr>
    </w:tbl>
    <w:p>
      <w:pPr>
        <w:spacing w:after="200"/>
      </w:pP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c>
          <w:tcPr>
            <w:tcW w:type="dxa" w:w="9638"/>
            <w:shd w:fill="7A1F3D" w:val="clear"/>
            <w:tcMar>
              <w:top w:type="dxa" w:w="140"/>
              <w:left w:type="dxa" w:w="200"/>
              <w:bottom w:type="dxa" w:w="140"/>
              <w:right w:type="dxa" w:w="200"/>
            </w:tcMar>
          </w:tcPr>
          <w:p>
            <w:pPr>
              <w:spacing w:after="0"/>
            </w:pPr>
            <w:r>
              <w:rPr>
                <w:b/>
                <w:bCs/>
                <w:color w:val="FFFFFF"/>
                <w:sz w:val="26"/>
                <w:szCs w:val="26"/>
              </w:rPr>
              <w:t xml:space="preserve">12. </w:t>
            </w:r>
            <w:r>
              <w:rPr>
                <w:b/>
                <w:bCs/>
                <w:color w:val="FFFFFF"/>
                <w:sz w:val="26"/>
                <w:szCs w:val="26"/>
              </w:rPr>
              <w:t xml:space="preserve">Tingkat Rekomendasi</w:t>
            </w:r>
          </w:p>
        </w:tc>
      </w:tr>
    </w:tbl>
    <w:p>
      <w:pPr>
        <w:spacing w:after="80"/>
      </w:pPr>
    </w:p>
    <w:tbl>
      <w:tblPr>
        <w:tblW w:type="dxa" w:w="9638"/>
        <w:tblBorders>
          <w:top w:val="single" w:color="F3E1E7" w:sz="4"/>
          <w:left w:val="single" w:color="F3E1E7" w:sz="4"/>
          <w:bottom w:val="single" w:color="F3E1E7" w:sz="4"/>
          <w:right w:val="single" w:color="F3E1E7" w:sz="4"/>
          <w:insideH w:val="none" w:color="FFFFFF" w:sz="0"/>
          <w:insideV w:val="none" w:color="FFFFFF" w:sz="0"/>
        </w:tblBorders>
      </w:tblPr>
      <w:tblGrid>
        <w:gridCol w:w="9638"/>
      </w:tblGrid>
      <w:tr>
        <w:tc>
          <w:tcPr>
            <w:tcW w:type="dxa" w:w="9638"/>
            <w:shd w:fill="FBF3F5" w:val="clear"/>
            <w:tcMar>
              <w:top w:type="dxa" w:w="160"/>
              <w:left w:type="dxa" w:w="220"/>
              <w:bottom w:type="dxa" w:w="160"/>
              <w:right w:type="dxa" w:w="220"/>
            </w:tcMar>
          </w:tcPr>
          <w:tbl>
            <w:tblPr>
              <w:tblW w:type="dxa" w:w="9538"/>
              <w:tblBorders>
                <w:top w:val="single" w:color="CCCCCC" w:sz="4"/>
                <w:left w:val="single" w:color="CCCCCC" w:sz="4"/>
                <w:bottom w:val="single" w:color="CCCCCC" w:sz="4"/>
                <w:right w:val="single" w:color="CCCCCC" w:sz="4"/>
                <w:insideH w:val="single" w:color="DDDDDD" w:sz="4"/>
                <w:insideV w:val="single" w:color="DDDDDD" w:sz="4"/>
              </w:tblBorders>
            </w:tblPr>
            <w:tblGrid>
              <w:gridCol w:w="4700"/>
              <w:gridCol w:w="1400"/>
              <w:gridCol w:w="3438"/>
            </w:tblGrid>
            <w:tr>
              <w:trPr>
                <w:tblHeader/>
              </w:trPr>
              <w:tc>
                <w:tcPr>
                  <w:tcW w:type="dxa" w:w="4700"/>
                  <w:shd w:fill="7A1F3D" w:val="clear"/>
                  <w:tcMar>
                    <w:top w:type="dxa" w:w="100"/>
                    <w:left w:type="dxa" w:w="100"/>
                    <w:bottom w:type="dxa" w:w="100"/>
                    <w:right w:type="dxa" w:w="100"/>
                  </w:tcMar>
                  <w:vAlign w:val="center"/>
                </w:tcPr>
                <w:p>
                  <w:r>
                    <w:rPr>
                      <w:b/>
                      <w:bCs/>
                      <w:color w:val="FFFFFF"/>
                      <w:sz w:val="19"/>
                      <w:szCs w:val="19"/>
                    </w:rPr>
                    <w:t xml:space="preserve">Rekomendasi</w:t>
                  </w:r>
                </w:p>
              </w:tc>
              <w:tc>
                <w:tcPr>
                  <w:tcW w:type="dxa" w:w="1400"/>
                  <w:shd w:fill="7A1F3D" w:val="clear"/>
                  <w:tcMar>
                    <w:top w:type="dxa" w:w="100"/>
                    <w:left w:type="dxa" w:w="100"/>
                    <w:bottom w:type="dxa" w:w="100"/>
                    <w:right w:type="dxa" w:w="100"/>
                  </w:tcMar>
                  <w:vAlign w:val="center"/>
                </w:tcPr>
                <w:p>
                  <w:r>
                    <w:rPr>
                      <w:b/>
                      <w:bCs/>
                      <w:color w:val="FFFFFF"/>
                      <w:sz w:val="19"/>
                      <w:szCs w:val="19"/>
                    </w:rPr>
                    <w:t xml:space="preserve">Kelas</w:t>
                  </w:r>
                </w:p>
              </w:tc>
              <w:tc>
                <w:tcPr>
                  <w:tcW w:type="dxa" w:w="3438"/>
                  <w:shd w:fill="7A1F3D" w:val="clear"/>
                  <w:tcMar>
                    <w:top w:type="dxa" w:w="100"/>
                    <w:left w:type="dxa" w:w="100"/>
                    <w:bottom w:type="dxa" w:w="100"/>
                    <w:right w:type="dxa" w:w="100"/>
                  </w:tcMar>
                  <w:vAlign w:val="center"/>
                </w:tcPr>
                <w:p>
                  <w:r>
                    <w:rPr>
                      <w:b/>
                      <w:bCs/>
                      <w:color w:val="FFFFFF"/>
                      <w:sz w:val="19"/>
                      <w:szCs w:val="19"/>
                    </w:rPr>
                    <w:t xml:space="preserve">Rujukan</w:t>
                  </w:r>
                </w:p>
              </w:tc>
            </w:tr>
            <w:tr>
              <w:tc>
                <w:tcPr>
                  <w:tcW w:type="dxa" w:w="4700"/>
                  <w:shd w:fill="FFFFFF" w:val="clear"/>
                  <w:tcMar>
                    <w:top w:type="dxa" w:w="90"/>
                    <w:left w:type="dxa" w:w="100"/>
                    <w:bottom w:type="dxa" w:w="90"/>
                    <w:right w:type="dxa" w:w="100"/>
                  </w:tcMar>
                </w:tcPr>
                <w:p>
                  <w:r>
                    <w:rPr>
                      <w:sz w:val="19"/>
                      <w:szCs w:val="19"/>
                    </w:rPr>
                    <w:t xml:space="preserve">Copper IUD sebagai pilihan lini pertama bila memenuhi syarat</w:t>
                  </w:r>
                </w:p>
              </w:tc>
              <w:tc>
                <w:tcPr>
                  <w:tcW w:type="dxa" w:w="1400"/>
                  <w:shd w:fill="FFFFFF" w:val="clear"/>
                  <w:tcMar>
                    <w:top w:type="dxa" w:w="90"/>
                    <w:left w:type="dxa" w:w="100"/>
                    <w:bottom w:type="dxa" w:w="90"/>
                    <w:right w:type="dxa" w:w="100"/>
                  </w:tcMar>
                </w:tcPr>
                <w:p>
                  <w:r>
                    <w:rPr>
                      <w:sz w:val="19"/>
                      <w:szCs w:val="19"/>
                    </w:rPr>
                    <w:t xml:space="preserve">A</w:t>
                  </w:r>
                </w:p>
              </w:tc>
              <w:tc>
                <w:tcPr>
                  <w:tcW w:type="dxa" w:w="3438"/>
                  <w:shd w:fill="FFFFFF" w:val="clear"/>
                  <w:tcMar>
                    <w:top w:type="dxa" w:w="90"/>
                    <w:left w:type="dxa" w:w="100"/>
                    <w:bottom w:type="dxa" w:w="90"/>
                    <w:right w:type="dxa" w:w="100"/>
                  </w:tcMar>
                </w:tcPr>
                <w:p>
                  <w:r>
                    <w:rPr>
                      <w:sz w:val="19"/>
                      <w:szCs w:val="19"/>
                    </w:rPr>
                    <w:t xml:space="preserve">ACOG PB No.152</w:t>
                  </w:r>
                </w:p>
              </w:tc>
            </w:tr>
            <w:tr>
              <w:tc>
                <w:tcPr>
                  <w:tcW w:type="dxa" w:w="4700"/>
                  <w:shd w:fill="F5F5F5" w:val="clear"/>
                  <w:tcMar>
                    <w:top w:type="dxa" w:w="90"/>
                    <w:left w:type="dxa" w:w="100"/>
                    <w:bottom w:type="dxa" w:w="90"/>
                    <w:right w:type="dxa" w:w="100"/>
                  </w:tcMar>
                </w:tcPr>
                <w:p>
                  <w:r>
                    <w:rPr>
                      <w:sz w:val="19"/>
                      <w:szCs w:val="19"/>
                    </w:rPr>
                    <w:t xml:space="preserve">Ulipristal asetat sebagai pilihan hormonal utama pada jendela 72–120 jam</w:t>
                  </w:r>
                </w:p>
              </w:tc>
              <w:tc>
                <w:tcPr>
                  <w:tcW w:type="dxa" w:w="1400"/>
                  <w:shd w:fill="F5F5F5" w:val="clear"/>
                  <w:tcMar>
                    <w:top w:type="dxa" w:w="90"/>
                    <w:left w:type="dxa" w:w="100"/>
                    <w:bottom w:type="dxa" w:w="90"/>
                    <w:right w:type="dxa" w:w="100"/>
                  </w:tcMar>
                </w:tcPr>
                <w:p>
                  <w:r>
                    <w:rPr>
                      <w:sz w:val="19"/>
                      <w:szCs w:val="19"/>
                    </w:rPr>
                    <w:t xml:space="preserve">A</w:t>
                  </w:r>
                </w:p>
              </w:tc>
              <w:tc>
                <w:tcPr>
                  <w:tcW w:type="dxa" w:w="3438"/>
                  <w:shd w:fill="F5F5F5" w:val="clear"/>
                  <w:tcMar>
                    <w:top w:type="dxa" w:w="90"/>
                    <w:left w:type="dxa" w:w="100"/>
                    <w:bottom w:type="dxa" w:w="90"/>
                    <w:right w:type="dxa" w:w="100"/>
                  </w:tcMar>
                </w:tcPr>
                <w:p>
                  <w:r>
                    <w:rPr>
                      <w:sz w:val="19"/>
                      <w:szCs w:val="19"/>
                    </w:rPr>
                    <w:t xml:space="preserve">ACOG PB No.152; ICEC/FIGO 2018</w:t>
                  </w:r>
                </w:p>
              </w:tc>
            </w:tr>
            <w:tr>
              <w:tc>
                <w:tcPr>
                  <w:tcW w:type="dxa" w:w="4700"/>
                  <w:shd w:fill="FFFFFF" w:val="clear"/>
                  <w:tcMar>
                    <w:top w:type="dxa" w:w="90"/>
                    <w:left w:type="dxa" w:w="100"/>
                    <w:bottom w:type="dxa" w:w="90"/>
                    <w:right w:type="dxa" w:w="100"/>
                  </w:tcMar>
                </w:tcPr>
                <w:p>
                  <w:r>
                    <w:rPr>
                      <w:sz w:val="19"/>
                      <w:szCs w:val="19"/>
                    </w:rPr>
                    <w:t xml:space="preserve">Levonorgestrel bila UPA/IUD tidak tersedia; pertimbangkan dosis ganda pada IMT tinggi</w:t>
                  </w:r>
                </w:p>
              </w:tc>
              <w:tc>
                <w:tcPr>
                  <w:tcW w:type="dxa" w:w="1400"/>
                  <w:shd w:fill="FFFFFF" w:val="clear"/>
                  <w:tcMar>
                    <w:top w:type="dxa" w:w="90"/>
                    <w:left w:type="dxa" w:w="100"/>
                    <w:bottom w:type="dxa" w:w="90"/>
                    <w:right w:type="dxa" w:w="100"/>
                  </w:tcMar>
                </w:tcPr>
                <w:p>
                  <w:r>
                    <w:rPr>
                      <w:sz w:val="19"/>
                      <w:szCs w:val="19"/>
                    </w:rPr>
                    <w:t xml:space="preserve">B</w:t>
                  </w:r>
                </w:p>
              </w:tc>
              <w:tc>
                <w:tcPr>
                  <w:tcW w:type="dxa" w:w="3438"/>
                  <w:shd w:fill="FFFFFF" w:val="clear"/>
                  <w:tcMar>
                    <w:top w:type="dxa" w:w="90"/>
                    <w:left w:type="dxa" w:w="100"/>
                    <w:bottom w:type="dxa" w:w="90"/>
                    <w:right w:type="dxa" w:w="100"/>
                  </w:tcMar>
                </w:tcPr>
                <w:p>
                  <w:r>
                    <w:rPr>
                      <w:sz w:val="19"/>
                      <w:szCs w:val="19"/>
                    </w:rPr>
                    <w:t xml:space="preserve">FSRH 2023</w:t>
                  </w:r>
                </w:p>
              </w:tc>
            </w:tr>
            <w:tr>
              <w:tc>
                <w:tcPr>
                  <w:tcW w:type="dxa" w:w="4700"/>
                  <w:shd w:fill="F5F5F5" w:val="clear"/>
                  <w:tcMar>
                    <w:top w:type="dxa" w:w="90"/>
                    <w:left w:type="dxa" w:w="100"/>
                    <w:bottom w:type="dxa" w:w="90"/>
                    <w:right w:type="dxa" w:w="100"/>
                  </w:tcMar>
                </w:tcPr>
                <w:p>
                  <w:r>
                    <w:rPr>
                      <w:sz w:val="19"/>
                      <w:szCs w:val="19"/>
                    </w:rPr>
                    <w:t xml:space="preserve">Akses tanpa resep untuk pil kontrasepsi darurat hormonal</w:t>
                  </w:r>
                </w:p>
              </w:tc>
              <w:tc>
                <w:tcPr>
                  <w:tcW w:type="dxa" w:w="1400"/>
                  <w:shd w:fill="F5F5F5" w:val="clear"/>
                  <w:tcMar>
                    <w:top w:type="dxa" w:w="90"/>
                    <w:left w:type="dxa" w:w="100"/>
                    <w:bottom w:type="dxa" w:w="90"/>
                    <w:right w:type="dxa" w:w="100"/>
                  </w:tcMar>
                </w:tcPr>
                <w:p>
                  <w:r>
                    <w:rPr>
                      <w:sz w:val="19"/>
                      <w:szCs w:val="19"/>
                    </w:rPr>
                    <w:t xml:space="preserve">A</w:t>
                  </w:r>
                </w:p>
              </w:tc>
              <w:tc>
                <w:tcPr>
                  <w:tcW w:type="dxa" w:w="3438"/>
                  <w:shd w:fill="F5F5F5" w:val="clear"/>
                  <w:tcMar>
                    <w:top w:type="dxa" w:w="90"/>
                    <w:left w:type="dxa" w:w="100"/>
                    <w:bottom w:type="dxa" w:w="90"/>
                    <w:right w:type="dxa" w:w="100"/>
                  </w:tcMar>
                </w:tcPr>
                <w:p>
                  <w:r>
                    <w:rPr>
                      <w:sz w:val="19"/>
                      <w:szCs w:val="19"/>
                    </w:rPr>
                    <w:t xml:space="preserve">WHO OTC ECP 2024</w:t>
                  </w:r>
                </w:p>
              </w:tc>
            </w:tr>
            <w:tr>
              <w:tc>
                <w:tcPr>
                  <w:tcW w:type="dxa" w:w="4700"/>
                  <w:shd w:fill="FFFFFF" w:val="clear"/>
                  <w:tcMar>
                    <w:top w:type="dxa" w:w="90"/>
                    <w:left w:type="dxa" w:w="100"/>
                    <w:bottom w:type="dxa" w:w="90"/>
                    <w:right w:type="dxa" w:w="100"/>
                  </w:tcMar>
                </w:tcPr>
                <w:p>
                  <w:r>
                    <w:rPr>
                      <w:sz w:val="19"/>
                      <w:szCs w:val="19"/>
                    </w:rPr>
                    <w:t xml:space="preserve">Pemberian KD tanpa menunggu proses hukum/pelaporan</w:t>
                  </w:r>
                </w:p>
              </w:tc>
              <w:tc>
                <w:tcPr>
                  <w:tcW w:type="dxa" w:w="1400"/>
                  <w:shd w:fill="FFFFFF" w:val="clear"/>
                  <w:tcMar>
                    <w:top w:type="dxa" w:w="90"/>
                    <w:left w:type="dxa" w:w="100"/>
                    <w:bottom w:type="dxa" w:w="90"/>
                    <w:right w:type="dxa" w:w="100"/>
                  </w:tcMar>
                </w:tcPr>
                <w:p>
                  <w:r>
                    <w:rPr>
                      <w:sz w:val="19"/>
                      <w:szCs w:val="19"/>
                    </w:rPr>
                    <w:t xml:space="preserve">A</w:t>
                  </w:r>
                </w:p>
              </w:tc>
              <w:tc>
                <w:tcPr>
                  <w:tcW w:type="dxa" w:w="3438"/>
                  <w:shd w:fill="FFFFFF" w:val="clear"/>
                  <w:tcMar>
                    <w:top w:type="dxa" w:w="90"/>
                    <w:left w:type="dxa" w:w="100"/>
                    <w:bottom w:type="dxa" w:w="90"/>
                    <w:right w:type="dxa" w:w="100"/>
                  </w:tcMar>
                </w:tcPr>
                <w:p>
                  <w:r>
                    <w:rPr>
                      <w:sz w:val="19"/>
                      <w:szCs w:val="19"/>
                    </w:rPr>
                    <w:t xml:space="preserve">PP No.28/2024 Ps.110; UU TPKS</w:t>
                  </w:r>
                </w:p>
              </w:tc>
            </w:tr>
          </w:tbl>
          <w:p/>
        </w:tc>
      </w:tr>
    </w:tbl>
    <w:p>
      <w:pPr>
        <w:spacing w:after="200"/>
      </w:pP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c>
          <w:tcPr>
            <w:tcW w:type="dxa" w:w="9638"/>
            <w:shd w:fill="7A1F3D" w:val="clear"/>
            <w:tcMar>
              <w:top w:type="dxa" w:w="140"/>
              <w:left w:type="dxa" w:w="200"/>
              <w:bottom w:type="dxa" w:w="140"/>
              <w:right w:type="dxa" w:w="200"/>
            </w:tcMar>
          </w:tcPr>
          <w:p>
            <w:pPr>
              <w:spacing w:after="0"/>
            </w:pPr>
            <w:r>
              <w:rPr>
                <w:b/>
                <w:bCs/>
                <w:color w:val="FFFFFF"/>
                <w:sz w:val="26"/>
                <w:szCs w:val="26"/>
              </w:rPr>
              <w:t xml:space="preserve">13. </w:t>
            </w:r>
            <w:r>
              <w:rPr>
                <w:b/>
                <w:bCs/>
                <w:color w:val="FFFFFF"/>
                <w:sz w:val="26"/>
                <w:szCs w:val="26"/>
              </w:rPr>
              <w:t xml:space="preserve">Penelaah Kritis</w:t>
            </w:r>
          </w:p>
        </w:tc>
      </w:tr>
    </w:tbl>
    <w:p>
      <w:pPr>
        <w:spacing w:after="80"/>
      </w:pPr>
    </w:p>
    <w:tbl>
      <w:tblPr>
        <w:tblW w:type="dxa" w:w="9638"/>
        <w:tblBorders>
          <w:top w:val="single" w:color="F3E1E7" w:sz="4"/>
          <w:left w:val="single" w:color="F3E1E7" w:sz="4"/>
          <w:bottom w:val="single" w:color="F3E1E7" w:sz="4"/>
          <w:right w:val="single" w:color="F3E1E7" w:sz="4"/>
          <w:insideH w:val="none" w:color="FFFFFF" w:sz="0"/>
          <w:insideV w:val="none" w:color="FFFFFF" w:sz="0"/>
        </w:tblBorders>
      </w:tblPr>
      <w:tblGrid>
        <w:gridCol w:w="9638"/>
      </w:tblGrid>
      <w:tr>
        <w:tc>
          <w:tcPr>
            <w:tcW w:type="dxa" w:w="9638"/>
            <w:shd w:fill="FBF3F5" w:val="clear"/>
            <w:tcMar>
              <w:top w:type="dxa" w:w="160"/>
              <w:left w:type="dxa" w:w="220"/>
              <w:bottom w:type="dxa" w:w="160"/>
              <w:right w:type="dxa" w:w="220"/>
            </w:tcMar>
          </w:tcPr>
          <w:p>
            <w:pPr>
              <w:pStyle w:val="ListParagraph"/>
              <w:numPr>
                <w:ilvl w:val="0"/>
                <w:numId w:val="1"/>
              </w:numPr>
              <w:spacing w:after="60"/>
            </w:pPr>
            <w:r>
              <w:rPr>
                <w:sz w:val="21"/>
                <w:szCs w:val="21"/>
              </w:rPr>
              <w:t xml:space="preserve">Dokter Spesialis Obstetri dan Ginekologi Subspesialis Obstetri Ginekologi Sosial.</w:t>
            </w:r>
          </w:p>
          <w:p>
            <w:pPr>
              <w:pStyle w:val="ListParagraph"/>
              <w:numPr>
                <w:ilvl w:val="0"/>
                <w:numId w:val="1"/>
              </w:numPr>
              <w:spacing w:after="60"/>
            </w:pPr>
            <w:r>
              <w:rPr>
                <w:sz w:val="21"/>
                <w:szCs w:val="21"/>
              </w:rPr>
              <w:t xml:space="preserve">Komite Medis dan Tim Penanganan Korban Kekerasan Seksual/PPKS rumah sakit.</w:t>
            </w:r>
          </w:p>
          <w:p>
            <w:pPr>
              <w:pStyle w:val="ListParagraph"/>
              <w:numPr>
                <w:ilvl w:val="0"/>
                <w:numId w:val="1"/>
              </w:numPr>
              <w:spacing w:after="60"/>
            </w:pPr>
            <w:r>
              <w:rPr>
                <w:sz w:val="21"/>
                <w:szCs w:val="21"/>
              </w:rPr>
              <w:t xml:space="preserve">Bagian Hukum/Etik Rumah Sakit untuk aspek medikolegal.</w:t>
            </w:r>
          </w:p>
          <w:p>
            <w:pPr>
              <w:spacing w:after="100"/>
            </w:pPr>
            <w:r>
              <w:rPr>
                <w:sz w:val="21"/>
                <w:szCs w:val="21"/>
              </w:rPr>
              <w:t xml:space="preserve">PPK ini disusun selaras dengan unit kompetensi "Kontrasepsi Darurat pada Perkosaan dan Kegagalan Penggunaan Kontrasepsi" dalam Standar Kompetensi Dokter Spesialis Obstetri dan Ginekologi Subspesialis Obstetri Ginekologi Sosial (Keputusan Ketua Konsil Kesehatan Indonesia Nomor HK.01.02/KKI/1318/2026), serta mengacu standar internasional pendidikan subspesialis kesehatan reproduksi dan seksual (WHO Abortion Care Guideline 2022 dan Clinical Practice Handbook for Quality Abortion Care; kurikulum model FIGO tentang pendidikan kontrasepsi dan aborsi bagi tenaga medis).</w:t>
            </w:r>
          </w:p>
        </w:tc>
      </w:tr>
    </w:tbl>
    <w:p>
      <w:pPr>
        <w:spacing w:after="200"/>
      </w:pP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c>
          <w:tcPr>
            <w:tcW w:type="dxa" w:w="9638"/>
            <w:shd w:fill="7A1F3D" w:val="clear"/>
            <w:tcMar>
              <w:top w:type="dxa" w:w="140"/>
              <w:left w:type="dxa" w:w="200"/>
              <w:bottom w:type="dxa" w:w="140"/>
              <w:right w:type="dxa" w:w="200"/>
            </w:tcMar>
          </w:tcPr>
          <w:p>
            <w:pPr>
              <w:spacing w:after="0"/>
            </w:pPr>
            <w:r>
              <w:rPr>
                <w:b/>
                <w:bCs/>
                <w:color w:val="FFFFFF"/>
                <w:sz w:val="26"/>
                <w:szCs w:val="26"/>
              </w:rPr>
              <w:t xml:space="preserve">14. </w:t>
            </w:r>
            <w:r>
              <w:rPr>
                <w:b/>
                <w:bCs/>
                <w:color w:val="FFFFFF"/>
                <w:sz w:val="26"/>
                <w:szCs w:val="26"/>
              </w:rPr>
              <w:t xml:space="preserve">Indikator Medis</w:t>
            </w:r>
          </w:p>
        </w:tc>
      </w:tr>
    </w:tbl>
    <w:p>
      <w:pPr>
        <w:spacing w:after="80"/>
      </w:pPr>
    </w:p>
    <w:tbl>
      <w:tblPr>
        <w:tblW w:type="dxa" w:w="9638"/>
        <w:tblBorders>
          <w:top w:val="single" w:color="F3E1E7" w:sz="4"/>
          <w:left w:val="single" w:color="F3E1E7" w:sz="4"/>
          <w:bottom w:val="single" w:color="F3E1E7" w:sz="4"/>
          <w:right w:val="single" w:color="F3E1E7" w:sz="4"/>
          <w:insideH w:val="none" w:color="FFFFFF" w:sz="0"/>
          <w:insideV w:val="none" w:color="FFFFFF" w:sz="0"/>
        </w:tblBorders>
      </w:tblPr>
      <w:tblGrid>
        <w:gridCol w:w="9638"/>
      </w:tblGrid>
      <w:tr>
        <w:tc>
          <w:tcPr>
            <w:tcW w:type="dxa" w:w="9638"/>
            <w:shd w:fill="FBF3F5" w:val="clear"/>
            <w:tcMar>
              <w:top w:type="dxa" w:w="160"/>
              <w:left w:type="dxa" w:w="220"/>
              <w:bottom w:type="dxa" w:w="160"/>
              <w:right w:type="dxa" w:w="220"/>
            </w:tcMar>
          </w:tcPr>
          <w:p>
            <w:pPr>
              <w:spacing w:after="100"/>
            </w:pPr>
            <w:r>
              <w:rPr>
                <w:sz w:val="21"/>
                <w:szCs w:val="21"/>
              </w:rPr>
              <w:t xml:space="preserve">Indikator berikut diselaraskan dengan Standar Kompetensi Kepkonsil (Keputusan Ketua Konsil Kesehatan Indonesia Nomor HK.01.02/KKI/1318/2026) unit kompetensi "Kontrasepsi Darurat pada Perkosaan dan Kegagalan Penggunaan Kontrasepsi":</w:t>
            </w:r>
          </w:p>
          <w:tbl>
            <w:tblPr>
              <w:tblW w:type="dxa" w:w="9638"/>
              <w:tblBorders>
                <w:top w:val="single" w:color="CCCCCC" w:sz="4"/>
                <w:left w:val="single" w:color="CCCCCC" w:sz="4"/>
                <w:bottom w:val="single" w:color="CCCCCC" w:sz="4"/>
                <w:right w:val="single" w:color="CCCCCC" w:sz="4"/>
                <w:insideH w:val="single" w:color="DDDDDD" w:sz="4"/>
                <w:insideV w:val="single" w:color="DDDDDD" w:sz="4"/>
              </w:tblBorders>
            </w:tblPr>
            <w:tblGrid>
              <w:gridCol w:w="6300"/>
              <w:gridCol w:w="3338"/>
            </w:tblGrid>
            <w:tr>
              <w:trPr>
                <w:tblHeader/>
              </w:trPr>
              <w:tc>
                <w:tcPr>
                  <w:tcW w:type="dxa" w:w="6300"/>
                  <w:shd w:fill="7A1F3D" w:val="clear"/>
                  <w:tcMar>
                    <w:top w:type="dxa" w:w="100"/>
                    <w:left w:type="dxa" w:w="100"/>
                    <w:bottom w:type="dxa" w:w="100"/>
                    <w:right w:type="dxa" w:w="100"/>
                  </w:tcMar>
                  <w:vAlign w:val="center"/>
                </w:tcPr>
                <w:p>
                  <w:r>
                    <w:rPr>
                      <w:b/>
                      <w:bCs/>
                      <w:color w:val="FFFFFF"/>
                      <w:sz w:val="19"/>
                      <w:szCs w:val="19"/>
                    </w:rPr>
                    <w:t xml:space="preserve">Indikator Mutu</w:t>
                  </w:r>
                </w:p>
              </w:tc>
              <w:tc>
                <w:tcPr>
                  <w:tcW w:type="dxa" w:w="3338"/>
                  <w:shd w:fill="7A1F3D" w:val="clear"/>
                  <w:tcMar>
                    <w:top w:type="dxa" w:w="100"/>
                    <w:left w:type="dxa" w:w="100"/>
                    <w:bottom w:type="dxa" w:w="100"/>
                    <w:right w:type="dxa" w:w="100"/>
                  </w:tcMar>
                  <w:vAlign w:val="center"/>
                </w:tcPr>
                <w:p>
                  <w:r>
                    <w:rPr>
                      <w:b/>
                      <w:bCs/>
                      <w:color w:val="FFFFFF"/>
                      <w:sz w:val="19"/>
                      <w:szCs w:val="19"/>
                    </w:rPr>
                    <w:t xml:space="preserve">Target</w:t>
                  </w:r>
                </w:p>
              </w:tc>
            </w:tr>
            <w:tr>
              <w:tc>
                <w:tcPr>
                  <w:tcW w:type="dxa" w:w="6300"/>
                  <w:shd w:fill="FFFFFF" w:val="clear"/>
                  <w:tcMar>
                    <w:top w:type="dxa" w:w="90"/>
                    <w:left w:type="dxa" w:w="100"/>
                    <w:bottom w:type="dxa" w:w="90"/>
                    <w:right w:type="dxa" w:w="100"/>
                  </w:tcMar>
                </w:tcPr>
                <w:p>
                  <w:r>
                    <w:rPr>
                      <w:sz w:val="19"/>
                      <w:szCs w:val="19"/>
                    </w:rPr>
                    <w:t xml:space="preserve">Kasus korban perkosaan yang mendapat kontrasepsi darurat sesuai indikasi</w:t>
                  </w:r>
                </w:p>
              </w:tc>
              <w:tc>
                <w:tcPr>
                  <w:tcW w:type="dxa" w:w="3338"/>
                  <w:shd w:fill="FFFFFF" w:val="clear"/>
                  <w:tcMar>
                    <w:top w:type="dxa" w:w="90"/>
                    <w:left w:type="dxa" w:w="100"/>
                    <w:bottom w:type="dxa" w:w="90"/>
                    <w:right w:type="dxa" w:w="100"/>
                  </w:tcMar>
                </w:tcPr>
                <w:p>
                  <w:r>
                    <w:rPr>
                      <w:sz w:val="19"/>
                      <w:szCs w:val="19"/>
                    </w:rPr>
                    <w:t xml:space="preserve">100%</w:t>
                  </w:r>
                </w:p>
              </w:tc>
            </w:tr>
            <w:tr>
              <w:tc>
                <w:tcPr>
                  <w:tcW w:type="dxa" w:w="6300"/>
                  <w:shd w:fill="F5F5F5" w:val="clear"/>
                  <w:tcMar>
                    <w:top w:type="dxa" w:w="90"/>
                    <w:left w:type="dxa" w:w="100"/>
                    <w:bottom w:type="dxa" w:w="90"/>
                    <w:right w:type="dxa" w:w="100"/>
                  </w:tcMar>
                </w:tcPr>
                <w:p>
                  <w:r>
                    <w:rPr>
                      <w:sz w:val="19"/>
                      <w:szCs w:val="19"/>
                    </w:rPr>
                    <w:t xml:space="preserve">Kasus (perkosaan maupun kegagalan kontrasepsi) mendapat edukasi dan informed consent lengkap</w:t>
                  </w:r>
                </w:p>
              </w:tc>
              <w:tc>
                <w:tcPr>
                  <w:tcW w:type="dxa" w:w="3338"/>
                  <w:shd w:fill="F5F5F5" w:val="clear"/>
                  <w:tcMar>
                    <w:top w:type="dxa" w:w="90"/>
                    <w:left w:type="dxa" w:w="100"/>
                    <w:bottom w:type="dxa" w:w="90"/>
                    <w:right w:type="dxa" w:w="100"/>
                  </w:tcMar>
                </w:tcPr>
                <w:p>
                  <w:r>
                    <w:rPr>
                      <w:sz w:val="19"/>
                      <w:szCs w:val="19"/>
                    </w:rPr>
                    <w:t xml:space="preserve">100%</w:t>
                  </w:r>
                </w:p>
              </w:tc>
            </w:tr>
            <w:tr>
              <w:tc>
                <w:tcPr>
                  <w:tcW w:type="dxa" w:w="6300"/>
                  <w:shd w:fill="FFFFFF" w:val="clear"/>
                  <w:tcMar>
                    <w:top w:type="dxa" w:w="90"/>
                    <w:left w:type="dxa" w:w="100"/>
                    <w:bottom w:type="dxa" w:w="90"/>
                    <w:right w:type="dxa" w:w="100"/>
                  </w:tcMar>
                </w:tcPr>
                <w:p>
                  <w:r>
                    <w:rPr>
                      <w:sz w:val="19"/>
                      <w:szCs w:val="19"/>
                    </w:rPr>
                    <w:t xml:space="preserve">Angka kegagalan kontrasepsi darurat (kehamilan tetap terjadi)</w:t>
                  </w:r>
                </w:p>
              </w:tc>
              <w:tc>
                <w:tcPr>
                  <w:tcW w:type="dxa" w:w="3338"/>
                  <w:shd w:fill="FFFFFF" w:val="clear"/>
                  <w:tcMar>
                    <w:top w:type="dxa" w:w="90"/>
                    <w:left w:type="dxa" w:w="100"/>
                    <w:bottom w:type="dxa" w:w="90"/>
                    <w:right w:type="dxa" w:w="100"/>
                  </w:tcMar>
                </w:tcPr>
                <w:p>
                  <w:r>
                    <w:rPr>
                      <w:sz w:val="19"/>
                      <w:szCs w:val="19"/>
                    </w:rPr>
                    <w:t xml:space="preserve">≤ 2%</w:t>
                  </w:r>
                </w:p>
              </w:tc>
            </w:tr>
            <w:tr>
              <w:tc>
                <w:tcPr>
                  <w:tcW w:type="dxa" w:w="6300"/>
                  <w:shd w:fill="F5F5F5" w:val="clear"/>
                  <w:tcMar>
                    <w:top w:type="dxa" w:w="90"/>
                    <w:left w:type="dxa" w:w="100"/>
                    <w:bottom w:type="dxa" w:w="90"/>
                    <w:right w:type="dxa" w:w="100"/>
                  </w:tcMar>
                </w:tcPr>
                <w:p>
                  <w:r>
                    <w:rPr>
                      <w:sz w:val="19"/>
                      <w:szCs w:val="19"/>
                    </w:rPr>
                    <w:t xml:space="preserve">Kesesuaian pilihan metode kontrasepsi darurat dengan waktu, IMT, dan kontraindikasi pasien</w:t>
                  </w:r>
                </w:p>
              </w:tc>
              <w:tc>
                <w:tcPr>
                  <w:tcW w:type="dxa" w:w="3338"/>
                  <w:shd w:fill="F5F5F5" w:val="clear"/>
                  <w:tcMar>
                    <w:top w:type="dxa" w:w="90"/>
                    <w:left w:type="dxa" w:w="100"/>
                    <w:bottom w:type="dxa" w:w="90"/>
                    <w:right w:type="dxa" w:w="100"/>
                  </w:tcMar>
                </w:tcPr>
                <w:p>
                  <w:r>
                    <w:rPr>
                      <w:sz w:val="19"/>
                      <w:szCs w:val="19"/>
                    </w:rPr>
                    <w:t xml:space="preserve">≥ 90%</w:t>
                  </w:r>
                </w:p>
              </w:tc>
            </w:tr>
            <w:tr>
              <w:tc>
                <w:tcPr>
                  <w:tcW w:type="dxa" w:w="6300"/>
                  <w:shd w:fill="FFFFFF" w:val="clear"/>
                  <w:tcMar>
                    <w:top w:type="dxa" w:w="90"/>
                    <w:left w:type="dxa" w:w="100"/>
                    <w:bottom w:type="dxa" w:w="90"/>
                    <w:right w:type="dxa" w:w="100"/>
                  </w:tcMar>
                </w:tcPr>
                <w:p>
                  <w:r>
                    <w:rPr>
                      <w:sz w:val="19"/>
                      <w:szCs w:val="19"/>
                    </w:rPr>
                    <w:t xml:space="preserve">Koordinasi forensik dan rujukan psikososial tercatat pada kasus perkosaan</w:t>
                  </w:r>
                </w:p>
              </w:tc>
              <w:tc>
                <w:tcPr>
                  <w:tcW w:type="dxa" w:w="3338"/>
                  <w:shd w:fill="FFFFFF" w:val="clear"/>
                  <w:tcMar>
                    <w:top w:type="dxa" w:w="90"/>
                    <w:left w:type="dxa" w:w="100"/>
                    <w:bottom w:type="dxa" w:w="90"/>
                    <w:right w:type="dxa" w:w="100"/>
                  </w:tcMar>
                </w:tcPr>
                <w:p>
                  <w:r>
                    <w:rPr>
                      <w:sz w:val="19"/>
                      <w:szCs w:val="19"/>
                    </w:rPr>
                    <w:t xml:space="preserve">100%</w:t>
                  </w:r>
                </w:p>
              </w:tc>
            </w:tr>
            <w:tr>
              <w:tc>
                <w:tcPr>
                  <w:tcW w:type="dxa" w:w="6300"/>
                  <w:shd w:fill="F5F5F5" w:val="clear"/>
                  <w:tcMar>
                    <w:top w:type="dxa" w:w="90"/>
                    <w:left w:type="dxa" w:w="100"/>
                    <w:bottom w:type="dxa" w:w="90"/>
                    <w:right w:type="dxa" w:w="100"/>
                  </w:tcMar>
                </w:tcPr>
                <w:p>
                  <w:r>
                    <w:rPr>
                      <w:sz w:val="19"/>
                      <w:szCs w:val="19"/>
                    </w:rPr>
                    <w:t xml:space="preserve">Dokumentasi rencana kontrol/tes kehamilan ulang (2–3 minggu pascatindakan)</w:t>
                  </w:r>
                </w:p>
              </w:tc>
              <w:tc>
                <w:tcPr>
                  <w:tcW w:type="dxa" w:w="3338"/>
                  <w:shd w:fill="F5F5F5" w:val="clear"/>
                  <w:tcMar>
                    <w:top w:type="dxa" w:w="90"/>
                    <w:left w:type="dxa" w:w="100"/>
                    <w:bottom w:type="dxa" w:w="90"/>
                    <w:right w:type="dxa" w:w="100"/>
                  </w:tcMar>
                </w:tcPr>
                <w:p>
                  <w:r>
                    <w:rPr>
                      <w:sz w:val="19"/>
                      <w:szCs w:val="19"/>
                    </w:rPr>
                    <w:t xml:space="preserve">100%</w:t>
                  </w:r>
                </w:p>
              </w:tc>
            </w:tr>
          </w:tbl>
          <w:p/>
        </w:tc>
      </w:tr>
    </w:tbl>
    <w:p>
      <w:pPr>
        <w:spacing w:after="200"/>
      </w:pP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c>
          <w:tcPr>
            <w:tcW w:type="dxa" w:w="9638"/>
            <w:shd w:fill="7A1F3D" w:val="clear"/>
            <w:tcMar>
              <w:top w:type="dxa" w:w="140"/>
              <w:left w:type="dxa" w:w="200"/>
              <w:bottom w:type="dxa" w:w="140"/>
              <w:right w:type="dxa" w:w="200"/>
            </w:tcMar>
          </w:tcPr>
          <w:p>
            <w:pPr>
              <w:spacing w:after="0"/>
            </w:pPr>
            <w:r>
              <w:rPr>
                <w:b/>
                <w:bCs/>
                <w:color w:val="FFFFFF"/>
                <w:sz w:val="26"/>
                <w:szCs w:val="26"/>
              </w:rPr>
              <w:t xml:space="preserve">15. </w:t>
            </w:r>
            <w:r>
              <w:rPr>
                <w:b/>
                <w:bCs/>
                <w:color w:val="FFFFFF"/>
                <w:sz w:val="26"/>
                <w:szCs w:val="26"/>
              </w:rPr>
              <w:t xml:space="preserve">Kepustakaan</w:t>
            </w:r>
          </w:p>
        </w:tc>
      </w:tr>
    </w:tbl>
    <w:p>
      <w:pPr>
        <w:spacing w:after="80"/>
      </w:pPr>
    </w:p>
    <w:tbl>
      <w:tblPr>
        <w:tblW w:type="dxa" w:w="9638"/>
        <w:tblBorders>
          <w:top w:val="single" w:color="F3E1E7" w:sz="4"/>
          <w:left w:val="single" w:color="F3E1E7" w:sz="4"/>
          <w:bottom w:val="single" w:color="F3E1E7" w:sz="4"/>
          <w:right w:val="single" w:color="F3E1E7" w:sz="4"/>
          <w:insideH w:val="none" w:color="FFFFFF" w:sz="0"/>
          <w:insideV w:val="none" w:color="FFFFFF" w:sz="0"/>
        </w:tblBorders>
      </w:tblPr>
      <w:tblGrid>
        <w:gridCol w:w="9638"/>
      </w:tblGrid>
      <w:tr>
        <w:tc>
          <w:tcPr>
            <w:tcW w:type="dxa" w:w="9638"/>
            <w:shd w:fill="FBF3F5" w:val="clear"/>
            <w:tcMar>
              <w:top w:type="dxa" w:w="160"/>
              <w:left w:type="dxa" w:w="220"/>
              <w:bottom w:type="dxa" w:w="160"/>
              <w:right w:type="dxa" w:w="220"/>
            </w:tcMar>
          </w:tcPr>
          <w:p>
            <w:pPr>
              <w:spacing w:after="100"/>
            </w:pPr>
            <w:r>
              <w:rPr>
                <w:sz w:val="21"/>
                <w:szCs w:val="21"/>
              </w:rPr>
              <w:t xml:space="preserve">1. World Health Organization. Clinical Practice Handbook for Quality Abortion Care. Geneva: WHO; 2023. ISBN 978-92-4-007520-7. Tersedia pada: https://www.who.int/publications/i/item/9789240075207</w:t>
            </w:r>
          </w:p>
          <w:p>
            <w:pPr>
              <w:spacing w:after="100"/>
            </w:pPr>
            <w:r>
              <w:rPr>
                <w:sz w:val="21"/>
                <w:szCs w:val="21"/>
              </w:rPr>
              <w:t xml:space="preserve">2. World Health Organization. Emergency Contraception (fact sheet). Geneva: WHO; 9 November 2021. Tersedia pada: https://www.who.int/news-room/fact-sheets/detail/emergency-contraception</w:t>
            </w:r>
          </w:p>
          <w:p>
            <w:pPr>
              <w:spacing w:after="100"/>
            </w:pPr>
            <w:r>
              <w:rPr>
                <w:sz w:val="21"/>
                <w:szCs w:val="21"/>
              </w:rPr>
              <w:t xml:space="preserve">3. World Health Organization. Selected Practice Recommendations for Contraceptive Use, 4th edition. Geneva: WHO; 2023. Tersedia pada: https://iris.who.int/server/api/core/bitstreams/582c8182-f4b1-406b-b5e7-d81c1870df93/content</w:t>
            </w:r>
          </w:p>
          <w:p>
            <w:pPr>
              <w:spacing w:after="100"/>
            </w:pPr>
            <w:r>
              <w:rPr>
                <w:sz w:val="21"/>
                <w:szCs w:val="21"/>
              </w:rPr>
              <w:t xml:space="preserve">4. World Health Organization. WHO Recommendations on Self-Care Interventions: Making Over-the-Counter Emergency Contraceptive Pills Available Without a Prescription. Geneva: WHO; 24 April 2024. ISBN 9789240089945. Tersedia pada: https://www.who.int/publications/i/item/9789240089945</w:t>
            </w:r>
          </w:p>
          <w:p>
            <w:pPr>
              <w:spacing w:after="100"/>
            </w:pPr>
            <w:r>
              <w:rPr>
                <w:sz w:val="21"/>
                <w:szCs w:val="21"/>
              </w:rPr>
              <w:t xml:space="preserve">5. Festin MPT, Peregoudov A, Seuc A, Kiarie J, Temmerman M. Effect of BMI and Body Weight on Pregnancy Rates with LNG as Emergency Contraception: Analysis of Four WHO HRP Studies. Contraception. 2017;95(1):50–54.</w:t>
            </w:r>
          </w:p>
          <w:p>
            <w:pPr>
              <w:spacing w:after="100"/>
            </w:pPr>
            <w:r>
              <w:rPr>
                <w:sz w:val="21"/>
                <w:szCs w:val="21"/>
              </w:rPr>
              <w:t xml:space="preserve">6. American College of Obstetricians and Gynecologists (ACOG). Practice Bulletin No. 152: Emergency Contraception. Obstet Gynecol. 2015;126:e1–11. Tersedia pada: https://www.acog.org/clinical/clinical-guidance/practice-bulletin/articles/2015/09/emergency-contraception</w:t>
            </w:r>
          </w:p>
          <w:p>
            <w:pPr>
              <w:spacing w:after="100"/>
            </w:pPr>
            <w:r>
              <w:rPr>
                <w:sz w:val="21"/>
                <w:szCs w:val="21"/>
              </w:rPr>
              <w:t xml:space="preserve">7. International Consortium for Emergency Contraception, didukung oleh International Federation of Gynecology and Obstetrics (FIGO). Emergency Contraceptive Pills: Medical and Service Delivery Guidance, 4th edition. 2018. Tersedia pada: https://www.ec-ec.org/wp-content/uploads/2019/01/ICEC-guides_FINAL.pdf</w:t>
            </w:r>
          </w:p>
          <w:p>
            <w:pPr>
              <w:spacing w:after="100"/>
            </w:pPr>
            <w:r>
              <w:rPr>
                <w:sz w:val="21"/>
                <w:szCs w:val="21"/>
              </w:rPr>
              <w:t xml:space="preserve">8. Faculty of Sexual &amp; Reproductive Healthcare (FSRH). FSRH Guideline: Emergency Contraception. Maret 2017 (amandemen Juli 2023). Tersedia pada: https://www.fsrh.org/Common/Uploaded%20files/documents/fsrh-guideline-emergency-contraception03dec2020-amendedjuly2023-11jul.pdf</w:t>
            </w:r>
          </w:p>
          <w:p>
            <w:pPr>
              <w:spacing w:after="100"/>
            </w:pPr>
            <w:r>
              <w:rPr>
                <w:sz w:val="21"/>
                <w:szCs w:val="21"/>
              </w:rPr>
              <w:t xml:space="preserve">9. Keputusan Ketua Konsil Kesehatan Indonesia Nomor HK.01.02/KKI/1318/2026 tentang Standar Kompetensi Dokter Spesialis dan Subspesialis Bidang Obstetri dan Ginekologi.</w:t>
            </w:r>
          </w:p>
          <w:p>
            <w:pPr>
              <w:spacing w:after="100"/>
            </w:pPr>
            <w:r>
              <w:rPr>
                <w:sz w:val="21"/>
                <w:szCs w:val="21"/>
              </w:rPr>
              <w:t xml:space="preserve">10. Undang-Undang Republik Indonesia Nomor 17 Tahun 2023 tentang Kesehatan, khususnya Pasal 54–61 dan Pasal 427–429. Tersedia pada: https://peraturan.bpk.go.id/Details/258028/uu-no-17-tahun-2023</w:t>
            </w:r>
          </w:p>
          <w:p>
            <w:pPr>
              <w:spacing w:after="100"/>
            </w:pPr>
            <w:r>
              <w:rPr>
                <w:sz w:val="21"/>
                <w:szCs w:val="21"/>
              </w:rPr>
              <w:t xml:space="preserve">11. Peraturan Pemerintah Republik Indonesia Nomor 28 Tahun 2024 tentang Peraturan Pelaksanaan Undang-Undang Nomor 17 Tahun 2023 tentang Kesehatan, khususnya Pasal 110 dan Pasal 116–124. Tersedia pada: https://peraturan.bpk.go.id/Details/294077/pp-no-28-tahun-2024</w:t>
            </w:r>
          </w:p>
          <w:p>
            <w:pPr>
              <w:spacing w:after="100"/>
            </w:pPr>
            <w:r>
              <w:rPr>
                <w:sz w:val="21"/>
                <w:szCs w:val="21"/>
              </w:rPr>
              <w:t xml:space="preserve">12. Undang-Undang Republik Indonesia Nomor 1 Tahun 2023 tentang Kitab Undang-Undang Hukum Pidana (KUHP Nasional), berlaku efektif 2 Januari 2026, khususnya Pasal 463. Tersedia pada: https://peraturan.bpk.go.id/details/234935/uu-no-1-tahun-2023</w:t>
            </w:r>
          </w:p>
          <w:p>
            <w:pPr>
              <w:spacing w:after="100"/>
            </w:pPr>
            <w:r>
              <w:rPr>
                <w:sz w:val="21"/>
                <w:szCs w:val="21"/>
              </w:rPr>
              <w:t xml:space="preserve">13. Undang-Undang Republik Indonesia Nomor 12 Tahun 2022 tentang Tindak Pidana Kekerasan Seksual. Tersedia pada: https://peraturan.bpk.go.id/Details/207944/uu-no-12-tahun-2022</w:t>
            </w:r>
          </w:p>
          <w:p>
            <w:pPr>
              <w:spacing w:after="100"/>
            </w:pPr>
            <w:r>
              <w:rPr>
                <w:sz w:val="21"/>
                <w:szCs w:val="21"/>
              </w:rPr>
              <w:t xml:space="preserve">14. Undang-Undang Republik Indonesia Nomor 23 Tahun 2004 tentang Penghapusan Kekerasan Dalam Rumah Tangga. Tersedia pada: https://peraturan.bpk.go.id/Details/40597/uu-no-23-tahun-2004</w:t>
            </w:r>
          </w:p>
        </w:tc>
      </w:tr>
    </w:tbl>
    <w:p>
      <w:pPr>
        <w:spacing w:after="300"/>
      </w:pPr>
    </w:p>
    <w:p>
      <w:pPr>
        <w:pBdr>
          <w:top w:val="single" w:color="7A1F3D" w:sz="6"/>
        </w:pBdr>
        <w:spacing w:before="100"/>
      </w:pPr>
    </w:p>
    <w:p>
      <w:pPr>
        <w:jc w:val="center"/>
      </w:pPr>
      <w:r>
        <w:rPr>
          <w:i/>
          <w:iCs/>
          <w:color w:val="666666"/>
          <w:sz w:val="17"/>
          <w:szCs w:val="17"/>
        </w:rPr>
        <w:t xml:space="preserve">Dr.dr. Budi Siswanto, Sp.OG., Subsp.Obginsos., SH., S.Kom.  |  Perpustakaan ABBA  |  Jl Danau Kerinci No 9 Malang</w:t>
      </w:r>
    </w:p>
    <w:p>
      <w:pPr>
        <w:spacing w:before="60"/>
        <w:jc w:val="center"/>
      </w:pPr>
      <w:r>
        <w:rPr>
          <w:i/>
          <w:iCs/>
          <w:color w:val="999999"/>
          <w:sz w:val="15"/>
          <w:szCs w:val="15"/>
        </w:rPr>
        <w:t xml:space="preserve">Revisi dan audit isi (substansi, konsistensi, bahasa, referensi, sitasi, dan validitas tautan): Juli 2026</w:t>
      </w:r>
    </w:p>
    <w:sectPr>
      <w:headerReference w:type="default" r:id="rId7"/>
      <w:footerReference w:type="default" r:id="rId8"/>
      <w:pgSz w:w="11906" w:h="16838" w:orient="portrait"/>
      <w:pgMar w:top="900" w:right="1000" w:bottom="9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Halaman </w:t>
    </w:r>
    <w:r>
      <w:rPr>
        <w:color w:val="888888"/>
        <w:sz w:val="16"/>
        <w:szCs w:val="16"/>
      </w:rPr>
      <w:fldChar w:fldCharType="begin"/>
      <w:instrText xml:space="preserve">PAGE</w:instrText>
      <w:fldChar w:fldCharType="separate"/>
      <w:fldChar w:fldCharType="end"/>
    </w:r>
    <w:r>
      <w:rPr>
        <w:color w:val="888888"/>
        <w:sz w:val="16"/>
        <w:szCs w:val="16"/>
      </w:rPr>
      <w:t xml:space="preserve"> dari </w:t>
    </w:r>
    <w:r>
      <w:rPr>
        <w:color w:val="888888"/>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888888"/>
        <w:sz w:val="15"/>
        <w:szCs w:val="15"/>
      </w:rPr>
      <w:t xml:space="preserve">PPK — Kontrasepsi Darurat pada Perkosaan dan Kegagalan Kontrasepsi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2026-08-01T05:55:16.414Z</dcterms:created>
  <dcterms:modified xsi:type="dcterms:W3CDTF">2026-08-01T05:55:16.427Z</dcterms:modified>
</cp:coreProperties>
</file>

<file path=docProps/custom.xml><?xml version="1.0" encoding="utf-8"?>
<Properties xmlns="http://schemas.openxmlformats.org/officeDocument/2006/custom-properties" xmlns:vt="http://schemas.openxmlformats.org/officeDocument/2006/docPropsVTypes"/>
</file>