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7A1F3D" w:color="7A1F3D" w:val="clear"/>
            <w:tcMar>
              <w:top w:type="dxa" w:w="500"/>
              <w:left w:type="dxa" w:w="500"/>
              <w:bottom w:type="dxa" w:w="500"/>
              <w:right w:type="dxa" w:w="500"/>
            </w:tcMar>
          </w:tcPr>
          <w:p>
            <w:r>
              <w:rPr>
                <w:b/>
                <w:bCs/>
                <w:color w:val="E9C9D5"/>
                <w:spacing w:val="20"/>
                <w:sz w:val="20"/>
                <w:szCs w:val="20"/>
              </w:rPr>
              <w:t xml:space="preserve">PANDUAN PRAKTIK KLINIS</w:t>
            </w:r>
          </w:p>
          <w:p>
            <w:pPr>
              <w:spacing w:after="120" w:before="120"/>
            </w:pPr>
            <w:r>
              <w:rPr>
                <w:b/>
                <w:bCs/>
                <w:color w:val="FFFFFF"/>
                <w:sz w:val="40"/>
                <w:szCs w:val="40"/>
              </w:rPr>
              <w:t xml:space="preserve">Masa Nifas dengan Masalah Biopsikososial</w:t>
            </w:r>
          </w:p>
          <w:p>
            <w:r>
              <w:rPr>
                <w:i/>
                <w:iCs/>
                <w:color w:val="F0DCE3"/>
                <w:sz w:val="20"/>
                <w:szCs w:val="20"/>
              </w:rPr>
              <w:t xml:space="preserve">Skrining depresi postpartum, dukungan psikososial, dan rujukan kesehatan jiwa bertingkat waktu pada periode nifas</w:t>
            </w:r>
          </w:p>
        </w:tc>
      </w:tr>
    </w:tbl>
    <w:p>
      <w:pPr>
        <w:spacing w:after="0" w:before="1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2600"/>
        <w:gridCol w:w="2075"/>
        <w:gridCol w:w="2075"/>
      </w:tblGrid>
      <w:tr>
        <w:tc>
          <w:tcPr>
            <w:tcW w:type="dxa" w:w="2600"/>
            <w:tcBorders>
              <w:top w:val="none" w:color="FFFFFF" w:sz="0"/>
              <w:left w:val="none" w:color="FFFFFF" w:sz="0"/>
              <w:bottom w:val="none" w:color="FFFFFF" w:sz="0"/>
              <w:right w:val="none" w:color="FFFFFF" w:sz="0"/>
            </w:tcBorders>
            <w:shd w:fill="F3E3E9" w:color="F3E3E9" w:val="clear"/>
            <w:tcMar>
              <w:top w:type="dxa" w:w="60"/>
              <w:left w:type="dxa" w:w="160"/>
              <w:bottom w:type="dxa" w:w="60"/>
              <w:right w:type="dxa" w:w="160"/>
            </w:tcMar>
            <w:vAlign w:val="center"/>
          </w:tcPr>
          <w:p>
            <w:pPr>
              <w:jc w:val="center"/>
            </w:pPr>
            <w:r>
              <w:rPr>
                <w:b/>
                <w:bCs/>
                <w:color w:val="7A1F3D"/>
                <w:sz w:val="17"/>
                <w:szCs w:val="17"/>
              </w:rPr>
              <w:t xml:space="preserve">BUKU SUMBER · Buku 1</w:t>
            </w:r>
          </w:p>
        </w:tc>
        <w:tc>
          <w:tcPr>
            <w:tcW w:type="dxa" w:w="2600"/>
            <w:tcBorders>
              <w:top w:val="none" w:color="FFFFFF" w:sz="0"/>
              <w:left w:val="none" w:color="FFFFFF" w:sz="0"/>
              <w:bottom w:val="none" w:color="FFFFFF" w:sz="0"/>
              <w:right w:val="none" w:color="FFFFFF" w:sz="0"/>
            </w:tcBorders>
            <w:shd w:fill="E4F1E7" w:color="E4F1E7" w:val="clear"/>
            <w:tcMar>
              <w:top w:type="dxa" w:w="60"/>
              <w:left w:type="dxa" w:w="160"/>
              <w:bottom w:type="dxa" w:w="60"/>
              <w:right w:type="dxa" w:w="160"/>
            </w:tcMar>
            <w:vAlign w:val="center"/>
          </w:tcPr>
          <w:p>
            <w:pPr>
              <w:jc w:val="center"/>
            </w:pPr>
            <w:r>
              <w:rPr>
                <w:b/>
                <w:bCs/>
                <w:color w:val="1F6B3B"/>
                <w:sz w:val="17"/>
                <w:szCs w:val="17"/>
              </w:rPr>
              <w:t xml:space="preserve">JENIS · PPK</w:t>
            </w:r>
          </w:p>
        </w:tc>
        <w:tc>
          <w:tcPr>
            <w:tcW w:type="dxa" w:w="2600"/>
            <w:tcBorders>
              <w:top w:val="none" w:color="FFFFFF" w:sz="0"/>
              <w:left w:val="none" w:color="FFFFFF" w:sz="0"/>
              <w:bottom w:val="none" w:color="FFFFFF" w:sz="0"/>
              <w:right w:val="none" w:color="FFFFFF" w:sz="0"/>
            </w:tcBorders>
            <w:shd w:fill="FCEFD9" w:color="FCEFD9" w:val="clear"/>
            <w:tcMar>
              <w:top w:type="dxa" w:w="60"/>
              <w:left w:type="dxa" w:w="160"/>
              <w:bottom w:type="dxa" w:w="60"/>
              <w:right w:type="dxa" w:w="160"/>
            </w:tcMar>
            <w:vAlign w:val="center"/>
          </w:tcPr>
          <w:p>
            <w:pPr>
              <w:jc w:val="center"/>
            </w:pPr>
            <w:r>
              <w:rPr>
                <w:b/>
                <w:bCs/>
                <w:color w:val="B5651D"/>
                <w:sz w:val="17"/>
                <w:szCs w:val="17"/>
              </w:rPr>
              <w:t xml:space="preserve">Nasional + Internasional</w:t>
            </w:r>
          </w:p>
        </w:tc>
        <w:tc>
          <w:tcPr>
            <w:tcW w:type="dxa" w:w="2600"/>
            <w:tcBorders>
              <w:top w:val="none" w:color="FFFFFF" w:sz="0"/>
              <w:left w:val="none" w:color="FFFFFF" w:sz="0"/>
              <w:bottom w:val="none" w:color="FFFFFF" w:sz="0"/>
              <w:right w:val="none" w:color="FFFFFF" w:sz="0"/>
            </w:tcBorders>
            <w:shd w:fill="F3E3E9" w:color="F3E3E9" w:val="clear"/>
            <w:tcMar>
              <w:top w:type="dxa" w:w="60"/>
              <w:left w:type="dxa" w:w="160"/>
              <w:bottom w:type="dxa" w:w="60"/>
              <w:right w:type="dxa" w:w="160"/>
            </w:tcMar>
            <w:vAlign w:val="center"/>
          </w:tcPr>
          <w:p>
            <w:pPr>
              <w:jc w:val="center"/>
            </w:pPr>
            <w:r>
              <w:rPr>
                <w:b/>
                <w:bCs/>
                <w:color w:val="7A1F3D"/>
                <w:sz w:val="17"/>
                <w:szCs w:val="17"/>
              </w:rPr>
              <w:t xml:space="preserve">Rev. Audit · Jul 2026</w:t>
            </w:r>
          </w:p>
        </w:tc>
      </w:tr>
    </w:tbl>
    <w:p>
      <w:pPr>
        <w:spacing w:after="0" w:before="220"/>
      </w:pPr>
    </w:p>
    <w:tbl>
      <w:tblPr>
        <w:tblW w:type="dxa" w:w="9350"/>
        <w:tblBorders>
          <w:top w:val="none" w:color="FFFFFF" w:sz="0"/>
          <w:left w:val="none" w:color="FFFFFF" w:sz="0"/>
          <w:bottom w:val="none" w:color="FFFFFF" w:sz="0"/>
          <w:right w:val="none" w:color="FFFFFF" w:sz="0"/>
          <w:insideH w:val="single" w:color="auto" w:sz="4"/>
          <w:insideV w:val="single" w:color="auto" w:sz="4"/>
        </w:tblBorders>
      </w:tblPr>
      <w:tblGrid>
        <w:gridCol w:w="2400"/>
        <w:gridCol w:w="6950"/>
      </w:tblGrid>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Nama Rumah Sakit</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[Nama Rumah Sakit]</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KSM / Departemen</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[Nama KSM/Departemen] — Obstetri dan Ginekologi, Subspesialis Obginsos</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Nomor Dokumen</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[Nomor Dokumen]</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Tanggal Berlaku / Tinjau Ulang</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[Tanggal Berlaku/Tinjau Ulang]</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Penulis/Penyusun</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Dr.dr. Budi Siswanto, Sp.OG., Subsp.Obginsos., SH., S.Kom.</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Penerbit</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Perpustakaan ABBA</w:t>
            </w:r>
          </w:p>
        </w:tc>
      </w:tr>
      <w:tr>
        <w:tc>
          <w:tcPr>
            <w:tcW w:type="dxa" w:w="2400"/>
            <w:tcBorders>
              <w:top w:val="none" w:color="FFFFFF" w:sz="0"/>
              <w:left w:val="none" w:color="FFFFFF" w:sz="0"/>
              <w:bottom w:val="none" w:color="FFFFFF" w:sz="0"/>
              <w:right w:val="none" w:color="FFFFFF" w:sz="0"/>
            </w:tcBorders>
            <w:tcMar>
              <w:top w:type="dxa" w:w="60"/>
              <w:left w:type="dxa" w:w="0"/>
              <w:bottom w:type="dxa" w:w="60"/>
              <w:right w:type="dxa" w:w="100"/>
            </w:tcMar>
          </w:tcPr>
          <w:p>
            <w:r>
              <w:rPr>
                <w:b/>
                <w:bCs/>
                <w:color w:val="6B6B6B"/>
                <w:sz w:val="18"/>
                <w:szCs w:val="18"/>
              </w:rPr>
              <w:t xml:space="preserve">Alamat Penerbit</w:t>
            </w:r>
          </w:p>
        </w:tc>
        <w:tc>
          <w:tcPr>
            <w:tcW w:type="dxa" w:w="6950"/>
            <w:tcBorders>
              <w:top w:val="none" w:color="FFFFFF" w:sz="0"/>
              <w:left w:val="none" w:color="FFFFFF" w:sz="0"/>
              <w:bottom w:val="none" w:color="FFFFFF" w:sz="0"/>
              <w:right w:val="none" w:color="FFFFFF" w:sz="0"/>
            </w:tcBorders>
            <w:tcMar>
              <w:top w:type="dxa" w:w="60"/>
              <w:left w:type="dxa" w:w="0"/>
              <w:bottom w:type="dxa" w:w="60"/>
              <w:right w:type="dxa" w:w="0"/>
            </w:tcMar>
          </w:tcPr>
          <w:p>
            <w:r>
              <w:rPr>
                <w:color w:val="2A2A2A"/>
                <w:sz w:val="18"/>
                <w:szCs w:val="18"/>
              </w:rPr>
              <w:t xml:space="preserve">Jl Danau Kerinci No 9 Malang</w:t>
            </w:r>
          </w:p>
        </w:tc>
      </w:tr>
    </w:tbl>
    <w:p>
      <w:r>
        <w:br w:type="page"/>
      </w: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 PENGERTIAN (DEFINISI)</w:t>
      </w:r>
    </w:p>
    <w:p>
      <w:pPr>
        <w:pBdr>
          <w:left w:val="single" w:color="E6C4D1" w:sz="4"/>
        </w:pBdr>
        <w:spacing w:after="80" w:before="80" w:line="276"/>
        <w:ind w:left="100"/>
      </w:pPr>
      <w:r>
        <w:rPr>
          <w:color w:val="2A2A2A"/>
          <w:sz w:val="21"/>
          <w:szCs w:val="21"/>
        </w:rPr>
        <w:t xml:space="preserve">Masa nifas dengan masalah biopsikososial — dalam Standar Kompetensi Nasional disebut sebagai "Masa nifas dengan masalah biopsikososiokultural" (ICD-10: O99.3 / Z60 / F53; ICD-11: 6A62) — adalah kondisi pada periode nifas (hingga 12 bulan pascasalin untuk kepentingan skrining kesehatan jiwa, dengan fokus intensif pada 6 minggu pertama) di mana ibu mengalami gangguan kesejahteraan biologis, psikologis, dan/atau sosial yang bermakna secara klinis, meliputi spektrum dari postpartum blues, depresi postpartum, gangguan cemas postpartum, hingga psikosis postpartum, yang dipengaruhi faktor biologis, psikologis, dan sosial seperti kurangnya dukungan keluarga, stigma, kekerasan dalam rumah tangga, kehamilan tidak diinginkan, kemiskinan, atau isolasi sosial.</w:t>
      </w:r>
    </w:p>
    <w:p>
      <w:pPr>
        <w:pBdr>
          <w:left w:val="single" w:color="E6C4D1" w:sz="4"/>
        </w:pBdr>
        <w:spacing w:after="80" w:before="80" w:line="276"/>
        <w:ind w:left="100"/>
      </w:pPr>
      <w:r>
        <w:rPr>
          <w:color w:val="2A2A2A"/>
          <w:sz w:val="21"/>
          <w:szCs w:val="21"/>
        </w:rPr>
        <w:t xml:space="preserve">Kondisi ini dibedakan dari respons emosional normal pascasalin (baby blues) berdasarkan durasi, intensitas gejala, derajat gangguan fungsi harian, serta ada tidaknya risiko membahayakan diri sendiri atau bayi. Penatalaksanaan kasus ini merupakan salah satu kompetensi inti Dokter Spesialis Obstetri dan Ginekologi Subspesialis Obstetri Ginekologi Sosial sebagaimana diatur dalam Keputusan Ketua Konsil Kesehatan Indonesia Nomor HK.01.02/KKI/1318/2026.</w:t>
      </w:r>
    </w:p>
    <w:p>
      <w:pPr>
        <w:pBdr>
          <w:left w:val="single" w:color="E6C4D1" w:sz="4"/>
        </w:pBdr>
        <w:spacing w:after="80" w:before="80" w:line="276"/>
        <w:ind w:left="100"/>
      </w:pPr>
      <w:r>
        <w:rPr>
          <w:b/>
          <w:bCs/>
          <w:i/>
          <w:iCs/>
          <w:color w:val="7A1F3D"/>
          <w:sz w:val="21"/>
          <w:szCs w:val="21"/>
        </w:rPr>
        <w:t xml:space="preserve">Catatan penyelarasan istilah: </w:t>
      </w:r>
      <w:r>
        <w:rPr>
          <w:i/>
          <w:iCs/>
          <w:color w:val="6B6B6B"/>
          <w:sz w:val="19"/>
          <w:szCs w:val="19"/>
        </w:rPr>
        <w:t xml:space="preserve">istilah "biopsikososial" pada judul dokumen ini digunakan secara konsisten di seluruh bagian sebagai padanan operasional dari "biopsikososiokultural" pada nomenklatur nasional; kedua istilah merujuk pada entitas klinis yang sama dan tidak dibedakan maknanya dalam PPK ini.</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2. ANAMNESIS</w:t>
      </w:r>
    </w:p>
    <w:p>
      <w:pPr>
        <w:spacing w:after="60" w:before="140"/>
        <w:ind w:left="100"/>
      </w:pPr>
      <w:r>
        <w:rPr>
          <w:b/>
          <w:bCs/>
          <w:color w:val="7A1F3D"/>
          <w:sz w:val="21"/>
          <w:szCs w:val="21"/>
        </w:rPr>
        <w:t xml:space="preserve">Riwayat Psikologis Saat Ini</w:t>
      </w:r>
    </w:p>
    <w:p>
      <w:pPr>
        <w:pStyle w:val="ListParagraph"/>
        <w:numPr>
          <w:ilvl w:val="0"/>
          <w:numId w:val="2"/>
        </w:numPr>
        <w:spacing w:after="40" w:before="40" w:line="264"/>
      </w:pPr>
      <w:r>
        <w:rPr>
          <w:color w:val="2A2A2A"/>
          <w:sz w:val="21"/>
          <w:szCs w:val="21"/>
        </w:rPr>
        <w:t xml:space="preserve">Onset, durasi, dan progresivitas gejala mood (sedih, menangis tanpa sebab jelas, mudah marah, cemas berlebihan)</w:t>
      </w:r>
    </w:p>
    <w:p>
      <w:pPr>
        <w:pStyle w:val="ListParagraph"/>
        <w:numPr>
          <w:ilvl w:val="0"/>
          <w:numId w:val="2"/>
        </w:numPr>
        <w:spacing w:after="40" w:before="40" w:line="264"/>
      </w:pPr>
      <w:r>
        <w:rPr>
          <w:color w:val="2A2A2A"/>
          <w:sz w:val="21"/>
          <w:szCs w:val="21"/>
        </w:rPr>
        <w:t xml:space="preserve">Perubahan pola tidur dan nafsu makan di luar penyesuaian normal pascasalin</w:t>
      </w:r>
    </w:p>
    <w:p>
      <w:pPr>
        <w:pStyle w:val="ListParagraph"/>
        <w:numPr>
          <w:ilvl w:val="0"/>
          <w:numId w:val="2"/>
        </w:numPr>
        <w:spacing w:after="40" w:before="40" w:line="264"/>
      </w:pPr>
      <w:r>
        <w:rPr>
          <w:color w:val="2A2A2A"/>
          <w:sz w:val="21"/>
          <w:szCs w:val="21"/>
        </w:rPr>
        <w:t xml:space="preserve">Anhedonia, rasa bersalah berlebihan, atau perasaan tidak mampu sebagai ibu</w:t>
      </w:r>
    </w:p>
    <w:p>
      <w:pPr>
        <w:pStyle w:val="ListParagraph"/>
        <w:numPr>
          <w:ilvl w:val="0"/>
          <w:numId w:val="2"/>
        </w:numPr>
        <w:spacing w:after="40" w:before="40" w:line="264"/>
      </w:pPr>
      <w:r>
        <w:rPr>
          <w:color w:val="2A2A2A"/>
          <w:sz w:val="21"/>
          <w:szCs w:val="21"/>
        </w:rPr>
        <w:t xml:space="preserve">Pikiran mengganggu (intrusive thoughts) terkait bayi, dan sikap ibu terhadap pikiran tersebut</w:t>
      </w:r>
    </w:p>
    <w:p>
      <w:pPr>
        <w:pStyle w:val="ListParagraph"/>
        <w:numPr>
          <w:ilvl w:val="0"/>
          <w:numId w:val="2"/>
        </w:numPr>
        <w:spacing w:after="40" w:before="40" w:line="264"/>
      </w:pPr>
      <w:r>
        <w:rPr>
          <w:color w:val="2A2A2A"/>
          <w:sz w:val="21"/>
          <w:szCs w:val="21"/>
        </w:rPr>
        <w:t xml:space="preserve">Ideasi bunuh diri atau menyakiti diri sendiri — WAJIB ditanyakan langsung dan eksplisit pada setiap pasien</w:t>
      </w:r>
    </w:p>
    <w:p>
      <w:pPr>
        <w:pStyle w:val="ListParagraph"/>
        <w:numPr>
          <w:ilvl w:val="0"/>
          <w:numId w:val="2"/>
        </w:numPr>
        <w:spacing w:after="40" w:before="40" w:line="264"/>
      </w:pPr>
      <w:r>
        <w:rPr>
          <w:color w:val="2A2A2A"/>
          <w:sz w:val="21"/>
          <w:szCs w:val="21"/>
        </w:rPr>
        <w:t xml:space="preserve">Gejala psikotik: halusinasi, waham, disorganisasi perilaku (kegawatdaruratan psikiatri)</w:t>
      </w:r>
    </w:p>
    <w:p>
      <w:pPr>
        <w:spacing w:after="60" w:before="140"/>
        <w:ind w:left="100"/>
      </w:pPr>
      <w:r>
        <w:rPr>
          <w:b/>
          <w:bCs/>
          <w:color w:val="7A1F3D"/>
          <w:sz w:val="21"/>
          <w:szCs w:val="21"/>
        </w:rPr>
        <w:t xml:space="preserve">Riwayat Psikososial dan Faktor Risiko</w:t>
      </w:r>
    </w:p>
    <w:p>
      <w:pPr>
        <w:pStyle w:val="ListParagraph"/>
        <w:numPr>
          <w:ilvl w:val="0"/>
          <w:numId w:val="2"/>
        </w:numPr>
        <w:spacing w:after="40" w:before="40" w:line="264"/>
      </w:pPr>
      <w:r>
        <w:rPr>
          <w:color w:val="2A2A2A"/>
          <w:sz w:val="21"/>
          <w:szCs w:val="21"/>
        </w:rPr>
        <w:t xml:space="preserve">Riwayat depresi/gangguan jiwa sebelumnya, termasuk selama kehamilan ini</w:t>
      </w:r>
    </w:p>
    <w:p>
      <w:pPr>
        <w:pStyle w:val="ListParagraph"/>
        <w:numPr>
          <w:ilvl w:val="0"/>
          <w:numId w:val="2"/>
        </w:numPr>
        <w:spacing w:after="40" w:before="40" w:line="264"/>
      </w:pPr>
      <w:r>
        <w:rPr>
          <w:color w:val="2A2A2A"/>
          <w:sz w:val="21"/>
          <w:szCs w:val="21"/>
        </w:rPr>
        <w:t xml:space="preserve">Riwayat kehamilan tidak diinginkan (KTD), status pernikahan, dan penerimaan kehamilan</w:t>
      </w:r>
    </w:p>
    <w:p>
      <w:pPr>
        <w:pStyle w:val="ListParagraph"/>
        <w:numPr>
          <w:ilvl w:val="0"/>
          <w:numId w:val="2"/>
        </w:numPr>
        <w:spacing w:after="40" w:before="40" w:line="264"/>
      </w:pPr>
      <w:r>
        <w:rPr>
          <w:color w:val="2A2A2A"/>
          <w:sz w:val="21"/>
          <w:szCs w:val="21"/>
        </w:rPr>
        <w:t xml:space="preserve">Dukungan pasangan dan keluarga; indikasi kekerasan dalam rumah tangga (KDRT) — ditanyakan secara privat tanpa kehadiran pasangan</w:t>
      </w:r>
    </w:p>
    <w:p>
      <w:pPr>
        <w:pStyle w:val="ListParagraph"/>
        <w:numPr>
          <w:ilvl w:val="0"/>
          <w:numId w:val="2"/>
        </w:numPr>
        <w:spacing w:after="40" w:before="40" w:line="264"/>
      </w:pPr>
      <w:r>
        <w:rPr>
          <w:color w:val="2A2A2A"/>
          <w:sz w:val="21"/>
          <w:szCs w:val="21"/>
        </w:rPr>
        <w:t xml:space="preserve">Status ekonomi, akses layanan kesehatan, dan beban pengasuhan (multipara, bayi dengan kebutuhan khusus)</w:t>
      </w:r>
    </w:p>
    <w:p>
      <w:pPr>
        <w:pStyle w:val="ListParagraph"/>
        <w:numPr>
          <w:ilvl w:val="0"/>
          <w:numId w:val="2"/>
        </w:numPr>
        <w:spacing w:after="40" w:before="40" w:line="264"/>
      </w:pPr>
      <w:r>
        <w:rPr>
          <w:color w:val="2A2A2A"/>
          <w:sz w:val="21"/>
          <w:szCs w:val="21"/>
        </w:rPr>
        <w:t xml:space="preserve">Komplikasi persalinan/kehamilan yang berpotensi traumatik (perdarahan masif, tindakan darurat, kematian janin/neonatus)</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3. PEMERIKSAAN FISIK</w:t>
      </w:r>
    </w:p>
    <w:p>
      <w:pPr>
        <w:pBdr>
          <w:left w:val="single" w:color="E6C4D1" w:sz="4"/>
        </w:pBdr>
        <w:spacing w:after="80" w:before="80" w:line="276"/>
        <w:ind w:left="100"/>
      </w:pPr>
      <w:r>
        <w:rPr>
          <w:color w:val="2A2A2A"/>
          <w:sz w:val="21"/>
          <w:szCs w:val="21"/>
        </w:rPr>
        <w:t xml:space="preserve">Pemeriksaan fisik umum ditujukan menyingkirkan penyebab organik yang dapat menyerupai atau memperberat gejala psikiatri pascasalin.</w:t>
      </w:r>
    </w:p>
    <w:p>
      <w:pPr>
        <w:pStyle w:val="ListParagraph"/>
        <w:numPr>
          <w:ilvl w:val="0"/>
          <w:numId w:val="2"/>
        </w:numPr>
        <w:spacing w:after="40" w:before="40" w:line="264"/>
      </w:pPr>
      <w:r>
        <w:rPr>
          <w:color w:val="2A2A2A"/>
          <w:sz w:val="21"/>
          <w:szCs w:val="21"/>
        </w:rPr>
        <w:t xml:space="preserve">Tanda vital lengkap, termasuk suhu (menyingkirkan sepsis puerperalis sebagai pemicu delirium/perubahan mental)</w:t>
      </w:r>
    </w:p>
    <w:p>
      <w:pPr>
        <w:pStyle w:val="ListParagraph"/>
        <w:numPr>
          <w:ilvl w:val="0"/>
          <w:numId w:val="2"/>
        </w:numPr>
        <w:spacing w:after="40" w:before="40" w:line="264"/>
      </w:pPr>
      <w:r>
        <w:rPr>
          <w:color w:val="2A2A2A"/>
          <w:sz w:val="21"/>
          <w:szCs w:val="21"/>
        </w:rPr>
        <w:t xml:space="preserve">Status generalis: tanda anemia berat, disfungsi tiroid (eksoftalmus, tremor, takikardia)</w:t>
      </w:r>
    </w:p>
    <w:p>
      <w:pPr>
        <w:pStyle w:val="ListParagraph"/>
        <w:numPr>
          <w:ilvl w:val="0"/>
          <w:numId w:val="2"/>
        </w:numPr>
        <w:spacing w:after="40" w:before="40" w:line="264"/>
      </w:pPr>
      <w:r>
        <w:rPr>
          <w:color w:val="2A2A2A"/>
          <w:sz w:val="21"/>
          <w:szCs w:val="21"/>
        </w:rPr>
        <w:t xml:space="preserve">Status mental: penampilan, kontak mata, psikomotor, afek, isi pikir, orientasi, dan tilikan (insight)</w:t>
      </w:r>
    </w:p>
    <w:p>
      <w:pPr>
        <w:pStyle w:val="ListParagraph"/>
        <w:numPr>
          <w:ilvl w:val="0"/>
          <w:numId w:val="2"/>
        </w:numPr>
        <w:spacing w:after="40" w:before="40" w:line="264"/>
      </w:pPr>
      <w:r>
        <w:rPr>
          <w:color w:val="2A2A2A"/>
          <w:sz w:val="21"/>
          <w:szCs w:val="21"/>
        </w:rPr>
        <w:t xml:space="preserve">Penilaian keselamatan segera: tanda cedera fisik pada ibu, tanda pengabaian perawatan bayi</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4. KRITERIA DIAGNOSIS</w:t>
      </w:r>
    </w:p>
    <w:p>
      <w:pPr>
        <w:pBdr>
          <w:left w:val="single" w:color="E6C4D1" w:sz="4"/>
        </w:pBdr>
        <w:spacing w:after="80" w:before="80" w:line="276"/>
        <w:ind w:left="100"/>
      </w:pPr>
      <w:r>
        <w:rPr>
          <w:color w:val="2A2A2A"/>
          <w:sz w:val="21"/>
          <w:szCs w:val="21"/>
        </w:rPr>
        <w:t xml:space="preserve">Skrining terstruktur menggunakan Edinburgh Postnatal Depression Scale (EPDS) — kuesioner 10 item yang pertama kali dikembangkan dan divalidasi oleh Cox, Holden, dan Sagovsky (1987), skor tiap item 0–3, skor total 0–30 — dilakukan pada seluruh pasien nifas, idealnya sebelum pulang rawat inap dan diulang pada kunjungan nifas berikutnya, sejalan dengan ACOG Clinical Practice Guideline No. 4 (2023) dan NICE Clinical Guideline 192 yang merekomendasikan skrining depresi dan ansietas perinatal minimal satu kali pada periode perinatal.</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4000"/>
      </w:tblGrid>
      <w:tr>
        <w:trPr>
          <w:tblHeader/>
        </w:trPr>
        <w:tc>
          <w:tcPr>
            <w:tcW w:type="dxa" w:w="2400"/>
            <w:shd w:fill="7A1F3D" w:color="7A1F3D" w:val="clear"/>
            <w:tcMar>
              <w:top w:type="dxa" w:w="100"/>
              <w:left w:type="dxa" w:w="120"/>
              <w:bottom w:type="dxa" w:w="100"/>
              <w:right w:type="dxa" w:w="120"/>
            </w:tcMar>
            <w:vAlign w:val="center"/>
          </w:tcPr>
          <w:p>
            <w:r>
              <w:rPr>
                <w:b/>
                <w:bCs/>
                <w:color w:val="FFFFFF"/>
                <w:sz w:val="18"/>
                <w:szCs w:val="18"/>
              </w:rPr>
              <w:t xml:space="preserve">Rentang Skor EPDS</w:t>
            </w:r>
          </w:p>
        </w:tc>
        <w:tc>
          <w:tcPr>
            <w:tcW w:type="dxa" w:w="3200"/>
            <w:shd w:fill="7A1F3D" w:color="7A1F3D" w:val="clear"/>
            <w:tcMar>
              <w:top w:type="dxa" w:w="100"/>
              <w:left w:type="dxa" w:w="120"/>
              <w:bottom w:type="dxa" w:w="100"/>
              <w:right w:type="dxa" w:w="120"/>
            </w:tcMar>
            <w:vAlign w:val="center"/>
          </w:tcPr>
          <w:p>
            <w:r>
              <w:rPr>
                <w:b/>
                <w:bCs/>
                <w:color w:val="FFFFFF"/>
                <w:sz w:val="18"/>
                <w:szCs w:val="18"/>
              </w:rPr>
              <w:t xml:space="preserve">Interpretasi</w:t>
            </w:r>
          </w:p>
        </w:tc>
        <w:tc>
          <w:tcPr>
            <w:tcW w:type="dxa" w:w="4000"/>
            <w:shd w:fill="7A1F3D" w:color="7A1F3D" w:val="clear"/>
            <w:tcMar>
              <w:top w:type="dxa" w:w="100"/>
              <w:left w:type="dxa" w:w="120"/>
              <w:bottom w:type="dxa" w:w="100"/>
              <w:right w:type="dxa" w:w="120"/>
            </w:tcMar>
            <w:vAlign w:val="center"/>
          </w:tcPr>
          <w:p>
            <w:r>
              <w:rPr>
                <w:b/>
                <w:bCs/>
                <w:color w:val="FFFFFF"/>
                <w:sz w:val="18"/>
                <w:szCs w:val="18"/>
              </w:rPr>
              <w:t xml:space="preserve">Tindak Lanjut Minimal</w:t>
            </w:r>
          </w:p>
        </w:tc>
      </w:tr>
      <w:tr>
        <w:tc>
          <w:tcPr>
            <w:tcW w:type="dxa" w:w="2400"/>
            <w:shd w:fill="FFFFFF" w:color="FFFFFF" w:val="clear"/>
            <w:tcMar>
              <w:top w:type="dxa" w:w="90"/>
              <w:left w:type="dxa" w:w="120"/>
              <w:bottom w:type="dxa" w:w="90"/>
              <w:right w:type="dxa" w:w="120"/>
            </w:tcMar>
            <w:vAlign w:val="center"/>
          </w:tcPr>
          <w:p>
            <w:r>
              <w:rPr>
                <w:color w:val="2A2A2A"/>
                <w:sz w:val="18"/>
                <w:szCs w:val="18"/>
              </w:rPr>
              <w:t xml:space="preserve">0 – 9</w:t>
            </w:r>
          </w:p>
        </w:tc>
        <w:tc>
          <w:tcPr>
            <w:tcW w:type="dxa" w:w="3200"/>
            <w:shd w:fill="FFFFFF" w:color="FFFFFF" w:val="clear"/>
            <w:tcMar>
              <w:top w:type="dxa" w:w="90"/>
              <w:left w:type="dxa" w:w="120"/>
              <w:bottom w:type="dxa" w:w="90"/>
              <w:right w:type="dxa" w:w="120"/>
            </w:tcMar>
            <w:vAlign w:val="center"/>
          </w:tcPr>
          <w:p>
            <w:r>
              <w:rPr>
                <w:color w:val="2A2A2A"/>
                <w:sz w:val="18"/>
                <w:szCs w:val="18"/>
              </w:rPr>
              <w:t xml:space="preserve">Risiko rendah gejala depresi postpartum</w:t>
            </w:r>
          </w:p>
        </w:tc>
        <w:tc>
          <w:tcPr>
            <w:tcW w:type="dxa" w:w="4000"/>
            <w:shd w:fill="FFFFFF" w:color="FFFFFF" w:val="clear"/>
            <w:tcMar>
              <w:top w:type="dxa" w:w="90"/>
              <w:left w:type="dxa" w:w="120"/>
              <w:bottom w:type="dxa" w:w="90"/>
              <w:right w:type="dxa" w:w="120"/>
            </w:tcMar>
            <w:vAlign w:val="center"/>
          </w:tcPr>
          <w:p>
            <w:r>
              <w:rPr>
                <w:color w:val="2A2A2A"/>
                <w:sz w:val="18"/>
                <w:szCs w:val="18"/>
              </w:rPr>
              <w:t xml:space="preserve">Edukasi rutin, ulangi skrining pada kunjungan nifas berikutnya</w:t>
            </w:r>
          </w:p>
        </w:tc>
      </w:tr>
      <w:tr>
        <w:tc>
          <w:tcPr>
            <w:tcW w:type="dxa" w:w="2400"/>
            <w:shd w:fill="F3E3E9" w:color="F3E3E9" w:val="clear"/>
            <w:tcMar>
              <w:top w:type="dxa" w:w="90"/>
              <w:left w:type="dxa" w:w="120"/>
              <w:bottom w:type="dxa" w:w="90"/>
              <w:right w:type="dxa" w:w="120"/>
            </w:tcMar>
            <w:vAlign w:val="center"/>
          </w:tcPr>
          <w:p>
            <w:r>
              <w:rPr>
                <w:color w:val="2A2A2A"/>
                <w:sz w:val="18"/>
                <w:szCs w:val="18"/>
              </w:rPr>
              <w:t xml:space="preserve">10 – 12</w:t>
            </w:r>
          </w:p>
        </w:tc>
        <w:tc>
          <w:tcPr>
            <w:tcW w:type="dxa" w:w="3200"/>
            <w:shd w:fill="F3E3E9" w:color="F3E3E9" w:val="clear"/>
            <w:tcMar>
              <w:top w:type="dxa" w:w="90"/>
              <w:left w:type="dxa" w:w="120"/>
              <w:bottom w:type="dxa" w:w="90"/>
              <w:right w:type="dxa" w:w="120"/>
            </w:tcMar>
            <w:vAlign w:val="center"/>
          </w:tcPr>
          <w:p>
            <w:r>
              <w:rPr>
                <w:color w:val="2A2A2A"/>
                <w:sz w:val="18"/>
                <w:szCs w:val="18"/>
              </w:rPr>
              <w:t xml:space="preserve">Kemungkinan gejala depresi ringan–sedang</w:t>
            </w:r>
          </w:p>
        </w:tc>
        <w:tc>
          <w:tcPr>
            <w:tcW w:type="dxa" w:w="4000"/>
            <w:shd w:fill="F3E3E9" w:color="F3E3E9" w:val="clear"/>
            <w:tcMar>
              <w:top w:type="dxa" w:w="90"/>
              <w:left w:type="dxa" w:w="120"/>
              <w:bottom w:type="dxa" w:w="90"/>
              <w:right w:type="dxa" w:w="120"/>
            </w:tcMar>
            <w:vAlign w:val="center"/>
          </w:tcPr>
          <w:p>
            <w:r>
              <w:rPr>
                <w:color w:val="2A2A2A"/>
                <w:sz w:val="18"/>
                <w:szCs w:val="18"/>
              </w:rPr>
              <w:t xml:space="preserve">Rujukan terjadwal ke layanan kesehatan jiwa/psikolog dalam 1–2 minggu, pemantauan aktif</w:t>
            </w:r>
          </w:p>
        </w:tc>
      </w:tr>
      <w:tr>
        <w:tc>
          <w:tcPr>
            <w:tcW w:type="dxa" w:w="2400"/>
            <w:shd w:fill="FFFFFF" w:color="FFFFFF" w:val="clear"/>
            <w:tcMar>
              <w:top w:type="dxa" w:w="90"/>
              <w:left w:type="dxa" w:w="120"/>
              <w:bottom w:type="dxa" w:w="90"/>
              <w:right w:type="dxa" w:w="120"/>
            </w:tcMar>
            <w:vAlign w:val="center"/>
          </w:tcPr>
          <w:p>
            <w:r>
              <w:rPr>
                <w:color w:val="2A2A2A"/>
                <w:sz w:val="18"/>
                <w:szCs w:val="18"/>
              </w:rPr>
              <w:t xml:space="preserve">13 – 30</w:t>
            </w:r>
          </w:p>
        </w:tc>
        <w:tc>
          <w:tcPr>
            <w:tcW w:type="dxa" w:w="3200"/>
            <w:shd w:fill="FFFFFF" w:color="FFFFFF" w:val="clear"/>
            <w:tcMar>
              <w:top w:type="dxa" w:w="90"/>
              <w:left w:type="dxa" w:w="120"/>
              <w:bottom w:type="dxa" w:w="90"/>
              <w:right w:type="dxa" w:w="120"/>
            </w:tcMar>
            <w:vAlign w:val="center"/>
          </w:tcPr>
          <w:p>
            <w:r>
              <w:rPr>
                <w:color w:val="2A2A2A"/>
                <w:sz w:val="18"/>
                <w:szCs w:val="18"/>
              </w:rPr>
              <w:t xml:space="preserve">Kemungkinan besar depresi postpartum sedang–berat</w:t>
            </w:r>
          </w:p>
        </w:tc>
        <w:tc>
          <w:tcPr>
            <w:tcW w:type="dxa" w:w="4000"/>
            <w:shd w:fill="FFFFFF" w:color="FFFFFF" w:val="clear"/>
            <w:tcMar>
              <w:top w:type="dxa" w:w="90"/>
              <w:left w:type="dxa" w:w="120"/>
              <w:bottom w:type="dxa" w:w="90"/>
              <w:right w:type="dxa" w:w="120"/>
            </w:tcMar>
            <w:vAlign w:val="center"/>
          </w:tcPr>
          <w:p>
            <w:r>
              <w:rPr>
                <w:color w:val="2A2A2A"/>
                <w:sz w:val="18"/>
                <w:szCs w:val="18"/>
              </w:rPr>
              <w:t xml:space="preserve">Rujukan psikiatri dalam 24 jam, evaluasi risiko bunuh diri terstruktur</w:t>
            </w:r>
          </w:p>
        </w:tc>
      </w:tr>
      <w:tr>
        <w:tc>
          <w:tcPr>
            <w:tcW w:type="dxa" w:w="2400"/>
            <w:shd w:fill="F3E3E9" w:color="F3E3E9" w:val="clear"/>
            <w:tcMar>
              <w:top w:type="dxa" w:w="90"/>
              <w:left w:type="dxa" w:w="120"/>
              <w:bottom w:type="dxa" w:w="90"/>
              <w:right w:type="dxa" w:w="120"/>
            </w:tcMar>
            <w:vAlign w:val="center"/>
          </w:tcPr>
          <w:p>
            <w:r>
              <w:rPr>
                <w:color w:val="2A2A2A"/>
                <w:sz w:val="18"/>
                <w:szCs w:val="18"/>
              </w:rPr>
              <w:t xml:space="preserve">Item 10 skor 1–3 (berapa pun total skor)</w:t>
            </w:r>
          </w:p>
        </w:tc>
        <w:tc>
          <w:tcPr>
            <w:tcW w:type="dxa" w:w="3200"/>
            <w:shd w:fill="F3E3E9" w:color="F3E3E9" w:val="clear"/>
            <w:tcMar>
              <w:top w:type="dxa" w:w="90"/>
              <w:left w:type="dxa" w:w="120"/>
              <w:bottom w:type="dxa" w:w="90"/>
              <w:right w:type="dxa" w:w="120"/>
            </w:tcMar>
            <w:vAlign w:val="center"/>
          </w:tcPr>
          <w:p>
            <w:r>
              <w:rPr>
                <w:color w:val="2A2A2A"/>
                <w:sz w:val="18"/>
                <w:szCs w:val="18"/>
              </w:rPr>
              <w:t xml:space="preserve">Ideasi menyakiti diri sendiri</w:t>
            </w:r>
          </w:p>
        </w:tc>
        <w:tc>
          <w:tcPr>
            <w:tcW w:type="dxa" w:w="4000"/>
            <w:shd w:fill="F3E3E9" w:color="F3E3E9" w:val="clear"/>
            <w:tcMar>
              <w:top w:type="dxa" w:w="90"/>
              <w:left w:type="dxa" w:w="120"/>
              <w:bottom w:type="dxa" w:w="90"/>
              <w:right w:type="dxa" w:w="120"/>
            </w:tcMar>
            <w:vAlign w:val="center"/>
          </w:tcPr>
          <w:p>
            <w:r>
              <w:rPr>
                <w:color w:val="2A2A2A"/>
                <w:sz w:val="18"/>
                <w:szCs w:val="18"/>
              </w:rPr>
              <w:t xml:space="preserve">Evaluasi segera (mendesak); bila disertai rencana/niat aktif → rujukan mendesak &lt;2 jam dengan pengawasan 1:1</w:t>
            </w:r>
          </w:p>
        </w:tc>
      </w:tr>
    </w:tbl>
    <w:p>
      <w:pPr>
        <w:spacing w:after="0" w:before="100"/>
      </w:pPr>
      <w:r>
        <w:rPr>
          <w:b/>
          <w:bCs/>
          <w:i/>
          <w:iCs/>
          <w:color w:val="7A1F3D"/>
          <w:sz w:val="18"/>
          <w:szCs w:val="18"/>
        </w:rPr>
        <w:t xml:space="preserve">Catatan validitas lokal: </w:t>
      </w:r>
      <w:r>
        <w:rPr>
          <w:i/>
          <w:iCs/>
          <w:color w:val="6B6B6B"/>
          <w:sz w:val="18"/>
          <w:szCs w:val="18"/>
        </w:rPr>
        <w:t xml:space="preserve">ambang skor pada tabel di atas mengikuti standar validasi asli EPDS. Studi adaptasi lintas budaya versi Bahasa Indonesia (Hutauruk, Jurnal Psikologi Universitas Gunadarma) serta studi validasi regional lain melaporkan variasi titik potong (9/10 hingga 12/13) bergantung populasi studi; klinisi tetap menggunakan penilaian klinis holistik di samping skor EPDS, terutama pada populasi dengan literasi kesehatan jiwa yang beragam.</w:t>
      </w:r>
    </w:p>
    <w:p>
      <w:pPr>
        <w:spacing w:after="0" w:before="140"/>
      </w:pPr>
    </w:p>
    <w:p>
      <w:pPr>
        <w:spacing w:after="60" w:before="140"/>
        <w:ind w:left="100"/>
      </w:pPr>
      <w:r>
        <w:rPr>
          <w:b/>
          <w:bCs/>
          <w:color w:val="7A1F3D"/>
          <w:sz w:val="21"/>
          <w:szCs w:val="21"/>
        </w:rPr>
        <w:t xml:space="preserve">Kriteria Diagnosis Klinis Tambahan (DSM-5-TR, onset peripartum)</w:t>
      </w:r>
    </w:p>
    <w:p>
      <w:pPr>
        <w:pStyle w:val="ListParagraph"/>
        <w:numPr>
          <w:ilvl w:val="0"/>
          <w:numId w:val="2"/>
        </w:numPr>
        <w:spacing w:after="40" w:before="40" w:line="264"/>
      </w:pPr>
      <w:r>
        <w:rPr>
          <w:color w:val="2A2A2A"/>
          <w:sz w:val="21"/>
          <w:szCs w:val="21"/>
        </w:rPr>
        <w:t xml:space="preserve">Episode Depresi Berat dengan onset peripartum: ≥5 gejala inti (mood depresi/anhedonia, gangguan tidur/nafsu makan, retardasi/agitasi psikomotor, kelelahan, rasa bersalah, konsentrasi buruk, ideasi bunuh diri) selama ≥2 minggu, onset dalam 4 minggu pascasalin, disertai gangguan fungsi bermakna</w:t>
      </w:r>
    </w:p>
    <w:p>
      <w:pPr>
        <w:pStyle w:val="ListParagraph"/>
        <w:numPr>
          <w:ilvl w:val="0"/>
          <w:numId w:val="2"/>
        </w:numPr>
        <w:spacing w:after="40" w:before="40" w:line="264"/>
      </w:pPr>
      <w:r>
        <w:rPr>
          <w:color w:val="2A2A2A"/>
          <w:sz w:val="21"/>
          <w:szCs w:val="21"/>
        </w:rPr>
        <w:t xml:space="preserve">Postpartum blues: gejala ringan-transien, onset hari ke-3–5, menghilang spontan ≤2 minggu tanpa gangguan fungsi berat — BUKAN indikasi rujukan psikiatri rutin</w:t>
      </w:r>
    </w:p>
    <w:p>
      <w:pPr>
        <w:pStyle w:val="ListParagraph"/>
        <w:numPr>
          <w:ilvl w:val="0"/>
          <w:numId w:val="2"/>
        </w:numPr>
        <w:spacing w:after="40" w:before="40" w:line="264"/>
      </w:pPr>
      <w:r>
        <w:rPr>
          <w:color w:val="2A2A2A"/>
          <w:sz w:val="21"/>
          <w:szCs w:val="21"/>
        </w:rPr>
        <w:t xml:space="preserve">Psikosis postpartum: onset akut (biasanya 2 minggu pertama), disertai waham, halusinasi, disorganisasi berat, atau perubahan kesadaran fluktuatif — kegawatdaruratan mutlak</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5. DIAGNOSIS KERJA</w:t>
      </w:r>
    </w:p>
    <w:p>
      <w:pPr>
        <w:pStyle w:val="ListParagraph"/>
        <w:numPr>
          <w:ilvl w:val="0"/>
          <w:numId w:val="2"/>
        </w:numPr>
        <w:spacing w:after="40" w:before="40" w:line="264"/>
      </w:pPr>
      <w:r>
        <w:rPr>
          <w:color w:val="2A2A2A"/>
          <w:sz w:val="21"/>
          <w:szCs w:val="21"/>
        </w:rPr>
        <w:t xml:space="preserve">Depresi Postpartum (Episode Depresi Berat, onset peripartum) — ditegakkan bila EPDS ≥ 13 dan memenuhi kriteria klinis DSM-5-TR</w:t>
      </w:r>
    </w:p>
    <w:p>
      <w:pPr>
        <w:pStyle w:val="ListParagraph"/>
        <w:numPr>
          <w:ilvl w:val="0"/>
          <w:numId w:val="2"/>
        </w:numPr>
        <w:spacing w:after="40" w:before="40" w:line="264"/>
      </w:pPr>
      <w:r>
        <w:rPr>
          <w:color w:val="2A2A2A"/>
          <w:sz w:val="21"/>
          <w:szCs w:val="21"/>
        </w:rPr>
        <w:t xml:space="preserve">Gangguan Cemas Postpartum — bila gejala cemas dominan dengan atau tanpa gejala depresi bermakna</w:t>
      </w:r>
    </w:p>
    <w:p>
      <w:pPr>
        <w:pStyle w:val="ListParagraph"/>
        <w:numPr>
          <w:ilvl w:val="0"/>
          <w:numId w:val="2"/>
        </w:numPr>
        <w:spacing w:after="40" w:before="40" w:line="264"/>
      </w:pPr>
      <w:r>
        <w:rPr>
          <w:color w:val="2A2A2A"/>
          <w:sz w:val="21"/>
          <w:szCs w:val="21"/>
        </w:rPr>
        <w:t xml:space="preserve">Masalah Biopsikososial Pascasalin dengan Faktor Risiko Sosial Signifikan (mis. terkait KDRT/KTD) — bila EPDS 10–12 atau EPDS rendah namun terdapat faktor risiko sosial berat yang memerlukan intervensi</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6. DIAGNOSIS BANDING</w:t>
      </w:r>
    </w:p>
    <w:p>
      <w:pPr>
        <w:pStyle w:val="ListParagraph"/>
        <w:numPr>
          <w:ilvl w:val="0"/>
          <w:numId w:val="2"/>
        </w:numPr>
        <w:spacing w:after="40" w:before="40" w:line="264"/>
      </w:pPr>
      <w:r>
        <w:rPr>
          <w:color w:val="2A2A2A"/>
          <w:sz w:val="21"/>
          <w:szCs w:val="21"/>
        </w:rPr>
        <w:t xml:space="preserve">Postpartum blues (baby blues) — transien, tanpa gangguan fungsi berat</w:t>
      </w:r>
    </w:p>
    <w:p>
      <w:pPr>
        <w:pStyle w:val="ListParagraph"/>
        <w:numPr>
          <w:ilvl w:val="0"/>
          <w:numId w:val="2"/>
        </w:numPr>
        <w:spacing w:after="40" w:before="40" w:line="264"/>
      </w:pPr>
      <w:r>
        <w:rPr>
          <w:color w:val="2A2A2A"/>
          <w:sz w:val="21"/>
          <w:szCs w:val="21"/>
        </w:rPr>
        <w:t xml:space="preserve">Psikosis postpartum — kegawatdaruratan psikiatri, tatalaksana dan urgensi berbeda dari depresi</w:t>
      </w:r>
    </w:p>
    <w:p>
      <w:pPr>
        <w:pStyle w:val="ListParagraph"/>
        <w:numPr>
          <w:ilvl w:val="0"/>
          <w:numId w:val="2"/>
        </w:numPr>
        <w:spacing w:after="40" w:before="40" w:line="264"/>
      </w:pPr>
      <w:r>
        <w:rPr>
          <w:color w:val="2A2A2A"/>
          <w:sz w:val="21"/>
          <w:szCs w:val="21"/>
        </w:rPr>
        <w:t xml:space="preserve">Hipotiroidisme/tiroiditis postpartum — dapat menyerupai gejala depresi/cemas, perlu evaluasi fungsi tiroid</w:t>
      </w:r>
    </w:p>
    <w:p>
      <w:pPr>
        <w:pStyle w:val="ListParagraph"/>
        <w:numPr>
          <w:ilvl w:val="0"/>
          <w:numId w:val="2"/>
        </w:numPr>
        <w:spacing w:after="40" w:before="40" w:line="264"/>
      </w:pPr>
      <w:r>
        <w:rPr>
          <w:color w:val="2A2A2A"/>
          <w:sz w:val="21"/>
          <w:szCs w:val="21"/>
        </w:rPr>
        <w:t xml:space="preserve">Anemia berat pascasalin — kelelahan dan gangguan konsentrasi menyerupai gejala depresi</w:t>
      </w:r>
    </w:p>
    <w:p>
      <w:pPr>
        <w:pStyle w:val="ListParagraph"/>
        <w:numPr>
          <w:ilvl w:val="0"/>
          <w:numId w:val="2"/>
        </w:numPr>
        <w:spacing w:after="40" w:before="40" w:line="264"/>
      </w:pPr>
      <w:r>
        <w:rPr>
          <w:color w:val="2A2A2A"/>
          <w:sz w:val="21"/>
          <w:szCs w:val="21"/>
        </w:rPr>
        <w:t xml:space="preserve">Gangguan bipolar dengan episode onset peripartum — penting dibedakan karena berimplikasi pada pilihan farmakoterapi</w:t>
      </w:r>
    </w:p>
    <w:p>
      <w:pPr>
        <w:pStyle w:val="ListParagraph"/>
        <w:numPr>
          <w:ilvl w:val="0"/>
          <w:numId w:val="2"/>
        </w:numPr>
        <w:spacing w:after="40" w:before="40" w:line="264"/>
      </w:pPr>
      <w:r>
        <w:rPr>
          <w:color w:val="2A2A2A"/>
          <w:sz w:val="21"/>
          <w:szCs w:val="21"/>
        </w:rPr>
        <w:t xml:space="preserve">Delirium akibat sepsis puerperalis atau komplikasi medis lain — onset akut dengan fluktuasi kesadaran</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7. PEMERIKSAAN PENUNJANG</w:t>
      </w:r>
    </w:p>
    <w:p>
      <w:pPr>
        <w:pStyle w:val="ListParagraph"/>
        <w:numPr>
          <w:ilvl w:val="0"/>
          <w:numId w:val="2"/>
        </w:numPr>
        <w:spacing w:after="40" w:before="40" w:line="264"/>
      </w:pPr>
      <w:r>
        <w:rPr>
          <w:color w:val="2A2A2A"/>
          <w:sz w:val="21"/>
          <w:szCs w:val="21"/>
        </w:rPr>
        <w:t xml:space="preserve">Darah perifer lengkap — menyingkirkan anemia berat sebagai kontributor gejala</w:t>
      </w:r>
    </w:p>
    <w:p>
      <w:pPr>
        <w:pStyle w:val="ListParagraph"/>
        <w:numPr>
          <w:ilvl w:val="0"/>
          <w:numId w:val="2"/>
        </w:numPr>
        <w:spacing w:after="40" w:before="40" w:line="264"/>
      </w:pPr>
      <w:r>
        <w:rPr>
          <w:color w:val="2A2A2A"/>
          <w:sz w:val="21"/>
          <w:szCs w:val="21"/>
        </w:rPr>
        <w:t xml:space="preserve">Fungsi tiroid (TSH, FT4) — bila dicurigai disfungsi tiroid postpartum</w:t>
      </w:r>
    </w:p>
    <w:p>
      <w:pPr>
        <w:pStyle w:val="ListParagraph"/>
        <w:numPr>
          <w:ilvl w:val="0"/>
          <w:numId w:val="2"/>
        </w:numPr>
        <w:spacing w:after="40" w:before="40" w:line="264"/>
      </w:pPr>
      <w:r>
        <w:rPr>
          <w:color w:val="2A2A2A"/>
          <w:sz w:val="21"/>
          <w:szCs w:val="21"/>
        </w:rPr>
        <w:t xml:space="preserve">Skrining EPDS terstruktur sebagai instrumen penunjang diagnosis utama (bukan pemeriksaan laboratorium, namun wajib didokumentasikan sebagai bagian rekam medis)</w:t>
      </w:r>
    </w:p>
    <w:p>
      <w:pPr>
        <w:pStyle w:val="ListParagraph"/>
        <w:numPr>
          <w:ilvl w:val="0"/>
          <w:numId w:val="2"/>
        </w:numPr>
        <w:spacing w:after="40" w:before="40" w:line="264"/>
      </w:pPr>
      <w:r>
        <w:rPr>
          <w:color w:val="2A2A2A"/>
          <w:sz w:val="21"/>
          <w:szCs w:val="21"/>
        </w:rPr>
        <w:t xml:space="preserve">Evaluasi psikiatri formal (bila tersedia dokter spesialis kedokteran jiwa) untuk konfirmasi diagnosis dan penilaian risiko terstruktur</w:t>
      </w:r>
    </w:p>
    <w:p>
      <w:pPr>
        <w:pStyle w:val="ListParagraph"/>
        <w:numPr>
          <w:ilvl w:val="0"/>
          <w:numId w:val="2"/>
        </w:numPr>
        <w:spacing w:after="40" w:before="40" w:line="264"/>
      </w:pPr>
      <w:r>
        <w:rPr>
          <w:color w:val="2A2A2A"/>
          <w:sz w:val="21"/>
          <w:szCs w:val="21"/>
        </w:rPr>
        <w:t xml:space="preserve">Skrining KDRT terstruktur menggunakan instrumen baku RS bila anamnesis mengarah pada kekerasan pasangan</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8. TATA LAKSANA (TERAPI)</w:t>
      </w:r>
    </w:p>
    <w:p>
      <w:pPr>
        <w:spacing w:after="60" w:before="140"/>
        <w:ind w:left="100"/>
      </w:pPr>
      <w:r>
        <w:rPr>
          <w:b/>
          <w:bCs/>
          <w:color w:val="7A1F3D"/>
          <w:sz w:val="21"/>
          <w:szCs w:val="21"/>
        </w:rPr>
        <w:t xml:space="preserve">Alur Rujukan Psikiatri Bertingkat Waktu</w:t>
      </w:r>
    </w:p>
    <w:p>
      <w:pPr>
        <w:pBdr>
          <w:left w:val="single" w:color="E6C4D1" w:sz="4"/>
        </w:pBdr>
        <w:spacing w:after="80" w:before="80" w:line="276"/>
        <w:ind w:left="100"/>
      </w:pPr>
      <w:r>
        <w:rPr>
          <w:color w:val="2A2A2A"/>
          <w:sz w:val="21"/>
          <w:szCs w:val="21"/>
        </w:rPr>
        <w:t xml:space="preserve">Penentuan urgensi rujukan didasarkan pada hasil EPDS, item 10 (ideasi menyakiti diri), dan penilaian klinis status mental.</w:t>
      </w:r>
    </w:p>
    <w:tbl>
      <w:tblPr>
        <w:tblW w:type="dxa" w:w="9350"/>
        <w:tblBorders>
          <w:top w:val="single" w:color="A32020" w:sz="6"/>
          <w:left w:val="single" w:color="A32020" w:sz="6"/>
          <w:bottom w:val="single" w:color="A32020" w:sz="6"/>
          <w:right w:val="single" w:color="A32020" w:sz="6"/>
          <w:insideH w:val="single" w:color="auto" w:sz="4"/>
          <w:insideV w:val="single" w:color="auto" w:sz="4"/>
        </w:tblBorders>
      </w:tblPr>
      <w:tblGrid>
        <w:gridCol w:w="9350"/>
      </w:tblGrid>
      <w:tr>
        <w:tc>
          <w:tcPr>
            <w:tcW w:type="dxa" w:w="9350"/>
            <w:shd w:fill="FBE4E4" w:color="FBE4E4" w:val="clear"/>
            <w:tcMar>
              <w:top w:type="dxa" w:w="140"/>
              <w:left w:type="dxa" w:w="180"/>
              <w:bottom w:type="dxa" w:w="140"/>
              <w:right w:type="dxa" w:w="180"/>
            </w:tcMar>
          </w:tcPr>
          <w:p>
            <w:pPr>
              <w:jc w:val="center"/>
            </w:pPr>
            <w:r>
              <w:rPr>
                <w:b/>
                <w:bCs/>
                <w:color w:val="A32020"/>
                <w:sz w:val="20"/>
                <w:szCs w:val="20"/>
              </w:rPr>
              <w:t xml:space="preserve">MENDESAK (&lt; 2 JAM)</w:t>
            </w:r>
          </w:p>
          <w:p>
            <w:pPr>
              <w:spacing w:before="40"/>
              <w:jc w:val="center"/>
            </w:pPr>
            <w:r>
              <w:rPr>
                <w:color w:val="A32020"/>
                <w:sz w:val="17"/>
                <w:szCs w:val="17"/>
              </w:rPr>
              <w:t xml:space="preserve">Ideasi bunuh diri aktif dengan rencana/niat, gejala psikotik, atau membahayakan bayi</w:t>
            </w:r>
          </w:p>
        </w:tc>
      </w:tr>
    </w:tbl>
    <w:p>
      <w:pPr>
        <w:spacing w:after="20" w:before="20"/>
        <w:jc w:val="center"/>
      </w:pPr>
      <w:r>
        <w:rPr>
          <w:b/>
          <w:bCs/>
          <w:color w:val="7A1F3D"/>
          <w:sz w:val="24"/>
          <w:szCs w:val="24"/>
        </w:rPr>
        <w:t xml:space="preserve">▼</w:t>
      </w:r>
    </w:p>
    <w:tbl>
      <w:tblPr>
        <w:tblW w:type="dxa" w:w="9350"/>
        <w:tblBorders>
          <w:top w:val="single" w:color="B5651D" w:sz="6"/>
          <w:left w:val="single" w:color="B5651D" w:sz="6"/>
          <w:bottom w:val="single" w:color="B5651D" w:sz="6"/>
          <w:right w:val="single" w:color="B5651D" w:sz="6"/>
          <w:insideH w:val="single" w:color="auto" w:sz="4"/>
          <w:insideV w:val="single" w:color="auto" w:sz="4"/>
        </w:tblBorders>
      </w:tblPr>
      <w:tblGrid>
        <w:gridCol w:w="9350"/>
      </w:tblGrid>
      <w:tr>
        <w:tc>
          <w:tcPr>
            <w:tcW w:type="dxa" w:w="9350"/>
            <w:shd w:fill="FCEFD9" w:color="FCEFD9" w:val="clear"/>
            <w:tcMar>
              <w:top w:type="dxa" w:w="140"/>
              <w:left w:type="dxa" w:w="180"/>
              <w:bottom w:type="dxa" w:w="140"/>
              <w:right w:type="dxa" w:w="180"/>
            </w:tcMar>
          </w:tcPr>
          <w:p>
            <w:pPr>
              <w:jc w:val="center"/>
            </w:pPr>
            <w:r>
              <w:rPr>
                <w:b/>
                <w:bCs/>
                <w:color w:val="B5651D"/>
                <w:sz w:val="20"/>
                <w:szCs w:val="20"/>
              </w:rPr>
              <w:t xml:space="preserve">DALAM 24 JAM</w:t>
            </w:r>
          </w:p>
          <w:p>
            <w:pPr>
              <w:spacing w:before="40"/>
              <w:jc w:val="center"/>
            </w:pPr>
            <w:r>
              <w:rPr>
                <w:color w:val="B5651D"/>
                <w:sz w:val="17"/>
                <w:szCs w:val="17"/>
              </w:rPr>
              <w:t xml:space="preserve">EPDS ≥ 13 dengan gangguan fungsi bermakna, atau item 10 skor rendah tanpa rencana/niat aktif</w:t>
            </w:r>
          </w:p>
        </w:tc>
      </w:tr>
    </w:tbl>
    <w:p>
      <w:pPr>
        <w:spacing w:after="20" w:before="20"/>
        <w:jc w:val="center"/>
      </w:pPr>
      <w:r>
        <w:rPr>
          <w:b/>
          <w:bCs/>
          <w:color w:val="7A1F3D"/>
          <w:sz w:val="24"/>
          <w:szCs w:val="24"/>
        </w:rPr>
        <w:t xml:space="preserve">▼</w:t>
      </w:r>
    </w:p>
    <w:tbl>
      <w:tblPr>
        <w:tblW w:type="dxa" w:w="9350"/>
        <w:tblBorders>
          <w:top w:val="single" w:color="1F6B3B" w:sz="6"/>
          <w:left w:val="single" w:color="1F6B3B" w:sz="6"/>
          <w:bottom w:val="single" w:color="1F6B3B" w:sz="6"/>
          <w:right w:val="single" w:color="1F6B3B" w:sz="6"/>
          <w:insideH w:val="single" w:color="auto" w:sz="4"/>
          <w:insideV w:val="single" w:color="auto" w:sz="4"/>
        </w:tblBorders>
      </w:tblPr>
      <w:tblGrid>
        <w:gridCol w:w="9350"/>
      </w:tblGrid>
      <w:tr>
        <w:tc>
          <w:tcPr>
            <w:tcW w:type="dxa" w:w="9350"/>
            <w:shd w:fill="E4F1E7" w:color="E4F1E7" w:val="clear"/>
            <w:tcMar>
              <w:top w:type="dxa" w:w="140"/>
              <w:left w:type="dxa" w:w="180"/>
              <w:bottom w:type="dxa" w:w="140"/>
              <w:right w:type="dxa" w:w="180"/>
            </w:tcMar>
          </w:tcPr>
          <w:p>
            <w:pPr>
              <w:jc w:val="center"/>
            </w:pPr>
            <w:r>
              <w:rPr>
                <w:b/>
                <w:bCs/>
                <w:color w:val="1F6B3B"/>
                <w:sz w:val="20"/>
                <w:szCs w:val="20"/>
              </w:rPr>
              <w:t xml:space="preserve">TERJADWAL (1–2 MINGGU)</w:t>
            </w:r>
          </w:p>
          <w:p>
            <w:pPr>
              <w:spacing w:before="40"/>
              <w:jc w:val="center"/>
            </w:pPr>
            <w:r>
              <w:rPr>
                <w:color w:val="1F6B3B"/>
                <w:sz w:val="17"/>
                <w:szCs w:val="17"/>
              </w:rPr>
              <w:t xml:space="preserve">EPDS 10–12, atau faktor risiko psikososial berat tanpa gejala akut</w:t>
            </w:r>
          </w:p>
        </w:tc>
      </w:tr>
    </w:tbl>
    <w:p>
      <w:pPr>
        <w:spacing w:after="0" w:before="180"/>
      </w:pPr>
    </w:p>
    <w:p>
      <w:pPr>
        <w:spacing w:after="60" w:before="140"/>
        <w:ind w:left="100"/>
      </w:pPr>
      <w:r>
        <w:rPr>
          <w:b/>
          <w:bCs/>
          <w:color w:val="7A1F3D"/>
          <w:sz w:val="21"/>
          <w:szCs w:val="21"/>
        </w:rPr>
        <w:t xml:space="preserve">Tata Laksana Farmakologis</w:t>
      </w:r>
    </w:p>
    <w:p>
      <w:pPr>
        <w:pStyle w:val="ListParagraph"/>
        <w:numPr>
          <w:ilvl w:val="0"/>
          <w:numId w:val="2"/>
        </w:numPr>
        <w:spacing w:after="40" w:before="40" w:line="264"/>
      </w:pPr>
      <w:r>
        <w:rPr>
          <w:color w:val="2A2A2A"/>
          <w:sz w:val="21"/>
          <w:szCs w:val="21"/>
        </w:rPr>
        <w:t xml:space="preserve">Lini pertama gejala sedang–berat: SSRI (mis. sertralin 25–50 mg/hari, dapat dititrasi hingga 200 mg/hari) — sertralin dipilih sebagai lini pertama pada ibu menyusui karena kadar transfer ke ASI yang paling rendah di antara golongan SSRI; evaluasi ulang efikasi pada minggu ke-4–6 sesuai ACOG Clinical Practice Guideline No. 5 (2023)</w:t>
      </w:r>
    </w:p>
    <w:p>
      <w:pPr>
        <w:pStyle w:val="ListParagraph"/>
        <w:numPr>
          <w:ilvl w:val="0"/>
          <w:numId w:val="2"/>
        </w:numPr>
        <w:spacing w:after="40" w:before="40" w:line="264"/>
      </w:pPr>
      <w:r>
        <w:rPr>
          <w:color w:val="2A2A2A"/>
          <w:sz w:val="21"/>
          <w:szCs w:val="21"/>
        </w:rPr>
        <w:t xml:space="preserve">Hindari inisiasi terapi farmakologis tanpa keterlibatan psikiatri pada kasus dengan riwayat bipolar (risiko presipitasi episode manik)</w:t>
      </w:r>
    </w:p>
    <w:p>
      <w:pPr>
        <w:pStyle w:val="ListParagraph"/>
        <w:numPr>
          <w:ilvl w:val="0"/>
          <w:numId w:val="2"/>
        </w:numPr>
        <w:spacing w:after="40" w:before="40" w:line="264"/>
      </w:pPr>
      <w:r>
        <w:rPr>
          <w:color w:val="2A2A2A"/>
          <w:sz w:val="21"/>
          <w:szCs w:val="21"/>
        </w:rPr>
        <w:t xml:space="preserve">Kasus psikosis postpartum: rawat inap segera, tatalaksana bersama tim psikiatri, umumnya memerlukan antipsikotik dan pemisahan pengawasan ibu-bayi sementara demi keselamatan</w:t>
      </w:r>
    </w:p>
    <w:p>
      <w:pPr>
        <w:spacing w:after="60" w:before="100"/>
        <w:ind w:left="100"/>
      </w:pPr>
      <w:r>
        <w:rPr>
          <w:b/>
          <w:bCs/>
          <w:i/>
          <w:iCs/>
          <w:color w:val="7A1F3D"/>
          <w:sz w:val="19"/>
          <w:szCs w:val="19"/>
        </w:rPr>
        <w:t xml:space="preserve">Perkembangan terapi internasional (konteks edukasi subspesialis): </w:t>
      </w:r>
      <w:r>
        <w:rPr>
          <w:i/>
          <w:iCs/>
          <w:color w:val="6B6B6B"/>
          <w:sz w:val="19"/>
          <w:szCs w:val="19"/>
        </w:rPr>
        <w:t xml:space="preserve">brexanolone intravena (disetujui FDA 2019) dan zuranolone oral (disetujui FDA Agustus 2023) — keduanya modulator alosterik positif reseptor GABA-A — merupakan terapi khusus depresi postpartum berat dengan onset trimester ketiga hingga 4 minggu pascasalin. Kedua obat ini belum terdaftar/tersedia secara rutin di Indonesia sehingga BUKAN merupakan bagian dari alur tata laksana standar RS saat ini; dicantumkan semata sebagai wawasan perkembangan ilmu bagi peserta didik subspesialis Obginsos.</w:t>
      </w:r>
    </w:p>
    <w:p>
      <w:pPr>
        <w:spacing w:after="60" w:before="140"/>
        <w:ind w:left="100"/>
      </w:pPr>
      <w:r>
        <w:rPr>
          <w:b/>
          <w:bCs/>
          <w:color w:val="7A1F3D"/>
          <w:sz w:val="21"/>
          <w:szCs w:val="21"/>
        </w:rPr>
        <w:t xml:space="preserve">Tata Laksana Non-Farmakologis</w:t>
      </w:r>
    </w:p>
    <w:p>
      <w:pPr>
        <w:pStyle w:val="ListParagraph"/>
        <w:numPr>
          <w:ilvl w:val="0"/>
          <w:numId w:val="2"/>
        </w:numPr>
        <w:spacing w:after="40" w:before="40" w:line="264"/>
      </w:pPr>
      <w:r>
        <w:rPr>
          <w:color w:val="2A2A2A"/>
          <w:sz w:val="21"/>
          <w:szCs w:val="21"/>
        </w:rPr>
        <w:t xml:space="preserve">Psikoterapi lini pertama untuk gejala ringan–sedang: terapi kognitif perilaku (CBT) atau terapi interpersonal (IPT)</w:t>
      </w:r>
    </w:p>
    <w:p>
      <w:pPr>
        <w:pStyle w:val="ListParagraph"/>
        <w:numPr>
          <w:ilvl w:val="0"/>
          <w:numId w:val="2"/>
        </w:numPr>
        <w:spacing w:after="40" w:before="40" w:line="264"/>
      </w:pPr>
      <w:r>
        <w:rPr>
          <w:color w:val="2A2A2A"/>
          <w:sz w:val="21"/>
          <w:szCs w:val="21"/>
        </w:rPr>
        <w:t xml:space="preserve">Pelibatan dukungan keluarga/pasangan dalam rencana perawatan, edukasi tanda bahaya</w:t>
      </w:r>
    </w:p>
    <w:p>
      <w:pPr>
        <w:pStyle w:val="ListParagraph"/>
        <w:numPr>
          <w:ilvl w:val="0"/>
          <w:numId w:val="2"/>
        </w:numPr>
        <w:spacing w:after="40" w:before="40" w:line="264"/>
      </w:pPr>
      <w:r>
        <w:rPr>
          <w:color w:val="2A2A2A"/>
          <w:sz w:val="21"/>
          <w:szCs w:val="21"/>
        </w:rPr>
        <w:t xml:space="preserve">Rujukan pekerja sosial medis bila terdapat kerentanan ekonomi atau kebutuhan dukungan sosial</w:t>
      </w:r>
    </w:p>
    <w:p>
      <w:pPr>
        <w:spacing w:after="60" w:before="140"/>
        <w:ind w:left="100"/>
      </w:pPr>
      <w:r>
        <w:rPr>
          <w:b/>
          <w:bCs/>
          <w:color w:val="7A1F3D"/>
          <w:sz w:val="21"/>
          <w:szCs w:val="21"/>
        </w:rPr>
        <w:t xml:space="preserve">Aspek Etikolegal dan Kerahasiaan</w:t>
      </w:r>
    </w:p>
    <w:p>
      <w:pPr>
        <w:pBdr>
          <w:left w:val="single" w:color="E6C4D1" w:sz="4"/>
        </w:pBdr>
        <w:spacing w:after="80" w:before="80" w:line="276"/>
        <w:ind w:left="100"/>
      </w:pPr>
      <w:r>
        <w:rPr>
          <w:color w:val="2A2A2A"/>
          <w:sz w:val="21"/>
          <w:szCs w:val="21"/>
        </w:rPr>
        <w:t xml:space="preserve">Bila anamnesis mengarah pada kekerasan dalam rumah tangga atau kehamilan tidak diinginkan, tata laksana WAJIB memperhatikan batasan hukum Indonesia yang berlaku sebelum penerapan rekomendasi klinis internasional:</w:t>
      </w:r>
    </w:p>
    <w:p>
      <w:pPr>
        <w:pStyle w:val="ListParagraph"/>
        <w:numPr>
          <w:ilvl w:val="0"/>
          <w:numId w:val="2"/>
        </w:numPr>
        <w:spacing w:after="40" w:before="40" w:line="264"/>
      </w:pPr>
      <w:r>
        <w:rPr>
          <w:color w:val="2A2A2A"/>
          <w:sz w:val="21"/>
          <w:szCs w:val="21"/>
        </w:rPr>
        <w:t xml:space="preserve">Undang-Undang Nomor 12 Tahun 2022 tentang Tindak Pidana Kekerasan Seksual (UU TPKS) — dasar hukum perlindungan dan pendampingan korban kekerasan seksual</w:t>
      </w:r>
    </w:p>
    <w:p>
      <w:pPr>
        <w:pStyle w:val="ListParagraph"/>
        <w:numPr>
          <w:ilvl w:val="0"/>
          <w:numId w:val="2"/>
        </w:numPr>
        <w:spacing w:after="40" w:before="40" w:line="264"/>
      </w:pPr>
      <w:r>
        <w:rPr>
          <w:color w:val="2A2A2A"/>
          <w:sz w:val="21"/>
          <w:szCs w:val="21"/>
        </w:rPr>
        <w:t xml:space="preserve">Undang-Undang Nomor 23 Tahun 2004 tentang Penghapusan Kekerasan Dalam Rumah Tangga (UU PKDRT) — dasar hukum pelaporan dan perlindungan korban KDRT</w:t>
      </w:r>
    </w:p>
    <w:p>
      <w:pPr>
        <w:pStyle w:val="ListParagraph"/>
        <w:numPr>
          <w:ilvl w:val="0"/>
          <w:numId w:val="2"/>
        </w:numPr>
        <w:spacing w:after="40" w:before="40" w:line="264"/>
      </w:pPr>
      <w:r>
        <w:rPr>
          <w:color w:val="2A2A2A"/>
          <w:sz w:val="21"/>
          <w:szCs w:val="21"/>
        </w:rPr>
        <w:t xml:space="preserve">Ketentuan Kitab Undang-Undang Hukum Pidana (KUHP) terkait yang relevan bila ditemukan indikasi tindak pidana</w:t>
      </w:r>
    </w:p>
    <w:p>
      <w:pPr>
        <w:pStyle w:val="ListParagraph"/>
        <w:numPr>
          <w:ilvl w:val="0"/>
          <w:numId w:val="2"/>
        </w:numPr>
        <w:spacing w:after="40" w:before="40" w:line="264"/>
      </w:pPr>
      <w:r>
        <w:rPr>
          <w:color w:val="2A2A2A"/>
          <w:sz w:val="21"/>
          <w:szCs w:val="21"/>
        </w:rPr>
        <w:t xml:space="preserve">Undang-Undang Nomor 17 Tahun 2023 tentang Kesehatan — dasar hukum penyelenggaraan pelayanan kesehatan jiwa dan kesehatan reproduksi terintegrasi di fasilitas pelayanan kesehatan</w:t>
      </w:r>
    </w:p>
    <w:p>
      <w:pPr>
        <w:pStyle w:val="ListParagraph"/>
        <w:numPr>
          <w:ilvl w:val="0"/>
          <w:numId w:val="2"/>
        </w:numPr>
        <w:spacing w:after="40" w:before="40" w:line="264"/>
      </w:pPr>
      <w:r>
        <w:rPr>
          <w:color w:val="2A2A2A"/>
          <w:sz w:val="21"/>
          <w:szCs w:val="21"/>
        </w:rPr>
        <w:t xml:space="preserve">Pemeriksaan dan dokumentasi dilakukan dengan persetujuan pasien, menjaga kerahasiaan rekam medis, dan pelaporan kepada pihak berwenang mengikuti mekanisme rujukan RS serta persetujuan korban kecuali pada kondisi yang secara hukum mewajibkan pelaporan</w:t>
      </w:r>
    </w:p>
    <w:p>
      <w:pPr>
        <w:pStyle w:val="ListParagraph"/>
        <w:numPr>
          <w:ilvl w:val="0"/>
          <w:numId w:val="2"/>
        </w:numPr>
        <w:spacing w:after="40" w:before="40" w:line="264"/>
      </w:pPr>
      <w:r>
        <w:rPr>
          <w:color w:val="2A2A2A"/>
          <w:sz w:val="21"/>
          <w:szCs w:val="21"/>
        </w:rPr>
        <w:t xml:space="preserve">Rujukan ke unit Pusat Pelayanan Terpadu (PPT)/pusat krisis terpadu RS bila tersedia, disertai pendampingan psikologis berkelanjutan</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9. EDUKASI</w:t>
      </w:r>
    </w:p>
    <w:p>
      <w:pPr>
        <w:pStyle w:val="ListParagraph"/>
        <w:numPr>
          <w:ilvl w:val="0"/>
          <w:numId w:val="2"/>
        </w:numPr>
        <w:spacing w:after="40" w:before="40" w:line="264"/>
      </w:pPr>
      <w:r>
        <w:rPr>
          <w:color w:val="2A2A2A"/>
          <w:sz w:val="21"/>
          <w:szCs w:val="21"/>
        </w:rPr>
        <w:t xml:space="preserve">Menjelaskan kepada ibu dan keluarga bahwa masalah biopsikososial pascasalin adalah kondisi medis yang dapat diobati, bukan kegagalan pribadi sebagai ibu</w:t>
      </w:r>
    </w:p>
    <w:p>
      <w:pPr>
        <w:pStyle w:val="ListParagraph"/>
        <w:numPr>
          <w:ilvl w:val="0"/>
          <w:numId w:val="2"/>
        </w:numPr>
        <w:spacing w:after="40" w:before="40" w:line="264"/>
      </w:pPr>
      <w:r>
        <w:rPr>
          <w:color w:val="2A2A2A"/>
          <w:sz w:val="21"/>
          <w:szCs w:val="21"/>
        </w:rPr>
        <w:t xml:space="preserve">Mengenali tanda bahaya yang memerlukan kontak segera dengan layanan kesehatan: pikiran menyakiti diri/bayi, tidak mampu merawat diri/bayi, gejala psikotik</w:t>
      </w:r>
    </w:p>
    <w:p>
      <w:pPr>
        <w:pStyle w:val="ListParagraph"/>
        <w:numPr>
          <w:ilvl w:val="0"/>
          <w:numId w:val="2"/>
        </w:numPr>
        <w:spacing w:after="40" w:before="40" w:line="264"/>
      </w:pPr>
      <w:r>
        <w:rPr>
          <w:color w:val="2A2A2A"/>
          <w:sz w:val="21"/>
          <w:szCs w:val="21"/>
        </w:rPr>
        <w:t xml:space="preserve">Pentingnya kepatuhan kontrol dan terapi, termasuk pada kasus yang tampak membaik</w:t>
      </w:r>
    </w:p>
    <w:p>
      <w:pPr>
        <w:pStyle w:val="ListParagraph"/>
        <w:numPr>
          <w:ilvl w:val="0"/>
          <w:numId w:val="2"/>
        </w:numPr>
        <w:spacing w:after="40" w:before="40" w:line="264"/>
      </w:pPr>
      <w:r>
        <w:rPr>
          <w:color w:val="2A2A2A"/>
          <w:sz w:val="21"/>
          <w:szCs w:val="21"/>
        </w:rPr>
        <w:t xml:space="preserve">Edukasi keluarga mengenai peran dukungan aktif, pembagian beban pengasuhan, dan pemantauan tanda bahaya di rumah</w:t>
      </w:r>
    </w:p>
    <w:p>
      <w:pPr>
        <w:pStyle w:val="ListParagraph"/>
        <w:numPr>
          <w:ilvl w:val="0"/>
          <w:numId w:val="2"/>
        </w:numPr>
        <w:spacing w:after="40" w:before="40" w:line="264"/>
      </w:pPr>
      <w:r>
        <w:rPr>
          <w:color w:val="2A2A2A"/>
          <w:sz w:val="21"/>
          <w:szCs w:val="21"/>
        </w:rPr>
        <w:t xml:space="preserve">Informasi mengenai kerahasiaan layanan bagi pasien dengan latar belakang KDRT/KTD, agar pasien merasa aman mencari bantuan</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10. PROGNOSIS</w:t>
      </w:r>
    </w:p>
    <w:p>
      <w:pPr>
        <w:pBdr>
          <w:left w:val="single" w:color="E6C4D1" w:sz="4"/>
        </w:pBdr>
        <w:spacing w:after="80" w:before="80" w:line="276"/>
        <w:ind w:left="100"/>
      </w:pPr>
      <w:r>
        <w:rPr>
          <w:color w:val="2A2A2A"/>
          <w:sz w:val="21"/>
          <w:szCs w:val="21"/>
        </w:rPr>
        <w:t xml:space="preserve">Dengan deteksi dini melalui skrining EPDS terstruktur dan rujukan tepat waktu sesuai tingkatan urgensi, sebagian besar kasus depresi postpartum ringan–sedang menunjukkan perbaikan bermakna dalam 6–12 minggu terapi. Prognosis lebih baik pada kasus dengan dukungan sosial adekuat dan tanpa riwayat gangguan jiwa berat sebelumnya.</w:t>
      </w:r>
    </w:p>
    <w:p>
      <w:pPr>
        <w:pBdr>
          <w:left w:val="single" w:color="E6C4D1" w:sz="4"/>
        </w:pBdr>
        <w:spacing w:after="80" w:before="80" w:line="276"/>
        <w:ind w:left="100"/>
      </w:pPr>
      <w:r>
        <w:rPr>
          <w:color w:val="2A2A2A"/>
          <w:sz w:val="21"/>
          <w:szCs w:val="21"/>
        </w:rPr>
        <w:t xml:space="preserve">Psikosis postpartum memiliki prognosis baik untuk episode akut bila ditatalaksana segera, namun membawa risiko kekambuhan pada kehamilan berikutnya yang bervariasi antarstudi (kisaran umum 25–57%, dengan meta-analisis sistematik besar melaporkan risiko relaps sekitar 31% pada kasus psikosis postpartum terisolasi — Wesseloo dkk., 2016) sehingga memerlukan perencanaan pra-konsepsi dan konseling risiko pada kehamilan mendatang. Ideasi bunuh diri yang tidak tertangani merupakan faktor prognosis terburuk dan menjadi prioritas keselamatan tertinggi.</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11–12. TINGKAT EVIDENS DAN TINGKAT REKOMENDASI</w:t>
      </w:r>
    </w:p>
    <w:p>
      <w:pPr>
        <w:pBdr>
          <w:left w:val="single" w:color="E6C4D1" w:sz="4"/>
        </w:pBdr>
        <w:spacing w:after="80" w:before="80" w:line="276"/>
        <w:ind w:left="100"/>
      </w:pPr>
      <w:r>
        <w:rPr>
          <w:color w:val="2A2A2A"/>
          <w:sz w:val="21"/>
          <w:szCs w:val="21"/>
        </w:rPr>
        <w:t xml:space="preserve">Ringkasan tingkat evidens dan rekomendasi disajikan dalam format dashboard berikut, mengacu skema evidens klinis standar (I–III) dan rekomendasi (A–C).</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1600"/>
        <w:gridCol w:w="3300"/>
      </w:tblGrid>
      <w:tr>
        <w:trPr>
          <w:tblHeader/>
        </w:trPr>
        <w:tc>
          <w:tcPr>
            <w:tcW w:type="dxa" w:w="3000"/>
            <w:shd w:fill="7A1F3D" w:color="7A1F3D" w:val="clear"/>
            <w:tcMar>
              <w:top w:type="dxa" w:w="100"/>
              <w:left w:type="dxa" w:w="120"/>
              <w:bottom w:type="dxa" w:w="100"/>
              <w:right w:type="dxa" w:w="120"/>
            </w:tcMar>
            <w:vAlign w:val="center"/>
          </w:tcPr>
          <w:p>
            <w:r>
              <w:rPr>
                <w:b/>
                <w:bCs/>
                <w:color w:val="FFFFFF"/>
                <w:sz w:val="18"/>
                <w:szCs w:val="18"/>
              </w:rPr>
              <w:t xml:space="preserve">Aspek</w:t>
            </w:r>
          </w:p>
        </w:tc>
        <w:tc>
          <w:tcPr>
            <w:tcW w:type="dxa" w:w="1400"/>
            <w:shd w:fill="7A1F3D" w:color="7A1F3D" w:val="clear"/>
            <w:tcMar>
              <w:top w:type="dxa" w:w="100"/>
              <w:left w:type="dxa" w:w="120"/>
              <w:bottom w:type="dxa" w:w="100"/>
              <w:right w:type="dxa" w:w="120"/>
            </w:tcMar>
            <w:vAlign w:val="center"/>
          </w:tcPr>
          <w:p>
            <w:r>
              <w:rPr>
                <w:b/>
                <w:bCs/>
                <w:color w:val="FFFFFF"/>
                <w:sz w:val="18"/>
                <w:szCs w:val="18"/>
              </w:rPr>
              <w:t xml:space="preserve">Tingkat Evidens</w:t>
            </w:r>
          </w:p>
        </w:tc>
        <w:tc>
          <w:tcPr>
            <w:tcW w:type="dxa" w:w="1600"/>
            <w:shd w:fill="7A1F3D" w:color="7A1F3D" w:val="clear"/>
            <w:tcMar>
              <w:top w:type="dxa" w:w="100"/>
              <w:left w:type="dxa" w:w="120"/>
              <w:bottom w:type="dxa" w:w="100"/>
              <w:right w:type="dxa" w:w="120"/>
            </w:tcMar>
            <w:vAlign w:val="center"/>
          </w:tcPr>
          <w:p>
            <w:r>
              <w:rPr>
                <w:b/>
                <w:bCs/>
                <w:color w:val="FFFFFF"/>
                <w:sz w:val="18"/>
                <w:szCs w:val="18"/>
              </w:rPr>
              <w:t xml:space="preserve">Tingkat Rekomendasi</w:t>
            </w:r>
          </w:p>
        </w:tc>
        <w:tc>
          <w:tcPr>
            <w:tcW w:type="dxa" w:w="3300"/>
            <w:shd w:fill="7A1F3D" w:color="7A1F3D" w:val="clear"/>
            <w:tcMar>
              <w:top w:type="dxa" w:w="100"/>
              <w:left w:type="dxa" w:w="120"/>
              <w:bottom w:type="dxa" w:w="100"/>
              <w:right w:type="dxa" w:w="120"/>
            </w:tcMar>
            <w:vAlign w:val="center"/>
          </w:tcPr>
          <w:p>
            <w:r>
              <w:rPr>
                <w:b/>
                <w:bCs/>
                <w:color w:val="FFFFFF"/>
                <w:sz w:val="18"/>
                <w:szCs w:val="18"/>
              </w:rPr>
              <w:t xml:space="preserve">Sumber Utama</w:t>
            </w:r>
          </w:p>
        </w:tc>
      </w:tr>
      <w:tr>
        <w:tc>
          <w:tcPr>
            <w:tcW w:type="dxa" w:w="3000"/>
            <w:shd w:fill="FFFFFF" w:color="FFFFFF" w:val="clear"/>
            <w:tcMar>
              <w:top w:type="dxa" w:w="90"/>
              <w:left w:type="dxa" w:w="120"/>
              <w:bottom w:type="dxa" w:w="90"/>
              <w:right w:type="dxa" w:w="120"/>
            </w:tcMar>
            <w:vAlign w:val="center"/>
          </w:tcPr>
          <w:p>
            <w:r>
              <w:rPr>
                <w:color w:val="2A2A2A"/>
                <w:sz w:val="18"/>
                <w:szCs w:val="18"/>
              </w:rPr>
              <w:t xml:space="preserve">Skrining EPDS rutin pascasalin, minimal 1 kali</w:t>
            </w:r>
          </w:p>
        </w:tc>
        <w:tc>
          <w:tcPr>
            <w:tcW w:type="dxa" w:w="1400"/>
            <w:shd w:fill="FFFFFF" w:color="FFFFFF" w:val="clear"/>
            <w:tcMar>
              <w:top w:type="dxa" w:w="90"/>
              <w:left w:type="dxa" w:w="120"/>
              <w:bottom w:type="dxa" w:w="90"/>
              <w:right w:type="dxa" w:w="120"/>
            </w:tcMar>
            <w:vAlign w:val="center"/>
          </w:tcPr>
          <w:p>
            <w:r>
              <w:rPr>
                <w:color w:val="2A2A2A"/>
                <w:sz w:val="18"/>
                <w:szCs w:val="18"/>
              </w:rPr>
              <w:t xml:space="preserve">II-2</w:t>
            </w:r>
          </w:p>
        </w:tc>
        <w:tc>
          <w:tcPr>
            <w:tcW w:type="dxa" w:w="1600"/>
            <w:shd w:fill="FFFFFF" w:color="FFFFFF" w:val="clear"/>
            <w:tcMar>
              <w:top w:type="dxa" w:w="90"/>
              <w:left w:type="dxa" w:w="120"/>
              <w:bottom w:type="dxa" w:w="90"/>
              <w:right w:type="dxa" w:w="120"/>
            </w:tcMar>
            <w:vAlign w:val="center"/>
          </w:tcPr>
          <w:p>
            <w:r>
              <w:rPr>
                <w:color w:val="2A2A2A"/>
                <w:sz w:val="18"/>
                <w:szCs w:val="18"/>
              </w:rPr>
              <w:t xml:space="preserve">B</w:t>
            </w:r>
          </w:p>
        </w:tc>
        <w:tc>
          <w:tcPr>
            <w:tcW w:type="dxa" w:w="3300"/>
            <w:shd w:fill="FFFFFF" w:color="FFFFFF" w:val="clear"/>
            <w:tcMar>
              <w:top w:type="dxa" w:w="90"/>
              <w:left w:type="dxa" w:w="120"/>
              <w:bottom w:type="dxa" w:w="90"/>
              <w:right w:type="dxa" w:w="120"/>
            </w:tcMar>
            <w:vAlign w:val="center"/>
          </w:tcPr>
          <w:p>
            <w:r>
              <w:rPr>
                <w:color w:val="2A2A2A"/>
                <w:sz w:val="18"/>
                <w:szCs w:val="18"/>
              </w:rPr>
              <w:t xml:space="preserve">ACOG CPG No. 4 (2023); NICE CG192 (2014, amandemen 2025)</w:t>
            </w:r>
          </w:p>
        </w:tc>
      </w:tr>
      <w:tr>
        <w:tc>
          <w:tcPr>
            <w:tcW w:type="dxa" w:w="3000"/>
            <w:shd w:fill="F3E3E9" w:color="F3E3E9" w:val="clear"/>
            <w:tcMar>
              <w:top w:type="dxa" w:w="90"/>
              <w:left w:type="dxa" w:w="120"/>
              <w:bottom w:type="dxa" w:w="90"/>
              <w:right w:type="dxa" w:w="120"/>
            </w:tcMar>
            <w:vAlign w:val="center"/>
          </w:tcPr>
          <w:p>
            <w:r>
              <w:rPr>
                <w:color w:val="2A2A2A"/>
                <w:sz w:val="18"/>
                <w:szCs w:val="18"/>
              </w:rPr>
              <w:t xml:space="preserve">Rujukan psikiatri bertingkat waktu sesuai derajat keparahan</w:t>
            </w:r>
          </w:p>
        </w:tc>
        <w:tc>
          <w:tcPr>
            <w:tcW w:type="dxa" w:w="1400"/>
            <w:shd w:fill="F3E3E9" w:color="F3E3E9" w:val="clear"/>
            <w:tcMar>
              <w:top w:type="dxa" w:w="90"/>
              <w:left w:type="dxa" w:w="120"/>
              <w:bottom w:type="dxa" w:w="90"/>
              <w:right w:type="dxa" w:w="120"/>
            </w:tcMar>
            <w:vAlign w:val="center"/>
          </w:tcPr>
          <w:p>
            <w:r>
              <w:rPr>
                <w:color w:val="2A2A2A"/>
                <w:sz w:val="18"/>
                <w:szCs w:val="18"/>
              </w:rPr>
              <w:t xml:space="preserve">III</w:t>
            </w:r>
          </w:p>
        </w:tc>
        <w:tc>
          <w:tcPr>
            <w:tcW w:type="dxa" w:w="1600"/>
            <w:shd w:fill="F3E3E9" w:color="F3E3E9" w:val="clear"/>
            <w:tcMar>
              <w:top w:type="dxa" w:w="90"/>
              <w:left w:type="dxa" w:w="120"/>
              <w:bottom w:type="dxa" w:w="90"/>
              <w:right w:type="dxa" w:w="120"/>
            </w:tcMar>
            <w:vAlign w:val="center"/>
          </w:tcPr>
          <w:p>
            <w:r>
              <w:rPr>
                <w:color w:val="2A2A2A"/>
                <w:sz w:val="18"/>
                <w:szCs w:val="18"/>
              </w:rPr>
              <w:t xml:space="preserve">B</w:t>
            </w:r>
          </w:p>
        </w:tc>
        <w:tc>
          <w:tcPr>
            <w:tcW w:type="dxa" w:w="3300"/>
            <w:shd w:fill="F3E3E9" w:color="F3E3E9" w:val="clear"/>
            <w:tcMar>
              <w:top w:type="dxa" w:w="90"/>
              <w:left w:type="dxa" w:w="120"/>
              <w:bottom w:type="dxa" w:w="90"/>
              <w:right w:type="dxa" w:w="120"/>
            </w:tcMar>
            <w:vAlign w:val="center"/>
          </w:tcPr>
          <w:p>
            <w:r>
              <w:rPr>
                <w:color w:val="2A2A2A"/>
                <w:sz w:val="18"/>
                <w:szCs w:val="18"/>
              </w:rPr>
              <w:t xml:space="preserve">WHO mhGAP-IG v2.0 (2016); Kepkonsil No. HK.01.02/KKI/1318/2026 (Tabel 25)</w:t>
            </w:r>
          </w:p>
        </w:tc>
      </w:tr>
      <w:tr>
        <w:tc>
          <w:tcPr>
            <w:tcW w:type="dxa" w:w="3000"/>
            <w:shd w:fill="FFFFFF" w:color="FFFFFF" w:val="clear"/>
            <w:tcMar>
              <w:top w:type="dxa" w:w="90"/>
              <w:left w:type="dxa" w:w="120"/>
              <w:bottom w:type="dxa" w:w="90"/>
              <w:right w:type="dxa" w:w="120"/>
            </w:tcMar>
            <w:vAlign w:val="center"/>
          </w:tcPr>
          <w:p>
            <w:r>
              <w:rPr>
                <w:color w:val="2A2A2A"/>
                <w:sz w:val="18"/>
                <w:szCs w:val="18"/>
              </w:rPr>
              <w:t xml:space="preserve">Psikoterapi (CBT/IPT) lini pertama gejala ringan–sedang</w:t>
            </w:r>
          </w:p>
        </w:tc>
        <w:tc>
          <w:tcPr>
            <w:tcW w:type="dxa" w:w="1400"/>
            <w:shd w:fill="FFFFFF" w:color="FFFFFF" w:val="clear"/>
            <w:tcMar>
              <w:top w:type="dxa" w:w="90"/>
              <w:left w:type="dxa" w:w="120"/>
              <w:bottom w:type="dxa" w:w="90"/>
              <w:right w:type="dxa" w:w="120"/>
            </w:tcMar>
            <w:vAlign w:val="center"/>
          </w:tcPr>
          <w:p>
            <w:r>
              <w:rPr>
                <w:color w:val="2A2A2A"/>
                <w:sz w:val="18"/>
                <w:szCs w:val="18"/>
              </w:rPr>
              <w:t xml:space="preserve">I</w:t>
            </w:r>
          </w:p>
        </w:tc>
        <w:tc>
          <w:tcPr>
            <w:tcW w:type="dxa" w:w="1600"/>
            <w:shd w:fill="FFFFFF" w:color="FFFFFF" w:val="clear"/>
            <w:tcMar>
              <w:top w:type="dxa" w:w="90"/>
              <w:left w:type="dxa" w:w="120"/>
              <w:bottom w:type="dxa" w:w="90"/>
              <w:right w:type="dxa" w:w="120"/>
            </w:tcMar>
            <w:vAlign w:val="center"/>
          </w:tcPr>
          <w:p>
            <w:r>
              <w:rPr>
                <w:color w:val="2A2A2A"/>
                <w:sz w:val="18"/>
                <w:szCs w:val="18"/>
              </w:rPr>
              <w:t xml:space="preserve">A</w:t>
            </w:r>
          </w:p>
        </w:tc>
        <w:tc>
          <w:tcPr>
            <w:tcW w:type="dxa" w:w="3300"/>
            <w:shd w:fill="FFFFFF" w:color="FFFFFF" w:val="clear"/>
            <w:tcMar>
              <w:top w:type="dxa" w:w="90"/>
              <w:left w:type="dxa" w:w="120"/>
              <w:bottom w:type="dxa" w:w="90"/>
              <w:right w:type="dxa" w:w="120"/>
            </w:tcMar>
            <w:vAlign w:val="center"/>
          </w:tcPr>
          <w:p>
            <w:r>
              <w:rPr>
                <w:color w:val="2A2A2A"/>
                <w:sz w:val="18"/>
                <w:szCs w:val="18"/>
              </w:rPr>
              <w:t xml:space="preserve">ACOG CPG No. 5 (2023); CANMAT 2024; NICE CG192</w:t>
            </w:r>
          </w:p>
        </w:tc>
      </w:tr>
      <w:tr>
        <w:tc>
          <w:tcPr>
            <w:tcW w:type="dxa" w:w="3000"/>
            <w:shd w:fill="F3E3E9" w:color="F3E3E9" w:val="clear"/>
            <w:tcMar>
              <w:top w:type="dxa" w:w="90"/>
              <w:left w:type="dxa" w:w="120"/>
              <w:bottom w:type="dxa" w:w="90"/>
              <w:right w:type="dxa" w:w="120"/>
            </w:tcMar>
            <w:vAlign w:val="center"/>
          </w:tcPr>
          <w:p>
            <w:r>
              <w:rPr>
                <w:color w:val="2A2A2A"/>
                <w:sz w:val="18"/>
                <w:szCs w:val="18"/>
              </w:rPr>
              <w:t xml:space="preserve">SSRI (sertralin) lini pertama farmakoterapi bila indikasi</w:t>
            </w:r>
          </w:p>
        </w:tc>
        <w:tc>
          <w:tcPr>
            <w:tcW w:type="dxa" w:w="1400"/>
            <w:shd w:fill="F3E3E9" w:color="F3E3E9" w:val="clear"/>
            <w:tcMar>
              <w:top w:type="dxa" w:w="90"/>
              <w:left w:type="dxa" w:w="120"/>
              <w:bottom w:type="dxa" w:w="90"/>
              <w:right w:type="dxa" w:w="120"/>
            </w:tcMar>
            <w:vAlign w:val="center"/>
          </w:tcPr>
          <w:p>
            <w:r>
              <w:rPr>
                <w:color w:val="2A2A2A"/>
                <w:sz w:val="18"/>
                <w:szCs w:val="18"/>
              </w:rPr>
              <w:t xml:space="preserve">I</w:t>
            </w:r>
          </w:p>
        </w:tc>
        <w:tc>
          <w:tcPr>
            <w:tcW w:type="dxa" w:w="1600"/>
            <w:shd w:fill="F3E3E9" w:color="F3E3E9" w:val="clear"/>
            <w:tcMar>
              <w:top w:type="dxa" w:w="90"/>
              <w:left w:type="dxa" w:w="120"/>
              <w:bottom w:type="dxa" w:w="90"/>
              <w:right w:type="dxa" w:w="120"/>
            </w:tcMar>
            <w:vAlign w:val="center"/>
          </w:tcPr>
          <w:p>
            <w:r>
              <w:rPr>
                <w:color w:val="2A2A2A"/>
                <w:sz w:val="18"/>
                <w:szCs w:val="18"/>
              </w:rPr>
              <w:t xml:space="preserve">A</w:t>
            </w:r>
          </w:p>
        </w:tc>
        <w:tc>
          <w:tcPr>
            <w:tcW w:type="dxa" w:w="3300"/>
            <w:shd w:fill="F3E3E9" w:color="F3E3E9" w:val="clear"/>
            <w:tcMar>
              <w:top w:type="dxa" w:w="90"/>
              <w:left w:type="dxa" w:w="120"/>
              <w:bottom w:type="dxa" w:w="90"/>
              <w:right w:type="dxa" w:w="120"/>
            </w:tcMar>
            <w:vAlign w:val="center"/>
          </w:tcPr>
          <w:p>
            <w:r>
              <w:rPr>
                <w:color w:val="2A2A2A"/>
                <w:sz w:val="18"/>
                <w:szCs w:val="18"/>
              </w:rPr>
              <w:t xml:space="preserve">ACOG CPG No. 5 (2023); CANMAT 2024</w:t>
            </w:r>
          </w:p>
        </w:tc>
      </w:tr>
      <w:tr>
        <w:tc>
          <w:tcPr>
            <w:tcW w:type="dxa" w:w="3000"/>
            <w:shd w:fill="FFFFFF" w:color="FFFFFF" w:val="clear"/>
            <w:tcMar>
              <w:top w:type="dxa" w:w="90"/>
              <w:left w:type="dxa" w:w="120"/>
              <w:bottom w:type="dxa" w:w="90"/>
              <w:right w:type="dxa" w:w="120"/>
            </w:tcMar>
            <w:vAlign w:val="center"/>
          </w:tcPr>
          <w:p>
            <w:r>
              <w:rPr>
                <w:color w:val="2A2A2A"/>
                <w:sz w:val="18"/>
                <w:szCs w:val="18"/>
              </w:rPr>
              <w:t xml:space="preserve">Kewaspadaan psikosis postpartum sebagai kegawatdaruratan psikiatri</w:t>
            </w:r>
          </w:p>
        </w:tc>
        <w:tc>
          <w:tcPr>
            <w:tcW w:type="dxa" w:w="1400"/>
            <w:shd w:fill="FFFFFF" w:color="FFFFFF" w:val="clear"/>
            <w:tcMar>
              <w:top w:type="dxa" w:w="90"/>
              <w:left w:type="dxa" w:w="120"/>
              <w:bottom w:type="dxa" w:w="90"/>
              <w:right w:type="dxa" w:w="120"/>
            </w:tcMar>
            <w:vAlign w:val="center"/>
          </w:tcPr>
          <w:p>
            <w:r>
              <w:rPr>
                <w:color w:val="2A2A2A"/>
                <w:sz w:val="18"/>
                <w:szCs w:val="18"/>
              </w:rPr>
              <w:t xml:space="preserve">II-2</w:t>
            </w:r>
          </w:p>
        </w:tc>
        <w:tc>
          <w:tcPr>
            <w:tcW w:type="dxa" w:w="1600"/>
            <w:shd w:fill="FFFFFF" w:color="FFFFFF" w:val="clear"/>
            <w:tcMar>
              <w:top w:type="dxa" w:w="90"/>
              <w:left w:type="dxa" w:w="120"/>
              <w:bottom w:type="dxa" w:w="90"/>
              <w:right w:type="dxa" w:w="120"/>
            </w:tcMar>
            <w:vAlign w:val="center"/>
          </w:tcPr>
          <w:p>
            <w:r>
              <w:rPr>
                <w:color w:val="2A2A2A"/>
                <w:sz w:val="18"/>
                <w:szCs w:val="18"/>
              </w:rPr>
              <w:t xml:space="preserve">B</w:t>
            </w:r>
          </w:p>
        </w:tc>
        <w:tc>
          <w:tcPr>
            <w:tcW w:type="dxa" w:w="3300"/>
            <w:shd w:fill="FFFFFF" w:color="FFFFFF" w:val="clear"/>
            <w:tcMar>
              <w:top w:type="dxa" w:w="90"/>
              <w:left w:type="dxa" w:w="120"/>
              <w:bottom w:type="dxa" w:w="90"/>
              <w:right w:type="dxa" w:w="120"/>
            </w:tcMar>
            <w:vAlign w:val="center"/>
          </w:tcPr>
          <w:p>
            <w:r>
              <w:rPr>
                <w:color w:val="2A2A2A"/>
                <w:sz w:val="18"/>
                <w:szCs w:val="18"/>
              </w:rPr>
              <w:t xml:space="preserve">Wesseloo dkk., Am J Psychiatry 2016; WHO mhGAP-IG</w:t>
            </w:r>
          </w:p>
        </w:tc>
      </w:tr>
      <w:tr>
        <w:tc>
          <w:tcPr>
            <w:tcW w:type="dxa" w:w="3000"/>
            <w:shd w:fill="F3E3E9" w:color="F3E3E9" w:val="clear"/>
            <w:tcMar>
              <w:top w:type="dxa" w:w="90"/>
              <w:left w:type="dxa" w:w="120"/>
              <w:bottom w:type="dxa" w:w="90"/>
              <w:right w:type="dxa" w:w="120"/>
            </w:tcMar>
            <w:vAlign w:val="center"/>
          </w:tcPr>
          <w:p>
            <w:r>
              <w:rPr>
                <w:color w:val="2A2A2A"/>
                <w:sz w:val="18"/>
                <w:szCs w:val="18"/>
              </w:rPr>
              <w:t xml:space="preserve">Neurosteroid GABA-A PAM (brexanolone IV/zuranolone oral) — belum tersedia di Indonesia</w:t>
            </w:r>
          </w:p>
        </w:tc>
        <w:tc>
          <w:tcPr>
            <w:tcW w:type="dxa" w:w="1400"/>
            <w:shd w:fill="F3E3E9" w:color="F3E3E9" w:val="clear"/>
            <w:tcMar>
              <w:top w:type="dxa" w:w="90"/>
              <w:left w:type="dxa" w:w="120"/>
              <w:bottom w:type="dxa" w:w="90"/>
              <w:right w:type="dxa" w:w="120"/>
            </w:tcMar>
            <w:vAlign w:val="center"/>
          </w:tcPr>
          <w:p>
            <w:r>
              <w:rPr>
                <w:color w:val="2A2A2A"/>
                <w:sz w:val="18"/>
                <w:szCs w:val="18"/>
              </w:rPr>
              <w:t xml:space="preserve">I</w:t>
            </w:r>
          </w:p>
        </w:tc>
        <w:tc>
          <w:tcPr>
            <w:tcW w:type="dxa" w:w="1600"/>
            <w:shd w:fill="F3E3E9" w:color="F3E3E9" w:val="clear"/>
            <w:tcMar>
              <w:top w:type="dxa" w:w="90"/>
              <w:left w:type="dxa" w:w="120"/>
              <w:bottom w:type="dxa" w:w="90"/>
              <w:right w:type="dxa" w:w="120"/>
            </w:tcMar>
            <w:vAlign w:val="center"/>
          </w:tcPr>
          <w:p>
            <w:r>
              <w:rPr>
                <w:color w:val="2A2A2A"/>
                <w:sz w:val="18"/>
                <w:szCs w:val="18"/>
              </w:rPr>
              <w:t xml:space="preserve">C (konteks Indonesia)</w:t>
            </w:r>
          </w:p>
        </w:tc>
        <w:tc>
          <w:tcPr>
            <w:tcW w:type="dxa" w:w="3300"/>
            <w:shd w:fill="F3E3E9" w:color="F3E3E9" w:val="clear"/>
            <w:tcMar>
              <w:top w:type="dxa" w:w="90"/>
              <w:left w:type="dxa" w:w="120"/>
              <w:bottom w:type="dxa" w:w="90"/>
              <w:right w:type="dxa" w:w="120"/>
            </w:tcMar>
            <w:vAlign w:val="center"/>
          </w:tcPr>
          <w:p>
            <w:r>
              <w:rPr>
                <w:color w:val="2A2A2A"/>
                <w:sz w:val="18"/>
                <w:szCs w:val="18"/>
              </w:rPr>
              <w:t xml:space="preserve">US FDA 2019/2023; ACOG Clinical Practice Update 2023</w:t>
            </w:r>
          </w:p>
        </w:tc>
      </w:tr>
    </w:tbl>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13. PENELAAH KRITIS</w:t>
      </w:r>
    </w:p>
    <w:p>
      <w:pPr>
        <w:pStyle w:val="ListParagraph"/>
        <w:numPr>
          <w:ilvl w:val="0"/>
          <w:numId w:val="2"/>
        </w:numPr>
        <w:spacing w:after="40" w:before="40" w:line="264"/>
      </w:pPr>
      <w:r>
        <w:rPr>
          <w:color w:val="2A2A2A"/>
          <w:sz w:val="21"/>
          <w:szCs w:val="21"/>
        </w:rPr>
        <w:t xml:space="preserve">Dokter Spesialis Obstetri dan Ginekologi Subspesialis Obstetri Ginekologi Sosial (Obginsos)</w:t>
      </w:r>
    </w:p>
    <w:p>
      <w:pPr>
        <w:pStyle w:val="ListParagraph"/>
        <w:numPr>
          <w:ilvl w:val="0"/>
          <w:numId w:val="2"/>
        </w:numPr>
        <w:spacing w:after="40" w:before="40" w:line="264"/>
      </w:pPr>
      <w:r>
        <w:rPr>
          <w:color w:val="2A2A2A"/>
          <w:sz w:val="21"/>
          <w:szCs w:val="21"/>
        </w:rPr>
        <w:t xml:space="preserve">Dokter Spesialis Kedokteran Jiwa (bila tersedia di RS, sebagai konsultan tetap alur rujukan)</w:t>
      </w:r>
    </w:p>
    <w:p>
      <w:pPr>
        <w:pStyle w:val="ListParagraph"/>
        <w:numPr>
          <w:ilvl w:val="0"/>
          <w:numId w:val="2"/>
        </w:numPr>
        <w:spacing w:after="40" w:before="40" w:line="264"/>
      </w:pPr>
      <w:r>
        <w:rPr>
          <w:color w:val="2A2A2A"/>
          <w:sz w:val="21"/>
          <w:szCs w:val="21"/>
        </w:rPr>
        <w:t xml:space="preserve">Komite Medik dan Sub-Komite Mutu KSM Obstetri dan Ginekologi</w:t>
      </w:r>
    </w:p>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14. INDIKATOR MEDIS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4300"/>
        <w:gridCol w:w="2400"/>
        <w:gridCol w:w="2600"/>
      </w:tblGrid>
      <w:tr>
        <w:trPr>
          <w:tblHeader/>
        </w:trPr>
        <w:tc>
          <w:tcPr>
            <w:tcW w:type="dxa" w:w="4300"/>
            <w:shd w:fill="7A1F3D" w:color="7A1F3D" w:val="clear"/>
            <w:tcMar>
              <w:top w:type="dxa" w:w="100"/>
              <w:left w:type="dxa" w:w="120"/>
              <w:bottom w:type="dxa" w:w="100"/>
              <w:right w:type="dxa" w:w="120"/>
            </w:tcMar>
            <w:vAlign w:val="center"/>
          </w:tcPr>
          <w:p>
            <w:r>
              <w:rPr>
                <w:b/>
                <w:bCs/>
                <w:color w:val="FFFFFF"/>
                <w:sz w:val="18"/>
                <w:szCs w:val="18"/>
              </w:rPr>
              <w:t xml:space="preserve">Indikator</w:t>
            </w:r>
          </w:p>
        </w:tc>
        <w:tc>
          <w:tcPr>
            <w:tcW w:type="dxa" w:w="2400"/>
            <w:shd w:fill="7A1F3D" w:color="7A1F3D" w:val="clear"/>
            <w:tcMar>
              <w:top w:type="dxa" w:w="100"/>
              <w:left w:type="dxa" w:w="120"/>
              <w:bottom w:type="dxa" w:w="100"/>
              <w:right w:type="dxa" w:w="120"/>
            </w:tcMar>
            <w:vAlign w:val="center"/>
          </w:tcPr>
          <w:p>
            <w:r>
              <w:rPr>
                <w:b/>
                <w:bCs/>
                <w:color w:val="FFFFFF"/>
                <w:sz w:val="18"/>
                <w:szCs w:val="18"/>
              </w:rPr>
              <w:t xml:space="preserve">Target</w:t>
            </w:r>
          </w:p>
        </w:tc>
        <w:tc>
          <w:tcPr>
            <w:tcW w:type="dxa" w:w="2600"/>
            <w:shd w:fill="7A1F3D" w:color="7A1F3D" w:val="clear"/>
            <w:tcMar>
              <w:top w:type="dxa" w:w="100"/>
              <w:left w:type="dxa" w:w="120"/>
              <w:bottom w:type="dxa" w:w="100"/>
              <w:right w:type="dxa" w:w="120"/>
            </w:tcMar>
            <w:vAlign w:val="center"/>
          </w:tcPr>
          <w:p>
            <w:r>
              <w:rPr>
                <w:b/>
                <w:bCs/>
                <w:color w:val="FFFFFF"/>
                <w:sz w:val="18"/>
                <w:szCs w:val="18"/>
              </w:rPr>
              <w:t xml:space="preserve">Frekuensi Audit</w:t>
            </w:r>
          </w:p>
        </w:tc>
      </w:tr>
      <w:tr>
        <w:tc>
          <w:tcPr>
            <w:tcW w:type="dxa" w:w="4300"/>
            <w:shd w:fill="FFFFFF" w:color="FFFFFF" w:val="clear"/>
            <w:tcMar>
              <w:top w:type="dxa" w:w="90"/>
              <w:left w:type="dxa" w:w="120"/>
              <w:bottom w:type="dxa" w:w="90"/>
              <w:right w:type="dxa" w:w="120"/>
            </w:tcMar>
            <w:vAlign w:val="center"/>
          </w:tcPr>
          <w:p>
            <w:r>
              <w:rPr>
                <w:color w:val="2A2A2A"/>
                <w:sz w:val="18"/>
                <w:szCs w:val="18"/>
              </w:rPr>
              <w:t xml:space="preserve">Cakupan skrining biopsikososial pada seluruh ibu nifas (skrining fisik + EPDS)</w:t>
            </w:r>
          </w:p>
        </w:tc>
        <w:tc>
          <w:tcPr>
            <w:tcW w:type="dxa" w:w="2400"/>
            <w:shd w:fill="FFFFFF" w:color="FFFFFF" w:val="clear"/>
            <w:tcMar>
              <w:top w:type="dxa" w:w="90"/>
              <w:left w:type="dxa" w:w="120"/>
              <w:bottom w:type="dxa" w:w="90"/>
              <w:right w:type="dxa" w:w="120"/>
            </w:tcMar>
            <w:vAlign w:val="center"/>
          </w:tcPr>
          <w:p>
            <w:r>
              <w:rPr>
                <w:color w:val="2A2A2A"/>
                <w:sz w:val="18"/>
                <w:szCs w:val="18"/>
              </w:rPr>
              <w:t xml:space="preserve">100% (standar Kepkonsil Tabel 25)</w:t>
            </w:r>
          </w:p>
        </w:tc>
        <w:tc>
          <w:tcPr>
            <w:tcW w:type="dxa" w:w="2600"/>
            <w:shd w:fill="FFFFFF" w:color="FFFFFF" w:val="clear"/>
            <w:tcMar>
              <w:top w:type="dxa" w:w="90"/>
              <w:left w:type="dxa" w:w="120"/>
              <w:bottom w:type="dxa" w:w="90"/>
              <w:right w:type="dxa" w:w="120"/>
            </w:tcMar>
            <w:vAlign w:val="center"/>
          </w:tcPr>
          <w:p>
            <w:r>
              <w:rPr>
                <w:color w:val="2A2A2A"/>
                <w:sz w:val="18"/>
                <w:szCs w:val="18"/>
              </w:rPr>
              <w:t xml:space="preserve">Bulanan</w:t>
            </w:r>
          </w:p>
        </w:tc>
      </w:tr>
      <w:tr>
        <w:tc>
          <w:tcPr>
            <w:tcW w:type="dxa" w:w="4300"/>
            <w:shd w:fill="F3E3E9" w:color="F3E3E9" w:val="clear"/>
            <w:tcMar>
              <w:top w:type="dxa" w:w="90"/>
              <w:left w:type="dxa" w:w="120"/>
              <w:bottom w:type="dxa" w:w="90"/>
              <w:right w:type="dxa" w:w="120"/>
            </w:tcMar>
            <w:vAlign w:val="center"/>
          </w:tcPr>
          <w:p>
            <w:r>
              <w:rPr>
                <w:color w:val="2A2A2A"/>
                <w:sz w:val="18"/>
                <w:szCs w:val="18"/>
              </w:rPr>
              <w:t xml:space="preserve">Kasus depresi postpartum yang mendapat rujukan ke psikiatri/psikologi</w:t>
            </w:r>
          </w:p>
        </w:tc>
        <w:tc>
          <w:tcPr>
            <w:tcW w:type="dxa" w:w="2400"/>
            <w:shd w:fill="F3E3E9" w:color="F3E3E9" w:val="clear"/>
            <w:tcMar>
              <w:top w:type="dxa" w:w="90"/>
              <w:left w:type="dxa" w:w="120"/>
              <w:bottom w:type="dxa" w:w="90"/>
              <w:right w:type="dxa" w:w="120"/>
            </w:tcMar>
            <w:vAlign w:val="center"/>
          </w:tcPr>
          <w:p>
            <w:r>
              <w:rPr>
                <w:color w:val="2A2A2A"/>
                <w:sz w:val="18"/>
                <w:szCs w:val="18"/>
              </w:rPr>
              <w:t xml:space="preserve">≥ 80% kasus (standar Kepkonsil Tabel 25)</w:t>
            </w:r>
          </w:p>
        </w:tc>
        <w:tc>
          <w:tcPr>
            <w:tcW w:type="dxa" w:w="2600"/>
            <w:shd w:fill="F3E3E9" w:color="F3E3E9" w:val="clear"/>
            <w:tcMar>
              <w:top w:type="dxa" w:w="90"/>
              <w:left w:type="dxa" w:w="120"/>
              <w:bottom w:type="dxa" w:w="90"/>
              <w:right w:type="dxa" w:w="120"/>
            </w:tcMar>
            <w:vAlign w:val="center"/>
          </w:tcPr>
          <w:p>
            <w:r>
              <w:rPr>
                <w:color w:val="2A2A2A"/>
                <w:sz w:val="18"/>
                <w:szCs w:val="18"/>
              </w:rPr>
              <w:t xml:space="preserve">Bulanan</w:t>
            </w:r>
          </w:p>
        </w:tc>
      </w:tr>
      <w:tr>
        <w:tc>
          <w:tcPr>
            <w:tcW w:type="dxa" w:w="4300"/>
            <w:shd w:fill="FFFFFF" w:color="FFFFFF" w:val="clear"/>
            <w:tcMar>
              <w:top w:type="dxa" w:w="90"/>
              <w:left w:type="dxa" w:w="120"/>
              <w:bottom w:type="dxa" w:w="90"/>
              <w:right w:type="dxa" w:w="120"/>
            </w:tcMar>
            <w:vAlign w:val="center"/>
          </w:tcPr>
          <w:p>
            <w:r>
              <w:rPr>
                <w:color w:val="2A2A2A"/>
                <w:sz w:val="18"/>
                <w:szCs w:val="18"/>
              </w:rPr>
              <w:t xml:space="preserve">Waktu tanggap rujukan kasus EPDS ≥ 13 (target &lt; 24 jam)</w:t>
            </w:r>
          </w:p>
        </w:tc>
        <w:tc>
          <w:tcPr>
            <w:tcW w:type="dxa" w:w="2400"/>
            <w:shd w:fill="FFFFFF" w:color="FFFFFF" w:val="clear"/>
            <w:tcMar>
              <w:top w:type="dxa" w:w="90"/>
              <w:left w:type="dxa" w:w="120"/>
              <w:bottom w:type="dxa" w:w="90"/>
              <w:right w:type="dxa" w:w="120"/>
            </w:tcMar>
            <w:vAlign w:val="center"/>
          </w:tcPr>
          <w:p>
            <w:r>
              <w:rPr>
                <w:color w:val="2A2A2A"/>
                <w:sz w:val="18"/>
                <w:szCs w:val="18"/>
              </w:rPr>
              <w:t xml:space="preserve">≥ 90% kasus</w:t>
            </w:r>
          </w:p>
        </w:tc>
        <w:tc>
          <w:tcPr>
            <w:tcW w:type="dxa" w:w="2600"/>
            <w:shd w:fill="FFFFFF" w:color="FFFFFF" w:val="clear"/>
            <w:tcMar>
              <w:top w:type="dxa" w:w="90"/>
              <w:left w:type="dxa" w:w="120"/>
              <w:bottom w:type="dxa" w:w="90"/>
              <w:right w:type="dxa" w:w="120"/>
            </w:tcMar>
            <w:vAlign w:val="center"/>
          </w:tcPr>
          <w:p>
            <w:r>
              <w:rPr>
                <w:color w:val="2A2A2A"/>
                <w:sz w:val="18"/>
                <w:szCs w:val="18"/>
              </w:rPr>
              <w:t xml:space="preserve">Bulanan</w:t>
            </w:r>
          </w:p>
        </w:tc>
      </w:tr>
      <w:tr>
        <w:tc>
          <w:tcPr>
            <w:tcW w:type="dxa" w:w="4300"/>
            <w:shd w:fill="F3E3E9" w:color="F3E3E9" w:val="clear"/>
            <w:tcMar>
              <w:top w:type="dxa" w:w="90"/>
              <w:left w:type="dxa" w:w="120"/>
              <w:bottom w:type="dxa" w:w="90"/>
              <w:right w:type="dxa" w:w="120"/>
            </w:tcMar>
            <w:vAlign w:val="center"/>
          </w:tcPr>
          <w:p>
            <w:r>
              <w:rPr>
                <w:color w:val="2A2A2A"/>
                <w:sz w:val="18"/>
                <w:szCs w:val="18"/>
              </w:rPr>
              <w:t xml:space="preserve">Waktu tanggap kasus ideasi bunuh diri aktif dengan rencana/niat (target &lt; 2 jam)</w:t>
            </w:r>
          </w:p>
        </w:tc>
        <w:tc>
          <w:tcPr>
            <w:tcW w:type="dxa" w:w="2400"/>
            <w:shd w:fill="F3E3E9" w:color="F3E3E9" w:val="clear"/>
            <w:tcMar>
              <w:top w:type="dxa" w:w="90"/>
              <w:left w:type="dxa" w:w="120"/>
              <w:bottom w:type="dxa" w:w="90"/>
              <w:right w:type="dxa" w:w="120"/>
            </w:tcMar>
            <w:vAlign w:val="center"/>
          </w:tcPr>
          <w:p>
            <w:r>
              <w:rPr>
                <w:color w:val="2A2A2A"/>
                <w:sz w:val="18"/>
                <w:szCs w:val="18"/>
              </w:rPr>
              <w:t xml:space="preserve">100% kasus</w:t>
            </w:r>
          </w:p>
        </w:tc>
        <w:tc>
          <w:tcPr>
            <w:tcW w:type="dxa" w:w="2600"/>
            <w:shd w:fill="F3E3E9" w:color="F3E3E9" w:val="clear"/>
            <w:tcMar>
              <w:top w:type="dxa" w:w="90"/>
              <w:left w:type="dxa" w:w="120"/>
              <w:bottom w:type="dxa" w:w="90"/>
              <w:right w:type="dxa" w:w="120"/>
            </w:tcMar>
            <w:vAlign w:val="center"/>
          </w:tcPr>
          <w:p>
            <w:r>
              <w:rPr>
                <w:color w:val="2A2A2A"/>
                <w:sz w:val="18"/>
                <w:szCs w:val="18"/>
              </w:rPr>
              <w:t xml:space="preserve">Setiap kejadian (sentinel)</w:t>
            </w:r>
          </w:p>
        </w:tc>
      </w:tr>
      <w:tr>
        <w:tc>
          <w:tcPr>
            <w:tcW w:type="dxa" w:w="4300"/>
            <w:shd w:fill="FFFFFF" w:color="FFFFFF" w:val="clear"/>
            <w:tcMar>
              <w:top w:type="dxa" w:w="90"/>
              <w:left w:type="dxa" w:w="120"/>
              <w:bottom w:type="dxa" w:w="90"/>
              <w:right w:type="dxa" w:w="120"/>
            </w:tcMar>
            <w:vAlign w:val="center"/>
          </w:tcPr>
          <w:p>
            <w:r>
              <w:rPr>
                <w:color w:val="2A2A2A"/>
                <w:sz w:val="18"/>
                <w:szCs w:val="18"/>
              </w:rPr>
              <w:t xml:space="preserve">Dokumentasi evaluasi risiko bunuh diri terstruktur pada rekam medis</w:t>
            </w:r>
          </w:p>
        </w:tc>
        <w:tc>
          <w:tcPr>
            <w:tcW w:type="dxa" w:w="2400"/>
            <w:shd w:fill="FFFFFF" w:color="FFFFFF" w:val="clear"/>
            <w:tcMar>
              <w:top w:type="dxa" w:w="90"/>
              <w:left w:type="dxa" w:w="120"/>
              <w:bottom w:type="dxa" w:w="90"/>
              <w:right w:type="dxa" w:w="120"/>
            </w:tcMar>
            <w:vAlign w:val="center"/>
          </w:tcPr>
          <w:p>
            <w:r>
              <w:rPr>
                <w:color w:val="2A2A2A"/>
                <w:sz w:val="18"/>
                <w:szCs w:val="18"/>
              </w:rPr>
              <w:t xml:space="preserve">100% kasus EPDS ≥ 13</w:t>
            </w:r>
          </w:p>
        </w:tc>
        <w:tc>
          <w:tcPr>
            <w:tcW w:type="dxa" w:w="2600"/>
            <w:shd w:fill="FFFFFF" w:color="FFFFFF" w:val="clear"/>
            <w:tcMar>
              <w:top w:type="dxa" w:w="90"/>
              <w:left w:type="dxa" w:w="120"/>
              <w:bottom w:type="dxa" w:w="90"/>
              <w:right w:type="dxa" w:w="120"/>
            </w:tcMar>
            <w:vAlign w:val="center"/>
          </w:tcPr>
          <w:p>
            <w:r>
              <w:rPr>
                <w:color w:val="2A2A2A"/>
                <w:sz w:val="18"/>
                <w:szCs w:val="18"/>
              </w:rPr>
              <w:t xml:space="preserve">Bulanan</w:t>
            </w:r>
          </w:p>
        </w:tc>
      </w:tr>
      <w:tr>
        <w:tc>
          <w:tcPr>
            <w:tcW w:type="dxa" w:w="4300"/>
            <w:shd w:fill="F3E3E9" w:color="F3E3E9" w:val="clear"/>
            <w:tcMar>
              <w:top w:type="dxa" w:w="90"/>
              <w:left w:type="dxa" w:w="120"/>
              <w:bottom w:type="dxa" w:w="90"/>
              <w:right w:type="dxa" w:w="120"/>
            </w:tcMar>
            <w:vAlign w:val="center"/>
          </w:tcPr>
          <w:p>
            <w:r>
              <w:rPr>
                <w:color w:val="2A2A2A"/>
                <w:sz w:val="18"/>
                <w:szCs w:val="18"/>
              </w:rPr>
              <w:t xml:space="preserve">Volume kasus ibu nifas dengan masalah biopsikososial yang ditangani per peserta didik subspesialis</w:t>
            </w:r>
          </w:p>
        </w:tc>
        <w:tc>
          <w:tcPr>
            <w:tcW w:type="dxa" w:w="2400"/>
            <w:shd w:fill="F3E3E9" w:color="F3E3E9" w:val="clear"/>
            <w:tcMar>
              <w:top w:type="dxa" w:w="90"/>
              <w:left w:type="dxa" w:w="120"/>
              <w:bottom w:type="dxa" w:w="90"/>
              <w:right w:type="dxa" w:w="120"/>
            </w:tcMar>
            <w:vAlign w:val="center"/>
          </w:tcPr>
          <w:p>
            <w:r>
              <w:rPr>
                <w:color w:val="2A2A2A"/>
                <w:sz w:val="18"/>
                <w:szCs w:val="18"/>
              </w:rPr>
              <w:t xml:space="preserve">≥ 10 kasus (standar minimal Kepkonsil)</w:t>
            </w:r>
          </w:p>
        </w:tc>
        <w:tc>
          <w:tcPr>
            <w:tcW w:type="dxa" w:w="2600"/>
            <w:shd w:fill="F3E3E9" w:color="F3E3E9" w:val="clear"/>
            <w:tcMar>
              <w:top w:type="dxa" w:w="90"/>
              <w:left w:type="dxa" w:w="120"/>
              <w:bottom w:type="dxa" w:w="90"/>
              <w:right w:type="dxa" w:w="120"/>
            </w:tcMar>
            <w:vAlign w:val="center"/>
          </w:tcPr>
          <w:p>
            <w:r>
              <w:rPr>
                <w:color w:val="2A2A2A"/>
                <w:sz w:val="18"/>
                <w:szCs w:val="18"/>
              </w:rPr>
              <w:t xml:space="preserve">Per siklus pendidikan</w:t>
            </w:r>
          </w:p>
        </w:tc>
      </w:tr>
    </w:tbl>
    <w:p>
      <w:pPr>
        <w:spacing w:after="200" w:before="0"/>
      </w:pPr>
    </w:p>
    <w:p>
      <w:pPr>
        <w:pBdr>
          <w:top w:val="single" w:color="7A1F3D" w:sz="4"/>
          <w:bottom w:val="single" w:color="7A1F3D" w:sz="4"/>
          <w:left w:val="single" w:color="7A1F3D" w:sz="4"/>
          <w:right w:val="single" w:color="7A1F3D" w:sz="4"/>
        </w:pBdr>
        <w:shd w:fill="7A1F3D" w:color="7A1F3D" w:val="clear"/>
        <w:spacing w:after="0" w:before="260"/>
      </w:pPr>
      <w:r>
        <w:rPr>
          <w:rFonts w:ascii="Calibri" w:cs="Calibri" w:eastAsia="Calibri" w:hAnsi="Calibri"/>
          <w:b/>
          <w:bCs/>
          <w:color w:val="FFFFFF"/>
          <w:sz w:val="22"/>
          <w:szCs w:val="22"/>
        </w:rPr>
        <w:t xml:space="preserve">15. KEPUSTAKAAN</w:t>
      </w:r>
    </w:p>
    <w:p>
      <w:pPr>
        <w:spacing w:after="40" w:before="40"/>
        <w:ind w:left="260" w:hanging="260"/>
      </w:pPr>
      <w:r>
        <w:rPr>
          <w:b/>
          <w:bCs/>
          <w:color w:val="7A1F3D"/>
          <w:sz w:val="19"/>
          <w:szCs w:val="19"/>
        </w:rPr>
        <w:t xml:space="preserve">1. </w:t>
      </w:r>
      <w:r>
        <w:rPr>
          <w:color w:val="2A2A2A"/>
          <w:sz w:val="19"/>
          <w:szCs w:val="19"/>
        </w:rPr>
        <w:t xml:space="preserve">American College of Obstetricians and Gynecologists (ACOG). Screening and Diagnosis of Mental Health Conditions During Pregnancy and Postpartum: ACOG Clinical Practice Guideline No. 4. Obstet Gynecol. 2023;141(6):1232–1261.</w:t>
      </w:r>
    </w:p>
    <w:p>
      <w:pPr>
        <w:spacing w:after="40" w:before="40"/>
        <w:ind w:left="260" w:hanging="260"/>
      </w:pPr>
      <w:r>
        <w:rPr>
          <w:b/>
          <w:bCs/>
          <w:color w:val="7A1F3D"/>
          <w:sz w:val="19"/>
          <w:szCs w:val="19"/>
        </w:rPr>
        <w:t xml:space="preserve">2. </w:t>
      </w:r>
      <w:r>
        <w:rPr>
          <w:color w:val="2A2A2A"/>
          <w:sz w:val="19"/>
          <w:szCs w:val="19"/>
        </w:rPr>
        <w:t xml:space="preserve">American College of Obstetricians and Gynecologists (ACOG). Treatment and Management of Mental Health Conditions During Pregnancy and Postpartum: ACOG Clinical Practice Guideline No. 5. Obstet Gynecol. 2023;141(6):1262–1288.</w:t>
      </w:r>
    </w:p>
    <w:p>
      <w:pPr>
        <w:spacing w:after="40" w:before="40"/>
        <w:ind w:left="260" w:hanging="260"/>
      </w:pPr>
      <w:r>
        <w:rPr>
          <w:b/>
          <w:bCs/>
          <w:color w:val="7A1F3D"/>
          <w:sz w:val="19"/>
          <w:szCs w:val="19"/>
        </w:rPr>
        <w:t xml:space="preserve">3. </w:t>
      </w:r>
      <w:r>
        <w:rPr>
          <w:color w:val="2A2A2A"/>
          <w:sz w:val="19"/>
          <w:szCs w:val="19"/>
        </w:rPr>
        <w:t xml:space="preserve">World Health Organization. mhGAP Intervention Guide for Mental, Neurological and Substance Use Disorders in Non-Specialized Health Settings, Version 2.0. Geneva: WHO; 2016.</w:t>
      </w:r>
    </w:p>
    <w:p>
      <w:pPr>
        <w:spacing w:after="40" w:before="40"/>
        <w:ind w:left="260" w:hanging="260"/>
      </w:pPr>
      <w:r>
        <w:rPr>
          <w:b/>
          <w:bCs/>
          <w:color w:val="7A1F3D"/>
          <w:sz w:val="19"/>
          <w:szCs w:val="19"/>
        </w:rPr>
        <w:t xml:space="preserve">4. </w:t>
      </w:r>
      <w:r>
        <w:rPr>
          <w:color w:val="2A2A2A"/>
          <w:sz w:val="19"/>
          <w:szCs w:val="19"/>
        </w:rPr>
        <w:t xml:space="preserve">National Institute for Health and Care Excellence (NICE). Antenatal and Postnatal Mental Health: Clinical Management and Service Guidance. Clinical Guideline 192. London: NICE; 2014 (ditinjau ulang Oktober 2024, amandemen April 2025).</w:t>
      </w:r>
    </w:p>
    <w:p>
      <w:pPr>
        <w:spacing w:after="40" w:before="40"/>
        <w:ind w:left="260" w:hanging="260"/>
      </w:pPr>
      <w:r>
        <w:rPr>
          <w:b/>
          <w:bCs/>
          <w:color w:val="7A1F3D"/>
          <w:sz w:val="19"/>
          <w:szCs w:val="19"/>
        </w:rPr>
        <w:t xml:space="preserve">5. </w:t>
      </w:r>
      <w:r>
        <w:rPr>
          <w:color w:val="2A2A2A"/>
          <w:sz w:val="19"/>
          <w:szCs w:val="19"/>
        </w:rPr>
        <w:t xml:space="preserve">Vigod SN, Frey BN, Clark CT, dkk. Canadian Network for Mood and Anxiety Treatments (CANMAT) 2024 Clinical Practice Guideline for the Management of Perinatal Mood, Anxiety, and Related Disorders. Can J Psychiatry. 2025 (dipublikasikan daring 2025).</w:t>
      </w:r>
    </w:p>
    <w:p>
      <w:pPr>
        <w:spacing w:after="40" w:before="40"/>
        <w:ind w:left="260" w:hanging="260"/>
      </w:pPr>
      <w:r>
        <w:rPr>
          <w:b/>
          <w:bCs/>
          <w:color w:val="7A1F3D"/>
          <w:sz w:val="19"/>
          <w:szCs w:val="19"/>
        </w:rPr>
        <w:t xml:space="preserve">6. </w:t>
      </w:r>
      <w:r>
        <w:rPr>
          <w:color w:val="2A2A2A"/>
          <w:sz w:val="19"/>
          <w:szCs w:val="19"/>
        </w:rPr>
        <w:t xml:space="preserve">Cox JL, Holden JM, Sagovsky R. Detection of postnatal depression: development of the 10-item Edinburgh Postnatal Depression Scale. Br J Psychiatry. 1987;150:782–786.</w:t>
      </w:r>
    </w:p>
    <w:p>
      <w:pPr>
        <w:spacing w:after="40" w:before="40"/>
        <w:ind w:left="260" w:hanging="260"/>
      </w:pPr>
      <w:r>
        <w:rPr>
          <w:b/>
          <w:bCs/>
          <w:color w:val="7A1F3D"/>
          <w:sz w:val="19"/>
          <w:szCs w:val="19"/>
        </w:rPr>
        <w:t xml:space="preserve">7. </w:t>
      </w:r>
      <w:r>
        <w:rPr>
          <w:color w:val="2A2A2A"/>
          <w:sz w:val="19"/>
          <w:szCs w:val="19"/>
        </w:rPr>
        <w:t xml:space="preserve">Hutauruk IS. Indonesian Version of the Edinburgh Postnatal Depression Scale: Cross-Cultural Adaptation and Validation. Jurnal Psikologi, Universitas Gunadarma.</w:t>
      </w:r>
    </w:p>
    <w:p>
      <w:pPr>
        <w:spacing w:after="40" w:before="40"/>
        <w:ind w:left="260" w:hanging="260"/>
      </w:pPr>
      <w:r>
        <w:rPr>
          <w:b/>
          <w:bCs/>
          <w:color w:val="7A1F3D"/>
          <w:sz w:val="19"/>
          <w:szCs w:val="19"/>
        </w:rPr>
        <w:t xml:space="preserve">8. </w:t>
      </w:r>
      <w:r>
        <w:rPr>
          <w:color w:val="2A2A2A"/>
          <w:sz w:val="19"/>
          <w:szCs w:val="19"/>
        </w:rPr>
        <w:t xml:space="preserve">Wesseloo R, Kamperman AM, Munk-Olsen T, dkk. Risk of Postpartum Relapse in Bipolar Disorder and Postpartum Psychosis: A Systematic Review and Meta-Analysis. Am J Psychiatry. 2016;173(2):117–127.</w:t>
      </w:r>
    </w:p>
    <w:p>
      <w:pPr>
        <w:spacing w:after="40" w:before="40"/>
        <w:ind w:left="260" w:hanging="260"/>
      </w:pPr>
      <w:r>
        <w:rPr>
          <w:b/>
          <w:bCs/>
          <w:color w:val="7A1F3D"/>
          <w:sz w:val="19"/>
          <w:szCs w:val="19"/>
        </w:rPr>
        <w:t xml:space="preserve">9. </w:t>
      </w:r>
      <w:r>
        <w:rPr>
          <w:color w:val="2A2A2A"/>
          <w:sz w:val="19"/>
          <w:szCs w:val="19"/>
        </w:rPr>
        <w:t xml:space="preserve">American Psychiatric Association. Diagnostic and Statistical Manual of Mental Disorders, Fifth Edition, Text Revision (DSM-5-TR). Washington, DC: APA; 2022.</w:t>
      </w:r>
    </w:p>
    <w:p>
      <w:pPr>
        <w:spacing w:after="40" w:before="40"/>
        <w:ind w:left="260" w:hanging="260"/>
      </w:pPr>
      <w:r>
        <w:rPr>
          <w:b/>
          <w:bCs/>
          <w:color w:val="7A1F3D"/>
          <w:sz w:val="19"/>
          <w:szCs w:val="19"/>
        </w:rPr>
        <w:t xml:space="preserve">10. </w:t>
      </w:r>
      <w:r>
        <w:rPr>
          <w:color w:val="2A2A2A"/>
          <w:sz w:val="19"/>
          <w:szCs w:val="19"/>
        </w:rPr>
        <w:t xml:space="preserve">U.S. Food and Drug Administration. Persetujuan zuranolone (Zurzuvae) untuk depresi postpartum, 4 Agustus 2023; persetujuan brexanolone (Zulresso), 2019. Dirujuk melalui ACOG Clinical Practice Update: Zuranolone and Brexanolone for the Treatment of Postpartum Depression (2023).</w:t>
      </w:r>
    </w:p>
    <w:p>
      <w:pPr>
        <w:spacing w:after="40" w:before="40"/>
        <w:ind w:left="260" w:hanging="260"/>
      </w:pPr>
      <w:r>
        <w:rPr>
          <w:b/>
          <w:bCs/>
          <w:color w:val="7A1F3D"/>
          <w:sz w:val="19"/>
          <w:szCs w:val="19"/>
        </w:rPr>
        <w:t xml:space="preserve">11. </w:t>
      </w:r>
      <w:r>
        <w:rPr>
          <w:color w:val="2A2A2A"/>
          <w:sz w:val="19"/>
          <w:szCs w:val="19"/>
        </w:rPr>
        <w:t xml:space="preserve">Kementerian Kesehatan Republik Indonesia. Keputusan Menteri Kesehatan Nomor HK.02.02/MENKES/73/2015 tentang Pedoman Nasional Pelayanan Kedokteran Jiwa.</w:t>
      </w:r>
    </w:p>
    <w:p>
      <w:pPr>
        <w:spacing w:after="40" w:before="40"/>
        <w:ind w:left="260" w:hanging="260"/>
      </w:pPr>
      <w:r>
        <w:rPr>
          <w:b/>
          <w:bCs/>
          <w:color w:val="7A1F3D"/>
          <w:sz w:val="19"/>
          <w:szCs w:val="19"/>
        </w:rPr>
        <w:t xml:space="preserve">12. </w:t>
      </w:r>
      <w:r>
        <w:rPr>
          <w:color w:val="2A2A2A"/>
          <w:sz w:val="19"/>
          <w:szCs w:val="19"/>
        </w:rPr>
        <w:t xml:space="preserve">Kementerian Kesehatan Republik Indonesia. Pedoman Pelayanan Antenatal, Persalinan, Nifas, dan Bayi Baru Lahir. Jakarta: Kemenkes RI; 2020.</w:t>
      </w:r>
    </w:p>
    <w:p>
      <w:pPr>
        <w:spacing w:after="40" w:before="40"/>
        <w:ind w:left="260" w:hanging="260"/>
      </w:pPr>
      <w:r>
        <w:rPr>
          <w:b/>
          <w:bCs/>
          <w:color w:val="7A1F3D"/>
          <w:sz w:val="19"/>
          <w:szCs w:val="19"/>
        </w:rPr>
        <w:t xml:space="preserve">13. </w:t>
      </w:r>
      <w:r>
        <w:rPr>
          <w:color w:val="2A2A2A"/>
          <w:sz w:val="19"/>
          <w:szCs w:val="19"/>
        </w:rPr>
        <w:t xml:space="preserve">Undang-Undang Republik Indonesia Nomor 17 Tahun 2023 tentang Kesehatan.</w:t>
      </w:r>
    </w:p>
    <w:p>
      <w:pPr>
        <w:spacing w:after="40" w:before="40"/>
        <w:ind w:left="260" w:hanging="260"/>
      </w:pPr>
      <w:r>
        <w:rPr>
          <w:b/>
          <w:bCs/>
          <w:color w:val="7A1F3D"/>
          <w:sz w:val="19"/>
          <w:szCs w:val="19"/>
        </w:rPr>
        <w:t xml:space="preserve">14. </w:t>
      </w:r>
      <w:r>
        <w:rPr>
          <w:color w:val="2A2A2A"/>
          <w:sz w:val="19"/>
          <w:szCs w:val="19"/>
        </w:rPr>
        <w:t xml:space="preserve">Undang-Undang Republik Indonesia Nomor 12 Tahun 2022 tentang Tindak Pidana Kekerasan Seksual.</w:t>
      </w:r>
    </w:p>
    <w:p>
      <w:pPr>
        <w:spacing w:after="40" w:before="40"/>
        <w:ind w:left="260" w:hanging="260"/>
      </w:pPr>
      <w:r>
        <w:rPr>
          <w:b/>
          <w:bCs/>
          <w:color w:val="7A1F3D"/>
          <w:sz w:val="19"/>
          <w:szCs w:val="19"/>
        </w:rPr>
        <w:t xml:space="preserve">15. </w:t>
      </w:r>
      <w:r>
        <w:rPr>
          <w:color w:val="2A2A2A"/>
          <w:sz w:val="19"/>
          <w:szCs w:val="19"/>
        </w:rPr>
        <w:t xml:space="preserve">Undang-Undang Republik Indonesia Nomor 23 Tahun 2004 tentang Penghapusan Kekerasan Dalam Rumah Tangga.</w:t>
      </w:r>
    </w:p>
    <w:p>
      <w:pPr>
        <w:spacing w:after="40" w:before="40"/>
        <w:ind w:left="260" w:hanging="260"/>
      </w:pPr>
      <w:r>
        <w:rPr>
          <w:b/>
          <w:bCs/>
          <w:color w:val="7A1F3D"/>
          <w:sz w:val="19"/>
          <w:szCs w:val="19"/>
        </w:rPr>
        <w:t xml:space="preserve">16. </w:t>
      </w:r>
      <w:r>
        <w:rPr>
          <w:color w:val="2A2A2A"/>
          <w:sz w:val="19"/>
          <w:szCs w:val="19"/>
        </w:rPr>
        <w:t xml:space="preserve">Keputusan Ketua Konsil Kesehatan Indonesia Nomor HK.01.02/KKI/1318/2026 tentang Standar Kompetensi Dokter Spesialis dan Subspesialis Bidang Obstetri dan Ginekologi, khususnya Tabel 11 (Spektrum Penyakit) dan Tabel 25 (Kompetensi Prosedur Klinis) Subspesialis Obstetri Ginekologi Sosial.</w:t>
      </w:r>
    </w:p>
    <w:p>
      <w:pPr>
        <w:pBdr>
          <w:left w:val="single" w:color="E6C4D1" w:sz="4"/>
        </w:pBdr>
        <w:spacing w:after="0" w:before="200"/>
        <w:ind w:left="100"/>
      </w:pPr>
      <w:r>
        <w:rPr>
          <w:i/>
          <w:iCs/>
          <w:color w:val="6B6B6B"/>
          <w:sz w:val="17"/>
          <w:szCs w:val="17"/>
        </w:rPr>
        <w:t xml:space="preserve">Catatan koreksi kepustakaan: ACOG Committee Opinion No. 757 (2018) telah digantikan oleh ACOG Clinical Practice Guideline No. 4 dan No. 5 (2023) dan karenanya tidak lagi dirujuk sebagai sumber utama. RCOG Good Practice No. 14 telah diarsipkan resmi oleh RCOG per 3 Oktober 2024 dan digantikan rujukannya oleh NICE CG192 serta pedoman Royal College of Psychiatrists; referensi tersebut telah dihapus dari daftar pustaka PPK ini.</w:t>
      </w:r>
    </w:p>
    <w:sectPr>
      <w:headerReference w:type="default" r:id="rId7"/>
      <w:footerReference w:type="default" r:id="rId8"/>
      <w:pgSz w:w="11906" w:h="16838" w:orient="portrait"/>
      <w:pgMar w:top="900" w:right="1300" w:bottom="9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6C4D1" w:sz="4"/>
      </w:pBdr>
      <w:spacing w:before="100"/>
      <w:jc w:val="center"/>
    </w:pPr>
    <w:r>
      <w:rPr>
        <w:color w:val="6B6B6B"/>
        <w:sz w:val="14"/>
        <w:szCs w:val="14"/>
      </w:rPr>
      <w:t xml:space="preserve">Perpustakaan ABBA · Jl Danau Kerinci No 9 Malang   —   Halaman </w:t>
    </w:r>
    <w:r>
      <w:rPr>
        <w:color w:val="6B6B6B"/>
        <w:sz w:val="14"/>
        <w:szCs w:val="14"/>
      </w:rPr>
      <w:fldChar w:fldCharType="begin"/>
      <w:instrText xml:space="preserve">PAGE</w:instrText>
      <w:fldChar w:fldCharType="separate"/>
      <w:fldChar w:fldCharType="end"/>
    </w:r>
    <w:r>
      <w:rPr>
        <w:color w:val="6B6B6B"/>
        <w:sz w:val="14"/>
        <w:szCs w:val="14"/>
      </w:rPr>
      <w:t xml:space="preserve"> dari </w:t>
    </w:r>
    <w:r>
      <w:rPr>
        <w:color w:val="6B6B6B"/>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6C4D1" w:sz="4"/>
      </w:pBdr>
      <w:spacing w:after="100"/>
      <w:jc w:val="right"/>
    </w:pPr>
    <w:r>
      <w:rPr>
        <w:i/>
        <w:iCs/>
        <w:color w:val="6B6B6B"/>
        <w:sz w:val="14"/>
        <w:szCs w:val="14"/>
      </w:rPr>
      <w:t xml:space="preserve">PPK — Masa Nifas dengan Masalah Biopsikososial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color w:val="7A1F3D"/>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2026-07-31T18:27:59.075Z</dcterms:created>
  <dcterms:modified xsi:type="dcterms:W3CDTF">2026-07-31T18:27:59.076Z</dcterms:modified>
</cp:coreProperties>
</file>

<file path=docProps/custom.xml><?xml version="1.0" encoding="utf-8"?>
<Properties xmlns="http://schemas.openxmlformats.org/officeDocument/2006/custom-properties" xmlns:vt="http://schemas.openxmlformats.org/officeDocument/2006/docPropsVTypes"/>
</file>