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0"/>
        <w:tblBorders>
          <w:top w:val="single" w:color="7A1F3D" w:sz="4"/>
          <w:left w:val="single" w:color="7A1F3D" w:sz="4"/>
          <w:bottom w:val="single" w:color="7A1F3D" w:sz="4"/>
          <w:right w:val="single" w:color="7A1F3D" w:sz="4"/>
          <w:insideH w:val="single" w:color="auto" w:sz="4"/>
          <w:insideV w:val="single" w:color="auto" w:sz="4"/>
        </w:tblBorders>
      </w:tblPr>
      <w:tblGrid>
        <w:gridCol w:w="9350"/>
      </w:tblGrid>
      <w:tr>
        <w:tc>
          <w:tcPr>
            <w:tcW w:type="dxa" w:w="9350"/>
            <w:shd w:fill="7A1F3D" w:val="clear"/>
            <w:tcMar>
              <w:top w:type="dxa" w:w="300"/>
              <w:left w:type="dxa" w:w="300"/>
              <w:bottom w:type="dxa" w:w="300"/>
              <w:right w:type="dxa" w:w="300"/>
            </w:tcMar>
          </w:tcPr>
          <w:p>
            <w:r>
              <w:rPr>
                <w:b/>
                <w:bCs/>
                <w:color w:val="FFDDE6"/>
                <w:sz w:val="20"/>
                <w:szCs w:val="20"/>
              </w:rPr>
              <w:t xml:space="preserve">PANDUAN PRAKTIK KLINIS (PPK)</w:t>
            </w:r>
          </w:p>
          <w:p>
            <w:pPr>
              <w:spacing w:after="100" w:before="100"/>
            </w:pPr>
            <w:r>
              <w:rPr>
                <w:b/>
                <w:bCs/>
                <w:color w:val="FFFFFF"/>
                <w:sz w:val="34"/>
                <w:szCs w:val="34"/>
              </w:rPr>
              <w:t xml:space="preserve">Terminasi Kehamilan Risiko Tinggi dan Dilatasi-Evakuasi (D&amp;E) Trimester Lanjut</w:t>
            </w:r>
          </w:p>
          <w:p>
            <w:r>
              <w:rPr>
                <w:i/>
                <w:iCs/>
                <w:color w:val="F3E3E9"/>
                <w:sz w:val="20"/>
                <w:szCs w:val="20"/>
              </w:rPr>
              <w:t xml:space="preserve">KSM Obstetri dan Ginekologi — Subspesialis Obstetri Ginekologi Sosial</w:t>
            </w:r>
          </w:p>
        </w:tc>
      </w:tr>
      <w:tr>
        <w:tc>
          <w:tcPr>
            <w:tcW w:type="dxa" w:w="9350"/>
            <w:shd w:fill="FFFFFF" w:val="clear"/>
            <w:tcMar>
              <w:top w:type="dxa" w:w="200"/>
              <w:left w:type="dxa" w:w="300"/>
              <w:bottom w:type="dxa" w:w="200"/>
              <w:right w:type="dxa" w:w="300"/>
            </w:tcMar>
          </w:tcPr>
          <w:p>
            <w:r>
              <w:rPr>
                <w:b/>
                <w:bCs/>
                <w:color w:val="7A1F3D"/>
                <w:sz w:val="18"/>
                <w:szCs w:val="18"/>
              </w:rPr>
              <w:t xml:space="preserve">BADGE DOKUMEN: </w:t>
            </w:r>
            <w:r>
              <w:rPr>
                <w:sz w:val="18"/>
                <w:szCs w:val="18"/>
              </w:rPr>
              <w:t xml:space="preserve">PPK  ·  Buku Sumber: Seri 14 Buku Ajar — Buku 2  ·  15 Komponen Baku</w:t>
            </w:r>
          </w:p>
          <w:p>
            <w:pPr>
              <w:spacing w:before="150"/>
            </w:pPr>
            <w:r>
              <w:rPr>
                <w:b/>
                <w:bCs/>
                <w:sz w:val="18"/>
                <w:szCs w:val="18"/>
              </w:rPr>
              <w:t xml:space="preserve">Nama Rumah Sakit</w:t>
            </w:r>
            <w:r>
              <w:rPr>
                <w:sz w:val="18"/>
                <w:szCs w:val="18"/>
              </w:rPr>
              <w:t xml:space="preserve"> : [Nama Rumah Sakit]</w:t>
            </w:r>
          </w:p>
          <w:p>
            <w:r>
              <w:rPr>
                <w:b/>
                <w:bCs/>
                <w:sz w:val="18"/>
                <w:szCs w:val="18"/>
              </w:rPr>
              <w:t xml:space="preserve">Nama KSM/Departemen</w:t>
            </w:r>
            <w:r>
              <w:rPr>
                <w:sz w:val="18"/>
                <w:szCs w:val="18"/>
              </w:rPr>
              <w:t xml:space="preserve"> : [Nama KSM/Departemen]</w:t>
            </w:r>
          </w:p>
          <w:p>
            <w:r>
              <w:rPr>
                <w:b/>
                <w:bCs/>
                <w:sz w:val="18"/>
                <w:szCs w:val="18"/>
              </w:rPr>
              <w:t xml:space="preserve">Nomor Dokumen</w:t>
            </w:r>
            <w:r>
              <w:rPr>
                <w:sz w:val="18"/>
                <w:szCs w:val="18"/>
              </w:rPr>
              <w:t xml:space="preserve"> : [Nomor Dokumen]</w:t>
            </w:r>
          </w:p>
          <w:p>
            <w:r>
              <w:rPr>
                <w:b/>
                <w:bCs/>
                <w:sz w:val="18"/>
                <w:szCs w:val="18"/>
              </w:rPr>
              <w:t xml:space="preserve">Tanggal Berlaku/Tinjau Ulang</w:t>
            </w:r>
            <w:r>
              <w:rPr>
                <w:sz w:val="18"/>
                <w:szCs w:val="18"/>
              </w:rPr>
              <w:t xml:space="preserve"> : [Tanggal Berlaku/Tinjau Ulang]</w:t>
            </w:r>
          </w:p>
          <w:p>
            <w:pPr>
              <w:spacing w:before="150"/>
            </w:pPr>
            <w:r>
              <w:rPr>
                <w:b/>
                <w:bCs/>
                <w:sz w:val="18"/>
                <w:szCs w:val="18"/>
              </w:rPr>
              <w:t xml:space="preserve">Penulis/Penyusun</w:t>
            </w:r>
            <w:r>
              <w:rPr>
                <w:sz w:val="18"/>
                <w:szCs w:val="18"/>
              </w:rPr>
              <w:t xml:space="preserve"> : Dr.dr. Budi Siswanto, Sp.OG., Subsp.Obginsos., SH., S.Kom.</w:t>
            </w:r>
          </w:p>
          <w:p>
            <w:r>
              <w:rPr>
                <w:b/>
                <w:bCs/>
                <w:sz w:val="18"/>
                <w:szCs w:val="18"/>
              </w:rPr>
              <w:t xml:space="preserve">Penerbit</w:t>
            </w:r>
            <w:r>
              <w:rPr>
                <w:sz w:val="18"/>
                <w:szCs w:val="18"/>
              </w:rPr>
              <w:t xml:space="preserve"> : Perpustakaan ABBA</w:t>
            </w:r>
          </w:p>
          <w:p>
            <w:r>
              <w:rPr>
                <w:b/>
                <w:bCs/>
                <w:sz w:val="18"/>
                <w:szCs w:val="18"/>
              </w:rPr>
              <w:t xml:space="preserve">Alamat Penerbit</w:t>
            </w:r>
            <w:r>
              <w:rPr>
                <w:sz w:val="18"/>
                <w:szCs w:val="18"/>
              </w:rPr>
              <w:t xml:space="preserve"> : Jl Danau Kerinci No 9 Malang</w:t>
            </w:r>
          </w:p>
        </w:tc>
      </w:tr>
    </w:tbl>
    <w:p>
      <w:pPr>
        <w:spacing w:before="200"/>
      </w:pPr>
      <w:r>
        <w:rPr>
          <w:i/>
          <w:iCs/>
          <w:color w:val="666666"/>
          <w:sz w:val="16"/>
          <w:szCs w:val="16"/>
        </w:rPr>
        <w:t xml:space="preserve">Catatan: Dokumen ini merupakan panduan praktik klinis institusional dan tidak menggantikan penilaian klinis individual maupun ketentuan hukum yang berlaku di Indonesia. Setiap tindakan terminasi kehamilan wajib melalui kajian tim dan telaah etikolegal sesuai Bagian 8.B.</w:t>
      </w:r>
    </w:p>
    <w:p>
      <w:pPr>
        <w:pStyle w:val="Heading1"/>
        <w:pBdr>
          <w:bottom w:val="single" w:color="C89B3C" w:sz="6"/>
        </w:pBdr>
        <w:shd w:fill="7A1F3D" w:val="clear"/>
        <w:spacing w:after="150" w:before="300"/>
      </w:pPr>
      <w:r>
        <w:rPr>
          <w:b/>
          <w:bCs/>
          <w:color w:val="FFFFFF"/>
          <w:sz w:val="26"/>
          <w:szCs w:val="26"/>
        </w:rPr>
        <w:t xml:space="preserve">1. Pengertian (Definisi)</w:t>
      </w:r>
    </w:p>
    <w:p>
      <w:pPr>
        <w:spacing w:after="100"/>
      </w:pPr>
      <w:r>
        <w:rPr>
          <w:sz w:val="21"/>
          <w:szCs w:val="21"/>
        </w:rPr>
        <w:t xml:space="preserve">Terminasi kehamilan risiko tinggi trimester lanjut adalah pengakhiran kehamilan yang dilakukan atas indikasi medis dan/atau legal yang sah pada usia kehamilan di atas trimester pertama (umumnya &gt;13 minggu), mencakup dua kategori indikasi yang diakui hukum Indonesia: (a) indikasi kedaruratan medis — kehamilan yang mengancam nyawa/kesehatan ibu, dan/atau kondisi kesehatan janin dengan cacat bawaan yang tidak dapat diperbaiki sehingga tidak memungkinkan hidup di luar kandungan; dan (b) kehamilan akibat tindak pidana perkosaan atau tindak pidana kekerasan seksual lain yang menyebabkan kehamilan, dibuktikan sesuai ketentuan yang berlaku (rincian dasar hukum pada sub-komponen 8.B).</w:t>
      </w:r>
    </w:p>
    <w:p>
      <w:pPr>
        <w:spacing w:after="100"/>
      </w:pPr>
      <w:r>
        <w:rPr>
          <w:sz w:val="21"/>
          <w:szCs w:val="21"/>
        </w:rPr>
        <w:t xml:space="preserve">Dilatasi-Evakuasi (D&amp;E) adalah metode terminasi kehamilan trimester kedua yang dilakukan melalui persiapan pematangan/dilatasi serviks bertahap diikuti evakuasi hasil konsepsi secara transservikal dengan bantuan instrumen dan/atau aspirasi, dilakukan oleh dokter yang kompeten di fasilitas dengan kesiapan penanganan komplikasi.</w:t>
      </w:r>
    </w:p>
    <w:p>
      <w:pPr>
        <w:spacing w:after="100"/>
      </w:pPr>
      <w:r>
        <w:rPr>
          <w:sz w:val="21"/>
          <w:szCs w:val="21"/>
        </w:rPr>
        <w:t xml:space="preserve">Tindakan ini termasuk salah satu kompetensi prosedur klinis Dokter Spesialis Obstetri dan Ginekologi Subspesialis Obstetri Ginekologi Sosial (Obginsos), yaitu dokter dengan kualifikasi lanjutan yang mampu secara mandiri dan bertanggung jawab menangani pelayanan kesehatan reproduksi perempuan berbasis keluarga dan komunitas, termasuk prosedur dengan pertimbangan etikolegal seperti terminasi kehamilan risiko tinggi dan D&amp;E lanjut, sebagaimana ditetapkan dalam Keputusan Ketua Konsil Kesehatan Indonesia Nomor HK.01.02/KKI/1318/2026 tentang Standar Kompetensi Dokter Spesialis dan Subspesialis Bidang Obstetri dan Ginekologi.</w:t>
      </w:r>
    </w:p>
    <w:p>
      <w:pPr>
        <w:spacing w:after="100"/>
      </w:pPr>
      <w:r>
        <w:rPr>
          <w:sz w:val="21"/>
          <w:szCs w:val="21"/>
        </w:rPr>
        <w:t xml:space="preserve">Tindakan ini WAJIB melalui proses skrining indikasi, kajian tim multidisiplin (obstetri, feto-maternal, anestesi, dan bila relevan psikiatri/psikologi serta tim etik-hukum rumah sakit), dan persetujuan tindakan tertulis, sebagaimana diuraikan pada komponen Tata Laksana.</w:t>
      </w:r>
    </w:p>
    <w:p>
      <w:pPr>
        <w:pStyle w:val="Heading1"/>
        <w:pBdr>
          <w:bottom w:val="single" w:color="C89B3C" w:sz="6"/>
        </w:pBdr>
        <w:shd w:fill="7A1F3D" w:val="clear"/>
        <w:spacing w:after="150" w:before="300"/>
      </w:pPr>
      <w:r>
        <w:rPr>
          <w:b/>
          <w:bCs/>
          <w:color w:val="FFFFFF"/>
          <w:sz w:val="26"/>
          <w:szCs w:val="26"/>
        </w:rPr>
        <w:t xml:space="preserve">2. Anamnesis</w:t>
      </w:r>
    </w:p>
    <w:p>
      <w:pPr>
        <w:pStyle w:val="ListParagraph"/>
        <w:numPr>
          <w:ilvl w:val="0"/>
          <w:numId w:val="1"/>
        </w:numPr>
        <w:spacing w:after="60"/>
      </w:pPr>
      <w:r>
        <w:rPr>
          <w:sz w:val="21"/>
          <w:szCs w:val="21"/>
        </w:rPr>
        <w:t xml:space="preserve">Usia kehamilan pasti berdasarkan HPHT dan/atau USG trimester pertama; bila tidak sesuai, gunakan biometri USG terkini untuk konfirmasi usia gestasi.</w:t>
      </w:r>
    </w:p>
    <w:p>
      <w:pPr>
        <w:pStyle w:val="ListParagraph"/>
        <w:numPr>
          <w:ilvl w:val="0"/>
          <w:numId w:val="1"/>
        </w:numPr>
        <w:spacing w:after="60"/>
      </w:pPr>
      <w:r>
        <w:rPr>
          <w:sz w:val="21"/>
          <w:szCs w:val="21"/>
        </w:rPr>
        <w:t xml:space="preserve">Indikasi medis ibu: riwayat penyakit jantung, hipertensi berat/preeklampsia-eklampsia refrakter terapi, penyakit ginjal/hati berat, keganasan yang memerlukan terapi segera, sepsis, gangguan psikiatri berat dengan risiko bunuh diri, atau kondisi lain yang memberatkan kehamilan.</w:t>
      </w:r>
    </w:p>
    <w:p>
      <w:pPr>
        <w:pStyle w:val="ListParagraph"/>
        <w:numPr>
          <w:ilvl w:val="0"/>
          <w:numId w:val="1"/>
        </w:numPr>
        <w:spacing w:after="60"/>
      </w:pPr>
      <w:r>
        <w:rPr>
          <w:sz w:val="21"/>
          <w:szCs w:val="21"/>
        </w:rPr>
        <w:t xml:space="preserve">Riwayat kelainan janin: hasil USG morfologi detail dan/atau pemeriksaan genetik (bila tersedia) yang mengarah pada anomali mayor letal (misalnya anensefali, trisomi 13/18, hidrops nonimun berat, dsb).</w:t>
      </w:r>
    </w:p>
    <w:p>
      <w:pPr>
        <w:pStyle w:val="ListParagraph"/>
        <w:numPr>
          <w:ilvl w:val="0"/>
          <w:numId w:val="1"/>
        </w:numPr>
        <w:spacing w:after="60"/>
      </w:pPr>
      <w:r>
        <w:rPr>
          <w:sz w:val="21"/>
          <w:szCs w:val="21"/>
        </w:rPr>
        <w:t xml:space="preserve">Riwayat kekerasan seksual (bila relevan): anamnesis dilakukan dengan pendekatan trauma-informed, tanpa menghakimi, oleh petugas terlatih; dokumentasikan kronologi seperlunya tanpa memaksa pengulangan cerita yang traumatis.</w:t>
      </w:r>
    </w:p>
    <w:p>
      <w:pPr>
        <w:pStyle w:val="ListParagraph"/>
        <w:numPr>
          <w:ilvl w:val="0"/>
          <w:numId w:val="1"/>
        </w:numPr>
        <w:spacing w:after="60"/>
      </w:pPr>
      <w:r>
        <w:rPr>
          <w:sz w:val="21"/>
          <w:szCs w:val="21"/>
        </w:rPr>
        <w:t xml:space="preserve">Riwayat obstetri dan ginekologi sebelumnya, riwayat operasi uterus (mis. seksio sesarea, miomektomi) yang memengaruhi teknik dilatasi.</w:t>
      </w:r>
    </w:p>
    <w:p>
      <w:pPr>
        <w:pStyle w:val="ListParagraph"/>
        <w:numPr>
          <w:ilvl w:val="0"/>
          <w:numId w:val="1"/>
        </w:numPr>
        <w:spacing w:after="60"/>
      </w:pPr>
      <w:r>
        <w:rPr>
          <w:sz w:val="21"/>
          <w:szCs w:val="21"/>
        </w:rPr>
        <w:t xml:space="preserve">Riwayat alergi obat, gangguan koagulasi, dan komorbiditas yang relevan dengan pemilihan metode persiapan serviks dan anestesi.</w:t>
      </w:r>
    </w:p>
    <w:p>
      <w:pPr>
        <w:pStyle w:val="Heading1"/>
        <w:pBdr>
          <w:bottom w:val="single" w:color="C89B3C" w:sz="6"/>
        </w:pBdr>
        <w:shd w:fill="7A1F3D" w:val="clear"/>
        <w:spacing w:after="150" w:before="300"/>
      </w:pPr>
      <w:r>
        <w:rPr>
          <w:b/>
          <w:bCs/>
          <w:color w:val="FFFFFF"/>
          <w:sz w:val="26"/>
          <w:szCs w:val="26"/>
        </w:rPr>
        <w:t xml:space="preserve">3. Pemeriksaan Fisik</w:t>
      </w:r>
    </w:p>
    <w:p>
      <w:pPr>
        <w:pStyle w:val="ListParagraph"/>
        <w:numPr>
          <w:ilvl w:val="0"/>
          <w:numId w:val="1"/>
        </w:numPr>
        <w:spacing w:after="60"/>
      </w:pPr>
      <w:r>
        <w:rPr>
          <w:sz w:val="21"/>
          <w:szCs w:val="21"/>
        </w:rPr>
        <w:t xml:space="preserve">Tanda vital lengkap dan status generalis, dengan perhatian khusus pada sistem yang menjadi dasar indikasi medis (kardiovaskular, renal, hepar, neurologis, dsb).</w:t>
      </w:r>
    </w:p>
    <w:p>
      <w:pPr>
        <w:pStyle w:val="ListParagraph"/>
        <w:numPr>
          <w:ilvl w:val="0"/>
          <w:numId w:val="1"/>
        </w:numPr>
        <w:spacing w:after="60"/>
      </w:pPr>
      <w:r>
        <w:rPr>
          <w:sz w:val="21"/>
          <w:szCs w:val="21"/>
        </w:rPr>
        <w:t xml:space="preserve">Pemeriksaan obstetri: tinggi fundus uteri, taksiran usia kehamilan klinis, denyut jantung janin (bila usia kehamilan viable dan status janin relevan untuk pendokumentasian).</w:t>
      </w:r>
    </w:p>
    <w:p>
      <w:pPr>
        <w:pStyle w:val="ListParagraph"/>
        <w:numPr>
          <w:ilvl w:val="0"/>
          <w:numId w:val="1"/>
        </w:numPr>
        <w:spacing w:after="60"/>
      </w:pPr>
      <w:r>
        <w:rPr>
          <w:sz w:val="21"/>
          <w:szCs w:val="21"/>
        </w:rPr>
        <w:t xml:space="preserve">Pemeriksaan ginekologi: inspekulo untuk menilai tanda infeksi/perdarahan, serta penilaian serviks (konsistensi, panjang, pembukaan) menggunakan skor Bishop termodifikasi sebagai dasar pemilihan metode persiapan serviks.</w:t>
      </w:r>
    </w:p>
    <w:p>
      <w:pPr>
        <w:pStyle w:val="ListParagraph"/>
        <w:numPr>
          <w:ilvl w:val="0"/>
          <w:numId w:val="1"/>
        </w:numPr>
        <w:spacing w:after="60"/>
      </w:pPr>
      <w:r>
        <w:rPr>
          <w:sz w:val="21"/>
          <w:szCs w:val="21"/>
        </w:rPr>
        <w:t xml:space="preserve">Tanda-tanda infeksi pelvis akut merupakan kontraindikasi relatif yang harus diatasi terlebih dahulu sebelum tindakan elektif, kecuali pada kondisi kegawatdaruratan yang mengharuskan evakuasi segera.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7"/>
        <w:gridCol w:w="3117"/>
        <w:gridCol w:w="3116"/>
      </w:tblGrid>
      <w:tr>
        <w:tc>
          <w:tcPr>
            <w:tcW w:type="dxa" w:w="3117"/>
            <w:shd w:fill="7A1F3D" w:val="clear"/>
            <w:tcMar>
              <w:top w:type="dxa" w:w="80"/>
              <w:left w:type="dxa" w:w="100"/>
              <w:bottom w:type="dxa" w:w="80"/>
              <w:right w:type="dxa" w:w="100"/>
            </w:tcMar>
            <w:vAlign w:val="center"/>
          </w:tcPr>
          <w:p>
            <w:pPr>
              <w:jc w:val="left"/>
            </w:pPr>
            <w:r>
              <w:rPr>
                <w:b/>
                <w:bCs/>
                <w:color w:val="FFFFFF"/>
                <w:sz w:val="20"/>
                <w:szCs w:val="20"/>
              </w:rPr>
              <w:t xml:space="preserve">Skor Bishop</w:t>
            </w:r>
          </w:p>
        </w:tc>
        <w:tc>
          <w:tcPr>
            <w:tcW w:type="dxa" w:w="3117"/>
            <w:shd w:fill="7A1F3D" w:val="clear"/>
            <w:tcMar>
              <w:top w:type="dxa" w:w="80"/>
              <w:left w:type="dxa" w:w="100"/>
              <w:bottom w:type="dxa" w:w="80"/>
              <w:right w:type="dxa" w:w="100"/>
            </w:tcMar>
            <w:vAlign w:val="center"/>
          </w:tcPr>
          <w:p>
            <w:pPr>
              <w:jc w:val="left"/>
            </w:pPr>
            <w:r>
              <w:rPr>
                <w:b/>
                <w:bCs/>
                <w:color w:val="FFFFFF"/>
                <w:sz w:val="20"/>
                <w:szCs w:val="20"/>
              </w:rPr>
              <w:t xml:space="preserve">Interpretasi</w:t>
            </w:r>
          </w:p>
        </w:tc>
        <w:tc>
          <w:tcPr>
            <w:tcW w:type="dxa" w:w="3116"/>
            <w:shd w:fill="7A1F3D" w:val="clear"/>
            <w:tcMar>
              <w:top w:type="dxa" w:w="80"/>
              <w:left w:type="dxa" w:w="100"/>
              <w:bottom w:type="dxa" w:w="80"/>
              <w:right w:type="dxa" w:w="100"/>
            </w:tcMar>
            <w:vAlign w:val="center"/>
          </w:tcPr>
          <w:p>
            <w:pPr>
              <w:jc w:val="left"/>
            </w:pPr>
            <w:r>
              <w:rPr>
                <w:b/>
                <w:bCs/>
                <w:color w:val="FFFFFF"/>
                <w:sz w:val="20"/>
                <w:szCs w:val="20"/>
              </w:rPr>
              <w:t xml:space="preserve">Implikasi Persiapan Serviks</w:t>
            </w:r>
          </w:p>
        </w:tc>
      </w:tr>
      <w:tr>
        <w:tc>
          <w:tcPr>
            <w:tcW w:type="dxa" w:w="3117"/>
            <w:shd w:fill="F2F2F2" w:val="clear"/>
            <w:tcMar>
              <w:top w:type="dxa" w:w="80"/>
              <w:left w:type="dxa" w:w="100"/>
              <w:bottom w:type="dxa" w:w="80"/>
              <w:right w:type="dxa" w:w="100"/>
            </w:tcMar>
            <w:vAlign w:val="center"/>
          </w:tcPr>
          <w:p>
            <w:pPr>
              <w:jc w:val="left"/>
            </w:pPr>
            <w:r>
              <w:rPr>
                <w:b w:val="false"/>
                <w:bCs w:val="false"/>
                <w:color w:val="000000"/>
                <w:sz w:val="20"/>
                <w:szCs w:val="20"/>
              </w:rPr>
              <w:t xml:space="preserve">≤ 4</w:t>
            </w:r>
          </w:p>
        </w:tc>
        <w:tc>
          <w:tcPr>
            <w:tcW w:type="dxa" w:w="3117"/>
            <w:shd w:fill="F2F2F2" w:val="clear"/>
            <w:tcMar>
              <w:top w:type="dxa" w:w="80"/>
              <w:left w:type="dxa" w:w="100"/>
              <w:bottom w:type="dxa" w:w="80"/>
              <w:right w:type="dxa" w:w="100"/>
            </w:tcMar>
            <w:vAlign w:val="center"/>
          </w:tcPr>
          <w:p>
            <w:pPr>
              <w:jc w:val="left"/>
            </w:pPr>
            <w:r>
              <w:rPr>
                <w:b w:val="false"/>
                <w:bCs w:val="false"/>
                <w:color w:val="000000"/>
                <w:sz w:val="20"/>
                <w:szCs w:val="20"/>
              </w:rPr>
              <w:t xml:space="preserve">Serviks belum matang</w:t>
            </w:r>
          </w:p>
        </w:tc>
        <w:tc>
          <w:tcPr>
            <w:tcW w:type="dxa" w:w="3116"/>
            <w:shd w:fill="F2F2F2" w:val="clear"/>
            <w:tcMar>
              <w:top w:type="dxa" w:w="80"/>
              <w:left w:type="dxa" w:w="100"/>
              <w:bottom w:type="dxa" w:w="80"/>
              <w:right w:type="dxa" w:w="100"/>
            </w:tcMar>
            <w:vAlign w:val="center"/>
          </w:tcPr>
          <w:p>
            <w:pPr>
              <w:jc w:val="left"/>
            </w:pPr>
            <w:r>
              <w:rPr>
                <w:b w:val="false"/>
                <w:bCs w:val="false"/>
                <w:color w:val="000000"/>
                <w:sz w:val="20"/>
                <w:szCs w:val="20"/>
              </w:rPr>
              <w:t xml:space="preserve">Perlu persiapan serviks intensif (osmotik + farmakologis)</w:t>
            </w:r>
          </w:p>
        </w:tc>
      </w:tr>
      <w:tr>
        <w:tc>
          <w:tcPr>
            <w:tcW w:type="dxa" w:w="3117"/>
            <w:tcMar>
              <w:top w:type="dxa" w:w="80"/>
              <w:left w:type="dxa" w:w="100"/>
              <w:bottom w:type="dxa" w:w="80"/>
              <w:right w:type="dxa" w:w="100"/>
            </w:tcMar>
            <w:vAlign w:val="center"/>
          </w:tcPr>
          <w:p>
            <w:pPr>
              <w:jc w:val="left"/>
            </w:pPr>
            <w:r>
              <w:rPr>
                <w:b w:val="false"/>
                <w:bCs w:val="false"/>
                <w:color w:val="000000"/>
                <w:sz w:val="20"/>
                <w:szCs w:val="20"/>
              </w:rPr>
              <w:t xml:space="preserve">5–7</w:t>
            </w:r>
          </w:p>
        </w:tc>
        <w:tc>
          <w:tcPr>
            <w:tcW w:type="dxa" w:w="3117"/>
            <w:tcMar>
              <w:top w:type="dxa" w:w="80"/>
              <w:left w:type="dxa" w:w="100"/>
              <w:bottom w:type="dxa" w:w="80"/>
              <w:right w:type="dxa" w:w="100"/>
            </w:tcMar>
            <w:vAlign w:val="center"/>
          </w:tcPr>
          <w:p>
            <w:pPr>
              <w:jc w:val="left"/>
            </w:pPr>
            <w:r>
              <w:rPr>
                <w:b w:val="false"/>
                <w:bCs w:val="false"/>
                <w:color w:val="000000"/>
                <w:sz w:val="20"/>
                <w:szCs w:val="20"/>
              </w:rPr>
              <w:t xml:space="preserve">Serviks cukup matang</w:t>
            </w:r>
          </w:p>
        </w:tc>
        <w:tc>
          <w:tcPr>
            <w:tcW w:type="dxa" w:w="3116"/>
            <w:tcMar>
              <w:top w:type="dxa" w:w="80"/>
              <w:left w:type="dxa" w:w="100"/>
              <w:bottom w:type="dxa" w:w="80"/>
              <w:right w:type="dxa" w:w="100"/>
            </w:tcMar>
            <w:vAlign w:val="center"/>
          </w:tcPr>
          <w:p>
            <w:pPr>
              <w:jc w:val="left"/>
            </w:pPr>
            <w:r>
              <w:rPr>
                <w:b w:val="false"/>
                <w:bCs w:val="false"/>
                <w:color w:val="000000"/>
                <w:sz w:val="20"/>
                <w:szCs w:val="20"/>
              </w:rPr>
              <w:t xml:space="preserve">Persiapan farmakologis standar</w:t>
            </w:r>
          </w:p>
        </w:tc>
      </w:tr>
      <w:tr>
        <w:tc>
          <w:tcPr>
            <w:tcW w:type="dxa" w:w="3117"/>
            <w:shd w:fill="F2F2F2" w:val="clear"/>
            <w:tcMar>
              <w:top w:type="dxa" w:w="80"/>
              <w:left w:type="dxa" w:w="100"/>
              <w:bottom w:type="dxa" w:w="80"/>
              <w:right w:type="dxa" w:w="100"/>
            </w:tcMar>
            <w:vAlign w:val="center"/>
          </w:tcPr>
          <w:p>
            <w:pPr>
              <w:jc w:val="left"/>
            </w:pPr>
            <w:r>
              <w:rPr>
                <w:b w:val="false"/>
                <w:bCs w:val="false"/>
                <w:color w:val="000000"/>
                <w:sz w:val="20"/>
                <w:szCs w:val="20"/>
              </w:rPr>
              <w:t xml:space="preserve">≥ 8</w:t>
            </w:r>
          </w:p>
        </w:tc>
        <w:tc>
          <w:tcPr>
            <w:tcW w:type="dxa" w:w="3117"/>
            <w:shd w:fill="F2F2F2" w:val="clear"/>
            <w:tcMar>
              <w:top w:type="dxa" w:w="80"/>
              <w:left w:type="dxa" w:w="100"/>
              <w:bottom w:type="dxa" w:w="80"/>
              <w:right w:type="dxa" w:w="100"/>
            </w:tcMar>
            <w:vAlign w:val="center"/>
          </w:tcPr>
          <w:p>
            <w:pPr>
              <w:jc w:val="left"/>
            </w:pPr>
            <w:r>
              <w:rPr>
                <w:b w:val="false"/>
                <w:bCs w:val="false"/>
                <w:color w:val="000000"/>
                <w:sz w:val="20"/>
                <w:szCs w:val="20"/>
              </w:rPr>
              <w:t xml:space="preserve">Serviks matang</w:t>
            </w:r>
          </w:p>
        </w:tc>
        <w:tc>
          <w:tcPr>
            <w:tcW w:type="dxa" w:w="3116"/>
            <w:shd w:fill="F2F2F2" w:val="clear"/>
            <w:tcMar>
              <w:top w:type="dxa" w:w="80"/>
              <w:left w:type="dxa" w:w="100"/>
              <w:bottom w:type="dxa" w:w="80"/>
              <w:right w:type="dxa" w:w="100"/>
            </w:tcMar>
            <w:vAlign w:val="center"/>
          </w:tcPr>
          <w:p>
            <w:pPr>
              <w:jc w:val="left"/>
            </w:pPr>
            <w:r>
              <w:rPr>
                <w:b w:val="false"/>
                <w:bCs w:val="false"/>
                <w:color w:val="000000"/>
                <w:sz w:val="20"/>
                <w:szCs w:val="20"/>
              </w:rPr>
              <w:t xml:space="preserve">Dilatasi mekanis minimal diperlukan</w:t>
            </w:r>
          </w:p>
        </w:tc>
      </w:tr>
    </w:tbl>
    <w:p>
      <w:pPr>
        <w:pStyle w:val="Heading1"/>
        <w:pBdr>
          <w:bottom w:val="single" w:color="C89B3C" w:sz="6"/>
        </w:pBdr>
        <w:shd w:fill="7A1F3D" w:val="clear"/>
        <w:spacing w:after="150" w:before="300"/>
      </w:pPr>
      <w:r>
        <w:rPr>
          <w:b/>
          <w:bCs/>
          <w:color w:val="FFFFFF"/>
          <w:sz w:val="26"/>
          <w:szCs w:val="26"/>
        </w:rPr>
        <w:t xml:space="preserve">4. Kriteria Diagnosis</w:t>
      </w:r>
    </w:p>
    <w:p>
      <w:pPr>
        <w:spacing w:after="100"/>
      </w:pPr>
      <w:r>
        <w:rPr>
          <w:sz w:val="21"/>
          <w:szCs w:val="21"/>
        </w:rPr>
        <w:t xml:space="preserve">Indikasi terminasi kehamilan risiko tinggi ditegakkan bila memenuhi salah satu kriteria berikut, dikonfirmasi oleh tim multidisiplin:</w:t>
      </w:r>
    </w:p>
    <w:p>
      <w:pPr>
        <w:pStyle w:val="ListParagraph"/>
        <w:numPr>
          <w:ilvl w:val="0"/>
          <w:numId w:val="2"/>
        </w:numPr>
        <w:spacing w:after="60"/>
      </w:pPr>
      <w:r>
        <w:rPr>
          <w:sz w:val="21"/>
          <w:szCs w:val="21"/>
        </w:rPr>
        <w:t xml:space="preserve">Indikasi kedaruratan medis — kehamilan mengancam nyawa dan kesehatan ibu: kondisi yang secara obyektif (skor severitas, hasil pemeriksaan penunjang, dan konsultasi subspesialis terkait) menunjukkan risiko kematian atau morbiditas berat ibu apabila kehamilan dilanjutkan, dikonfirmasi minimal oleh dua dokter spesialis (obstetri dan subspesialis/spesialis disiplin terkait), sesuai Pasal 117 huruf a Peraturan Pemerintah Nomor 28 Tahun 2024. Untuk indikasi ini, tidak terdapat batas usia kehamilan yang eksplisit dalam ketentuan tersebut, namun tindakan tetap diupayakan sedini mungkin sejak indikasi ditegakkan.</w:t>
      </w:r>
    </w:p>
    <w:p>
      <w:pPr>
        <w:pStyle w:val="ListParagraph"/>
        <w:numPr>
          <w:ilvl w:val="0"/>
          <w:numId w:val="2"/>
        </w:numPr>
        <w:spacing w:after="60"/>
      </w:pPr>
      <w:r>
        <w:rPr>
          <w:sz w:val="21"/>
          <w:szCs w:val="21"/>
        </w:rPr>
        <w:t xml:space="preserve">Indikasi kedaruratan medis — kelainan janin letal: dikonfirmasi melalui USG morfologi oleh konsultan feto-maternal dan, bila tersedia fasilitas, pemeriksaan genetik/sitogenetik, dengan kesimpulan tertulis bahwa kelainan bawaan tidak dapat diperbaiki sehingga tidak memungkinkan hidup di luar kandungan, sesuai Pasal 117 huruf b Peraturan Pemerintah Nomor 28 Tahun 2024.</w:t>
      </w:r>
    </w:p>
    <w:p>
      <w:pPr>
        <w:pStyle w:val="ListParagraph"/>
        <w:numPr>
          <w:ilvl w:val="0"/>
          <w:numId w:val="2"/>
        </w:numPr>
        <w:spacing w:after="60"/>
      </w:pPr>
      <w:r>
        <w:rPr>
          <w:sz w:val="21"/>
          <w:szCs w:val="21"/>
        </w:rPr>
        <w:t xml:space="preserve">Indikasi kehamilan akibat tindak pidana perkosaan atau tindak pidana kekerasan seksual lain yang menyebabkan kehamilan: didukung bukti sesuai Pasal 118 Peraturan Pemerintah Nomor 28 Tahun 2024 (a.l. surat keterangan dokter mengenai kesesuaian usia kehamilan dengan waktu kejadian, dan bukti pendukung sesuai Undang-Undang Nomor 12 Tahun 2022 tentang TPKS), dengan usia kehamilan tidak melebihi 14 (empat belas) minggu sesuai Pasal 463 ayat (2) Undang-Undang Nomor 1 Tahun 2023 tentang KUHP (berlaku efektif sejak 2 Januari 2026), serta disertai pendampingan psikososial korban.</w:t>
      </w:r>
    </w:p>
    <w:p>
      <w:pPr>
        <w:spacing w:after="100"/>
      </w:pPr>
      <w:r>
        <w:rPr>
          <w:sz w:val="21"/>
          <w:szCs w:val="21"/>
        </w:rPr>
        <w:t xml:space="preserve">Seluruh kriteria di atas wajib didokumentasikan tertulis dalam rekam medis dan ditelaah oleh tim etikolegal rumah sakit sebelum tindakan dijadwalkan, sebagaimana diuraikan pada sub-komponen Aspek Etikolegal dan Kerahasiaan (Tata Laksana).</w:t>
      </w:r>
    </w:p>
    <w:p>
      <w:pPr>
        <w:pStyle w:val="Heading1"/>
        <w:pBdr>
          <w:bottom w:val="single" w:color="C89B3C" w:sz="6"/>
        </w:pBdr>
        <w:shd w:fill="7A1F3D" w:val="clear"/>
        <w:spacing w:after="150" w:before="300"/>
      </w:pPr>
      <w:r>
        <w:rPr>
          <w:b/>
          <w:bCs/>
          <w:color w:val="FFFFFF"/>
          <w:sz w:val="26"/>
          <w:szCs w:val="26"/>
        </w:rPr>
        <w:t xml:space="preserve">5. Diagnosis Kerja</w:t>
      </w:r>
    </w:p>
    <w:p>
      <w:pPr>
        <w:spacing w:after="100"/>
      </w:pPr>
      <w:r>
        <w:rPr>
          <w:sz w:val="21"/>
          <w:szCs w:val="21"/>
        </w:rPr>
        <w:t xml:space="preserve">G_P_A_ hamil [usia gestasi] minggu janin tunggal/kembar hidup/tidak hidup, dengan indikasi terminasi kehamilan atas dasar [indikasi kedaruratan medis mengancam nyawa/kesehatan ibu / indikasi kedaruratan medis kelainan janin letal / kehamilan akibat tindak pidana perkosaan atau tindak pidana kekerasan seksual lain yang menyebabkan kehamilan, usia kehamilan ≤14 minggu], direncanakan tindakan persiapan serviks dan Dilatasi-Evakuasi (D&amp;E) / terminasi medikamentosa sesuai usia gestasi dan kondisi klinis.</w:t>
      </w:r>
    </w:p>
    <w:p>
      <w:pPr>
        <w:pStyle w:val="Heading1"/>
        <w:pBdr>
          <w:bottom w:val="single" w:color="C89B3C" w:sz="6"/>
        </w:pBdr>
        <w:shd w:fill="7A1F3D" w:val="clear"/>
        <w:spacing w:after="150" w:before="300"/>
      </w:pPr>
      <w:r>
        <w:rPr>
          <w:b/>
          <w:bCs/>
          <w:color w:val="FFFFFF"/>
          <w:sz w:val="26"/>
          <w:szCs w:val="26"/>
        </w:rPr>
        <w:t xml:space="preserve">6. Diagnosis Banding</w:t>
      </w:r>
    </w:p>
    <w:p>
      <w:pPr>
        <w:pStyle w:val="ListParagraph"/>
        <w:numPr>
          <w:ilvl w:val="0"/>
          <w:numId w:val="1"/>
        </w:numPr>
        <w:spacing w:after="60"/>
      </w:pPr>
      <w:r>
        <w:rPr>
          <w:sz w:val="21"/>
          <w:szCs w:val="21"/>
        </w:rPr>
        <w:t xml:space="preserve">Missed abortion / kematian janin dalam rahim yang belum terdiagnosis sebagai indikasi terminasi elektif.</w:t>
      </w:r>
    </w:p>
    <w:p>
      <w:pPr>
        <w:pStyle w:val="ListParagraph"/>
        <w:numPr>
          <w:ilvl w:val="0"/>
          <w:numId w:val="1"/>
        </w:numPr>
        <w:spacing w:after="60"/>
      </w:pPr>
      <w:r>
        <w:rPr>
          <w:sz w:val="21"/>
          <w:szCs w:val="21"/>
        </w:rPr>
        <w:t xml:space="preserve">Kondisi medis ibu yang masih dapat dikelola secara konservatif tanpa terminasi (memerlukan telaah ulang tim subspesialis terkait).</w:t>
      </w:r>
    </w:p>
    <w:p>
      <w:pPr>
        <w:pStyle w:val="ListParagraph"/>
        <w:numPr>
          <w:ilvl w:val="0"/>
          <w:numId w:val="1"/>
        </w:numPr>
        <w:spacing w:after="60"/>
      </w:pPr>
      <w:r>
        <w:rPr>
          <w:sz w:val="21"/>
          <w:szCs w:val="21"/>
        </w:rPr>
        <w:t xml:space="preserve">Kesalahan penentuan usia gestasi yang memengaruhi pemilihan metode (D&amp;E vs induksi persalinan vs metode trimester pertama).</w:t>
      </w:r>
    </w:p>
    <w:p>
      <w:pPr>
        <w:pStyle w:val="ListParagraph"/>
        <w:numPr>
          <w:ilvl w:val="0"/>
          <w:numId w:val="1"/>
        </w:numPr>
        <w:spacing w:after="60"/>
      </w:pPr>
      <w:r>
        <w:rPr>
          <w:sz w:val="21"/>
          <w:szCs w:val="21"/>
        </w:rPr>
        <w:t xml:space="preserve">Kelainan janin yang bersifat survivable/dapat dikoreksi pascalahir, yang keliru diklasifikasikan sebagai letal — memerlukan konfirmasi ulang oleh konsultan feto-maternal.</w:t>
      </w:r>
    </w:p>
    <w:p>
      <w:pPr>
        <w:pStyle w:val="Heading1"/>
        <w:pBdr>
          <w:bottom w:val="single" w:color="C89B3C" w:sz="6"/>
        </w:pBdr>
        <w:shd w:fill="7A1F3D" w:val="clear"/>
        <w:spacing w:after="150" w:before="300"/>
      </w:pPr>
      <w:r>
        <w:rPr>
          <w:b/>
          <w:bCs/>
          <w:color w:val="FFFFFF"/>
          <w:sz w:val="26"/>
          <w:szCs w:val="26"/>
        </w:rPr>
        <w:t xml:space="preserve">7. Pemeriksaan Penunjang</w:t>
      </w:r>
    </w:p>
    <w:p>
      <w:pPr>
        <w:pStyle w:val="ListParagraph"/>
        <w:numPr>
          <w:ilvl w:val="0"/>
          <w:numId w:val="1"/>
        </w:numPr>
        <w:spacing w:after="60"/>
      </w:pPr>
      <w:r>
        <w:rPr>
          <w:sz w:val="21"/>
          <w:szCs w:val="21"/>
        </w:rPr>
        <w:t xml:space="preserve">USG konfirmasi usia gestasi, letak plasenta, dan morfologi janin oleh operator berpengalaman/konsultan feto-maternal.</w:t>
      </w:r>
    </w:p>
    <w:p>
      <w:pPr>
        <w:pStyle w:val="ListParagraph"/>
        <w:numPr>
          <w:ilvl w:val="0"/>
          <w:numId w:val="1"/>
        </w:numPr>
        <w:spacing w:after="60"/>
      </w:pPr>
      <w:r>
        <w:rPr>
          <w:sz w:val="21"/>
          <w:szCs w:val="21"/>
        </w:rPr>
        <w:t xml:space="preserve">Laboratorium: darah perifer lengkap, golongan darah dan rhesus, crossmatch (sediakan produk darah), fungsi hemostasis (PT/aPTT), fungsi ginjal/hati sesuai indikasi komorbid.</w:t>
      </w:r>
    </w:p>
    <w:p>
      <w:pPr>
        <w:pStyle w:val="ListParagraph"/>
        <w:numPr>
          <w:ilvl w:val="0"/>
          <w:numId w:val="1"/>
        </w:numPr>
        <w:spacing w:after="60"/>
      </w:pPr>
      <w:r>
        <w:rPr>
          <w:sz w:val="21"/>
          <w:szCs w:val="21"/>
        </w:rPr>
        <w:t xml:space="preserve">Skrining infeksi menular seksual dan tanda infeksi pelvis bila dicurigai secara klinis.</w:t>
      </w:r>
    </w:p>
    <w:p>
      <w:pPr>
        <w:pStyle w:val="ListParagraph"/>
        <w:numPr>
          <w:ilvl w:val="0"/>
          <w:numId w:val="1"/>
        </w:numPr>
        <w:spacing w:after="60"/>
      </w:pPr>
      <w:r>
        <w:rPr>
          <w:sz w:val="21"/>
          <w:szCs w:val="21"/>
        </w:rPr>
        <w:t xml:space="preserve">Konsultasi genetik dan/atau feto-maternal untuk konfirmasi kelainan janin letal.</w:t>
      </w:r>
    </w:p>
    <w:p>
      <w:pPr>
        <w:pStyle w:val="ListParagraph"/>
        <w:numPr>
          <w:ilvl w:val="0"/>
          <w:numId w:val="1"/>
        </w:numPr>
        <w:spacing w:after="60"/>
      </w:pPr>
      <w:r>
        <w:rPr>
          <w:sz w:val="21"/>
          <w:szCs w:val="21"/>
        </w:rPr>
        <w:t xml:space="preserve">Konsultasi anestesi untuk perencanaan analgesia/anestesi prosedur, terutama pada komorbid berat.</w:t>
      </w:r>
    </w:p>
    <w:p>
      <w:pPr>
        <w:pStyle w:val="ListParagraph"/>
        <w:numPr>
          <w:ilvl w:val="0"/>
          <w:numId w:val="1"/>
        </w:numPr>
        <w:spacing w:after="60"/>
      </w:pPr>
      <w:r>
        <w:rPr>
          <w:sz w:val="21"/>
          <w:szCs w:val="21"/>
        </w:rPr>
        <w:t xml:space="preserve">Konsultasi psikiatri/psikologi klinis pada kasus kehamilan akibat kekerasan seksual atau tekanan psikologis berat.</w:t>
      </w:r>
    </w:p>
    <w:p>
      <w:pPr>
        <w:pStyle w:val="ListParagraph"/>
        <w:numPr>
          <w:ilvl w:val="0"/>
          <w:numId w:val="1"/>
        </w:numPr>
        <w:spacing w:after="60"/>
      </w:pPr>
      <w:r>
        <w:rPr>
          <w:sz w:val="21"/>
          <w:szCs w:val="21"/>
        </w:rPr>
        <w:t xml:space="preserve">Telaah tim etik-hukum rumah sakit untuk verifikasi kelengkapan dasar hukum tindakan.</w:t>
      </w:r>
    </w:p>
    <w:p>
      <w:pPr>
        <w:pStyle w:val="Heading1"/>
        <w:pBdr>
          <w:bottom w:val="single" w:color="C89B3C" w:sz="6"/>
        </w:pBdr>
        <w:shd w:fill="7A1F3D" w:val="clear"/>
        <w:spacing w:after="150" w:before="300"/>
      </w:pPr>
      <w:r>
        <w:rPr>
          <w:b/>
          <w:bCs/>
          <w:color w:val="FFFFFF"/>
          <w:sz w:val="26"/>
          <w:szCs w:val="26"/>
        </w:rPr>
        <w:t xml:space="preserve">8. Tata Laksana (Terapi)</w:t>
      </w:r>
    </w:p>
    <w:p>
      <w:pPr>
        <w:pStyle w:val="Heading2"/>
        <w:spacing w:after="100" w:before="200"/>
      </w:pPr>
      <w:r>
        <w:rPr>
          <w:b/>
          <w:bCs/>
          <w:color w:val="7A1F3D"/>
          <w:sz w:val="22"/>
          <w:szCs w:val="22"/>
        </w:rPr>
        <w:t xml:space="preserve">8.A Kriteria Seleksi Pasien</w:t>
      </w:r>
    </w:p>
    <w:p>
      <w:pPr>
        <w:pStyle w:val="ListParagraph"/>
        <w:numPr>
          <w:ilvl w:val="0"/>
          <w:numId w:val="1"/>
        </w:numPr>
        <w:spacing w:after="60"/>
      </w:pPr>
      <w:r>
        <w:rPr>
          <w:sz w:val="21"/>
          <w:szCs w:val="21"/>
        </w:rPr>
        <w:t xml:space="preserve">Diagnosis dan indikasi telah dikonfirmasi tertulis oleh tim multidisiplin sesuai komponen 4 (Kriteria Diagnosis).</w:t>
      </w:r>
    </w:p>
    <w:p>
      <w:pPr>
        <w:pStyle w:val="ListParagraph"/>
        <w:numPr>
          <w:ilvl w:val="0"/>
          <w:numId w:val="1"/>
        </w:numPr>
        <w:spacing w:after="60"/>
      </w:pPr>
      <w:r>
        <w:rPr>
          <w:sz w:val="21"/>
          <w:szCs w:val="21"/>
        </w:rPr>
        <w:t xml:space="preserve">Usia kehamilan terkonfirmasi USG, dengan metode dipilih sesuai usia gestasi: D&amp;E umumnya dipilih untuk usia gestasi 13–24 minggu di fasilitas dengan operator dan peralatan memadai (dasar klinis: ACOG Practice Bulletin No. 135 dan Society of Family Planning 2020); di luar rentang ini atau bila fasilitas D&amp;E tidak tersedia, dipertimbangkan terminasi medikamentosa/induksi persalinan. Rentang ini merupakan pertimbangan kelayakan klinis-operasional, bukan batas legalitas tindakan sebagaimana diuraikan pada 8.B.</w:t>
      </w:r>
    </w:p>
    <w:p>
      <w:pPr>
        <w:pStyle w:val="ListParagraph"/>
        <w:numPr>
          <w:ilvl w:val="0"/>
          <w:numId w:val="1"/>
        </w:numPr>
        <w:spacing w:after="60"/>
      </w:pPr>
      <w:r>
        <w:rPr>
          <w:sz w:val="21"/>
          <w:szCs w:val="21"/>
        </w:rPr>
        <w:t xml:space="preserve">Tidak terdapat kontraindikasi mutlak (mis. koagulopati tidak terkoreksi, infeksi pelvis akut tidak diobati, ketidakstabilan hemodinamik yang memerlukan stabilisasi lebih dulu — tindakan tetap dapat dipercepat pada kondisi kegawatdaruratan mengancam nyawa dengan penyesuaian tata laksana).</w:t>
      </w:r>
    </w:p>
    <w:p>
      <w:pPr>
        <w:pStyle w:val="ListParagraph"/>
        <w:numPr>
          <w:ilvl w:val="0"/>
          <w:numId w:val="1"/>
        </w:numPr>
        <w:spacing w:after="60"/>
      </w:pPr>
      <w:r>
        <w:rPr>
          <w:sz w:val="21"/>
          <w:szCs w:val="21"/>
        </w:rPr>
        <w:t xml:space="preserve">Persetujuan tindakan tertulis telah diperoleh sesuai format pada 8.C, dan bila indikasi berbasis kehamilan akibat tindak pidana perkosaan/kekerasan seksual lain, bukti pendukung sesuai Pasal 118 PP No. 28 Tahun 2024 telah diverifikasi tim etikolegal.</w:t>
      </w:r>
    </w:p>
    <w:p>
      <w:pPr>
        <w:pStyle w:val="ListParagraph"/>
        <w:numPr>
          <w:ilvl w:val="0"/>
          <w:numId w:val="1"/>
        </w:numPr>
        <w:spacing w:after="60"/>
      </w:pPr>
      <w:r>
        <w:rPr>
          <w:sz w:val="21"/>
          <w:szCs w:val="21"/>
        </w:rPr>
        <w:t xml:space="preserve">Tersedia kesiapan penanganan komplikasi (produk darah, akses ke tindakan bedah emergensi, tim anestesi siaga).</w:t>
      </w:r>
    </w:p>
    <w:p>
      <w:pPr>
        <w:pStyle w:val="Heading2"/>
        <w:spacing w:after="100" w:before="200"/>
      </w:pPr>
      <w:r>
        <w:rPr>
          <w:b/>
          <w:bCs/>
          <w:color w:val="7A1F3D"/>
          <w:sz w:val="22"/>
          <w:szCs w:val="22"/>
        </w:rPr>
        <w:t xml:space="preserve">8.B Aspek Etikolegal dan Kerahasiaan</w:t>
      </w:r>
    </w:p>
    <w:p>
      <w:pPr>
        <w:spacing w:after="100"/>
      </w:pPr>
      <w:r>
        <w:rPr>
          <w:sz w:val="21"/>
          <w:szCs w:val="21"/>
        </w:rPr>
        <w:t xml:space="preserve">Tindakan terminasi kehamilan di Indonesia dilarang kecuali memenuhi kriteria yang dikecualikan sesuai ketentuan hukum pidana (Pasal 60 ayat (1) Undang-Undang Nomor 17 Tahun 2023 tentang Kesehatan). Pelaksanaannya hanya boleh dilakukan oleh tenaga medis dan tenaga kesehatan yang berwenang, di fasilitas pelayanan kesehatan yang memenuhi syarat, dengan persetujuan perempuan hamil (dan suami, kecuali korban perkosaan/kekerasan seksual) — Pasal 60 ayat (2) UU Nomor 17 Tahun 2023.</w:t>
      </w:r>
    </w:p>
    <w:p>
      <w:pPr>
        <w:pStyle w:val="ListParagraph"/>
        <w:numPr>
          <w:ilvl w:val="0"/>
          <w:numId w:val="1"/>
        </w:numPr>
        <w:spacing w:after="60"/>
      </w:pPr>
      <w:r>
        <w:rPr>
          <w:sz w:val="21"/>
          <w:szCs w:val="21"/>
        </w:rPr>
        <w:t xml:space="preserve">Dua kategori indikasi yang dikecualikan dari larangan pidana: (1) indikasi kedaruratan medis — meliputi kehamilan yang mengancam nyawa/kesehatan ibu, dan/atau kondisi kesehatan janin dengan cacat bawaan yang tidak dapat diperbaiki sehingga tidak memungkinkan hidup di luar kandungan (Pasal 117 Peraturan Pemerintah Nomor 28 Tahun 2024); dan (2) kehamilan akibat tindak pidana perkosaan atau tindak pidana kekerasan seksual lain yang menyebabkan kehamilan, dengan usia kehamilan tidak melebihi 14 minggu (Pasal 463 ayat (2) Undang-Undang Nomor 1 Tahun 2023 tentang KUHP, berlaku efektif sejak 2 Januari 2026, sebagaimana turut disesuaikan melalui Undang-Undang Nomor 1 Tahun 2026 tentang Penyesuaian Pidana).</w:t>
      </w:r>
    </w:p>
    <w:p>
      <w:pPr>
        <w:pStyle w:val="ListParagraph"/>
        <w:numPr>
          <w:ilvl w:val="0"/>
          <w:numId w:val="1"/>
        </w:numPr>
        <w:spacing w:after="60"/>
      </w:pPr>
      <w:r>
        <w:rPr>
          <w:sz w:val="21"/>
          <w:szCs w:val="21"/>
        </w:rPr>
        <w:t xml:space="preserve">Ketentuan pidana: perempuan yang melakukan aborsi di luar kriteria yang dikecualikan diancam pidana penjara paling lama 4 tahun (Pasal 427 UU Nomor 17 Tahun 2023); pelaku yang melakukan aborsi tidak sesuai ketentuan terhadap perempuan lain diancam pidana lebih berat, dengan pemberatan bila mengakibatkan kematian (Pasal 428). Namun, tenaga medis/tenaga kesehatan yang melakukan aborsi karena indikasi kedaruratan medis atau terhadap korban tindak pidana perkosaan/kekerasan seksual lain yang menyebabkan kehamilan sesuai Pasal 60, TIDAK DIPIDANA (Pasal 429 ayat (3) UU Nomor 17 Tahun 2023). Ketentuan ini menjadi dasar perlindungan hukum bagi tim medis yang bertindak sesuai PPK ini.</w:t>
      </w:r>
    </w:p>
    <w:p>
      <w:pPr>
        <w:pStyle w:val="ListParagraph"/>
        <w:numPr>
          <w:ilvl w:val="0"/>
          <w:numId w:val="1"/>
        </w:numPr>
        <w:spacing w:after="60"/>
      </w:pPr>
      <w:r>
        <w:rPr>
          <w:sz w:val="21"/>
          <w:szCs w:val="21"/>
        </w:rPr>
        <w:t xml:space="preserve">Pembuktian kehamilan akibat perkosaan/kekerasan seksual mengacu Pasal 118 Peraturan Pemerintah Nomor 28 Tahun 2024 (a.l. surat keterangan dokter atas kesesuaian usia kehamilan dengan waktu kejadian) serta Undang-Undang Nomor 12 Tahun 2022 tentang Tindak Pidana Kekerasan Seksual (TPKS) sebagai dasar pembuktian dan pendampingan korban. Bila kehamilan terkait kekerasan dalam rumah tangga, turut diperhatikan Undang-Undang Nomor 23 Tahun 2004 tentang Penghapusan Kekerasan Dalam Rumah Tangga (PKDRT). Pasal 124 PP Nomor 28 Tahun 2024 mengatur hak korban atas pendampingan konselor apabila memutuskan membatalkan aborsi, termasuk hak pengasuhan anak yang dilahirkan.</w:t>
      </w:r>
    </w:p>
    <w:p>
      <w:pPr>
        <w:pStyle w:val="ListParagraph"/>
        <w:numPr>
          <w:ilvl w:val="0"/>
          <w:numId w:val="1"/>
        </w:numPr>
        <w:spacing w:after="60"/>
      </w:pPr>
      <w:r>
        <w:rPr>
          <w:sz w:val="21"/>
          <w:szCs w:val="21"/>
        </w:rPr>
        <w:t xml:space="preserve">Rekomendasi klinis WHO Abortion Care Guideline (edisi ke-2, 2025) diterapkan HANYA sepanjang tidak bertentangan dengan batasan hukum Indonesia di atas; dokter WAJIB memastikan legalitas indikasi (termasuk verifikasi usia kehamilan pada indikasi korban kekerasan seksual) sebelum melaksanakan langkah klinis pada 8.D.</w:t>
      </w:r>
    </w:p>
    <w:p>
      <w:pPr>
        <w:pStyle w:val="ListParagraph"/>
        <w:numPr>
          <w:ilvl w:val="0"/>
          <w:numId w:val="1"/>
        </w:numPr>
        <w:spacing w:after="60"/>
      </w:pPr>
      <w:r>
        <w:rPr>
          <w:sz w:val="21"/>
          <w:szCs w:val="21"/>
        </w:rPr>
        <w:t xml:space="preserve">Kerahasiaan identitas dan kondisi pasien, terutama pada kasus kekerasan seksual, dijaga ketat sesuai ketentuan rekam medis dan perlindungan data pasien; akses informasi dibatasi hanya bagi tim yang terlibat langsung dalam tata laksana.</w:t>
      </w:r>
    </w:p>
    <w:p>
      <w:pPr>
        <w:pStyle w:val="ListParagraph"/>
        <w:numPr>
          <w:ilvl w:val="0"/>
          <w:numId w:val="1"/>
        </w:numPr>
        <w:spacing w:after="60"/>
      </w:pPr>
      <w:r>
        <w:rPr>
          <w:sz w:val="21"/>
          <w:szCs w:val="21"/>
        </w:rPr>
        <w:t xml:space="preserve">Setiap kasus wajib ditelaah oleh tim etik rumah sakit (atau komite serupa) sebelum penjadwalan tindakan, dengan dokumentasi tertulis hasil telaah dalam rekam medis, termasuk identifikasi kasus etikomedikolegal sebagai bagian kompetensi anamnesis Obginsos sesuai Kepkonsil HK.01.02/KKI/1318/2026.</w:t>
      </w:r>
    </w:p>
    <w:p>
      <w:pPr>
        <w:pStyle w:val="ListParagraph"/>
        <w:numPr>
          <w:ilvl w:val="0"/>
          <w:numId w:val="1"/>
        </w:numPr>
        <w:spacing w:after="60"/>
      </w:pPr>
      <w:r>
        <w:rPr>
          <w:sz w:val="21"/>
          <w:szCs w:val="21"/>
        </w:rPr>
        <w:t xml:space="preserve">Bahasa komunikasi dengan pasien korban kekerasan seksual bersifat nonjudgmental, menghormati otonomi dan martabat pasien, serta menghindari stigmatisasi.</w:t>
      </w:r>
    </w:p>
    <w:p>
      <w:pPr>
        <w:spacing w:after="100"/>
      </w:pPr>
      <w:r>
        <w:rPr>
          <w:i/>
          <w:iCs/>
          <w:sz w:val="19"/>
          <w:szCs w:val="19"/>
        </w:rPr>
        <w:t xml:space="preserve">Catatan transisi regulasi: sebelum 2 Januari 2026, batas usia kehamilan untuk indikasi korban perkosaan mengacu Pasal 31 Peraturan Pemerintah Nomor 61 Tahun 2014 tentang Kesehatan Reproduksi (40 hari dihitung sejak hari pertama haid terakhir), sebagaimana dinyatakan berlaku sementara oleh Pasal 1154 PP Nomor 28 Tahun 2024. Sejak KUHP Baru berlaku efektif, ketentuan yang digunakan adalah batas 14 minggu sesuai Pasal 463 ayat (2) KUHP Baru. Dokumen ini disusun pada masa KUHP Baru telah berlaku sehingga mengacu ketentuan 14 minggu tersebut; unit kerja WAJIB memverifikasi status regulasi terkini pada saat penerapan.</w:t>
      </w:r>
    </w:p>
    <w:p>
      <w:pPr>
        <w:pStyle w:val="Heading2"/>
        <w:spacing w:after="100" w:before="200"/>
      </w:pPr>
      <w:r>
        <w:rPr>
          <w:b/>
          <w:bCs/>
          <w:color w:val="7A1F3D"/>
          <w:sz w:val="22"/>
          <w:szCs w:val="22"/>
        </w:rPr>
        <w:t xml:space="preserve">8.C Format Informed Consent Tertulis</w:t>
      </w:r>
    </w:p>
    <w:p>
      <w:pPr>
        <w:spacing w:after="100"/>
      </w:pPr>
      <w:r>
        <w:rPr>
          <w:sz w:val="21"/>
          <w:szCs w:val="21"/>
        </w:rPr>
        <w:t xml:space="preserve">Formulir persetujuan tindakan wajib memuat komponen minimal berikut, dijelaskan dalam bahasa yang dipahami pasien sebelum penandatanganan:</w:t>
      </w:r>
    </w:p>
    <w:p>
      <w:pPr>
        <w:pStyle w:val="ListParagraph"/>
        <w:numPr>
          <w:ilvl w:val="0"/>
          <w:numId w:val="3"/>
        </w:numPr>
        <w:spacing w:after="60"/>
      </w:pPr>
      <w:r>
        <w:rPr>
          <w:sz w:val="21"/>
          <w:szCs w:val="21"/>
        </w:rPr>
        <w:t xml:space="preserve">Identitas pasien dan wali/pendamping (bila ada), serta identitas dokter penjelas.</w:t>
      </w:r>
    </w:p>
    <w:p>
      <w:pPr>
        <w:pStyle w:val="ListParagraph"/>
        <w:numPr>
          <w:ilvl w:val="0"/>
          <w:numId w:val="3"/>
        </w:numPr>
        <w:spacing w:after="60"/>
      </w:pPr>
      <w:r>
        <w:rPr>
          <w:sz w:val="21"/>
          <w:szCs w:val="21"/>
        </w:rPr>
        <w:t xml:space="preserve">Diagnosis, indikasi, dan dasar hukum tindakan yang dijelaskan secara ringkas dan dapat dipahami.</w:t>
      </w:r>
    </w:p>
    <w:p>
      <w:pPr>
        <w:pStyle w:val="ListParagraph"/>
        <w:numPr>
          <w:ilvl w:val="0"/>
          <w:numId w:val="3"/>
        </w:numPr>
        <w:spacing w:after="60"/>
      </w:pPr>
      <w:r>
        <w:rPr>
          <w:sz w:val="21"/>
          <w:szCs w:val="21"/>
        </w:rPr>
        <w:t xml:space="preserve">Uraian prosedur yang akan dilakukan (persiapan serviks, tindakan evakuasi, jenis anestesi/analgesia).</w:t>
      </w:r>
    </w:p>
    <w:p>
      <w:pPr>
        <w:pStyle w:val="ListParagraph"/>
        <w:numPr>
          <w:ilvl w:val="0"/>
          <w:numId w:val="3"/>
        </w:numPr>
        <w:spacing w:after="60"/>
      </w:pPr>
      <w:r>
        <w:rPr>
          <w:sz w:val="21"/>
          <w:szCs w:val="21"/>
        </w:rPr>
        <w:t xml:space="preserve">Risiko dan komplikasi yang mungkin terjadi (perdarahan, infeksi, perforasi uterus, kegagalan evakuasi lengkap, risiko terhadap kesuburan di masa depan) beserta perkiraan frekuensi.</w:t>
      </w:r>
    </w:p>
    <w:p>
      <w:pPr>
        <w:pStyle w:val="ListParagraph"/>
        <w:numPr>
          <w:ilvl w:val="0"/>
          <w:numId w:val="3"/>
        </w:numPr>
        <w:spacing w:after="60"/>
      </w:pPr>
      <w:r>
        <w:rPr>
          <w:sz w:val="21"/>
          <w:szCs w:val="21"/>
        </w:rPr>
        <w:t xml:space="preserve">Alternatif tindakan yang tersedia (bila ada) beserta konsekuensinya.</w:t>
      </w:r>
    </w:p>
    <w:p>
      <w:pPr>
        <w:pStyle w:val="ListParagraph"/>
        <w:numPr>
          <w:ilvl w:val="0"/>
          <w:numId w:val="3"/>
        </w:numPr>
        <w:spacing w:after="60"/>
      </w:pPr>
      <w:r>
        <w:rPr>
          <w:sz w:val="21"/>
          <w:szCs w:val="21"/>
        </w:rPr>
        <w:t xml:space="preserve">Pernyataan bahwa pasien memahami penjelasan dan menyetujui/menolak tindakan secara sukarela, tanpa paksaan.</w:t>
      </w:r>
    </w:p>
    <w:p>
      <w:pPr>
        <w:pStyle w:val="ListParagraph"/>
        <w:numPr>
          <w:ilvl w:val="0"/>
          <w:numId w:val="3"/>
        </w:numPr>
        <w:spacing w:after="60"/>
      </w:pPr>
      <w:r>
        <w:rPr>
          <w:sz w:val="21"/>
          <w:szCs w:val="21"/>
        </w:rPr>
        <w:t xml:space="preserve">Kolom tanda tangan pasien/wali, saksi, dan dokter, disertai tanggal dan waktu.</w:t>
      </w:r>
    </w:p>
    <w:p>
      <w:pPr>
        <w:pStyle w:val="ListParagraph"/>
        <w:numPr>
          <w:ilvl w:val="0"/>
          <w:numId w:val="3"/>
        </w:numPr>
        <w:spacing w:after="60"/>
      </w:pPr>
      <w:r>
        <w:rPr>
          <w:sz w:val="21"/>
          <w:szCs w:val="21"/>
        </w:rPr>
        <w:t xml:space="preserve">Pada kasus korban kekerasan seksual: pernyataan bahwa proses persetujuan dilakukan dengan pendampingan (psikolog/pekerja sosial) dan tanpa tekanan pihak manapun.</w:t>
      </w:r>
    </w:p>
    <w:p>
      <w:pPr>
        <w:pStyle w:val="Heading2"/>
        <w:spacing w:after="100" w:before="200"/>
      </w:pPr>
      <w:r>
        <w:rPr>
          <w:b/>
          <w:bCs/>
          <w:color w:val="7A1F3D"/>
          <w:sz w:val="22"/>
          <w:szCs w:val="22"/>
        </w:rPr>
        <w:t xml:space="preserve">8.D Tahapan Tindakan (mengacu WHO Abortion Care Guideline Edisi ke-2, 2025)</w:t>
      </w:r>
    </w:p>
    <w:p>
      <w:pPr>
        <w:spacing w:after="100"/>
      </w:pPr>
      <w:r>
        <w:rPr>
          <w:sz w:val="21"/>
          <w:szCs w:val="21"/>
        </w:rPr>
        <w:t xml:space="preserve">Tahapan berikut disusun mengikuti prinsip umum WHO Abortion Care Guideline edisi ke-2 (2025, memutakhirkan edisi pertama 2022) mengenai persiapan serviks, prosedur evakuasi, dan pemantauan pascatindakan, diperkaya dengan rekomendasi Society of Family Planning (2020) mengenai persiapan serviks untuk D&amp;E usia gestasi 20–24 minggu dan bagan dosis FIGO Committee on Safe Abortion (2023), disesuaikan dengan konteks sumber daya dan regulasi Indonesia. Rincian dosis merupakan rentang umum yang harus disesuaikan protokol farmasi rumah sakit, bagan dosis acuan, dan kondisi klinis individual — bukan resep baku untuk seluruh kasus.</w:t>
      </w:r>
    </w:p>
    <w:tbl>
      <w:tblPr>
        <w:tblW w:type="dxa" w:w="9000"/>
        <w:tblBorders>
          <w:top w:val="single" w:color="7A1F3D" w:sz="4"/>
          <w:left w:val="single" w:color="7A1F3D" w:sz="4"/>
          <w:bottom w:val="single" w:color="7A1F3D" w:sz="4"/>
          <w:right w:val="single" w:color="7A1F3D" w:sz="4"/>
          <w:insideH w:val="single" w:color="auto" w:sz="4"/>
          <w:insideV w:val="single" w:color="auto" w:sz="4"/>
        </w:tblBorders>
      </w:tblPr>
      <w:tblGrid>
        <w:gridCol w:w="9000"/>
      </w:tblGrid>
      <w:tr>
        <w:tc>
          <w:tcPr>
            <w:tcW w:type="dxa" w:w="9000"/>
            <w:shd w:fill="F3E3E9" w:val="clear"/>
            <w:tcMar>
              <w:top w:type="dxa" w:w="100"/>
              <w:left w:type="dxa" w:w="150"/>
              <w:bottom w:type="dxa" w:w="100"/>
              <w:right w:type="dxa" w:w="150"/>
            </w:tcMar>
          </w:tcPr>
          <w:p>
            <w:r>
              <w:rPr>
                <w:b w:val="false"/>
                <w:bCs w:val="false"/>
                <w:sz w:val="20"/>
                <w:szCs w:val="20"/>
              </w:rPr>
              <w:t xml:space="preserve">TAHAP 1 — PERSIAPAN SERVIKS
Dimulai umumnya 12–24 jam sebelum tindakan; pada usia gestasi ≥20 minggu, waktu persiapan dapat lebih lama dan idealnya menggabungkan dilator osmotik (batang laminaria/dilator sintetik) dengan agen farmakologis (mis. misoprostol) sesuai rekomendasi Society of Family Planning (2020) dan bagan dosis FIGO (2023). Pemilihan metode disesuaikan skor Bishop (lihat tabel komponen 3) dan usia gestasi; dosis dan rute mengacu protokol farmasi RS.</w:t>
            </w:r>
          </w:p>
        </w:tc>
      </w:tr>
    </w:tbl>
    <w:p>
      <w:pPr>
        <w:spacing w:after="40" w:before="40"/>
        <w:jc w:val="center"/>
      </w:pPr>
      <w:r>
        <w:rPr>
          <w:b/>
          <w:bCs/>
          <w:color w:val="7A1F3D"/>
          <w:sz w:val="28"/>
          <w:szCs w:val="28"/>
        </w:rPr>
        <w:t xml:space="preserve">↓</w:t>
      </w:r>
    </w:p>
    <w:tbl>
      <w:tblPr>
        <w:tblW w:type="dxa" w:w="9000"/>
        <w:tblBorders>
          <w:top w:val="single" w:color="7A1F3D" w:sz="4"/>
          <w:left w:val="single" w:color="7A1F3D" w:sz="4"/>
          <w:bottom w:val="single" w:color="7A1F3D" w:sz="4"/>
          <w:right w:val="single" w:color="7A1F3D" w:sz="4"/>
          <w:insideH w:val="single" w:color="auto" w:sz="4"/>
          <w:insideV w:val="single" w:color="auto" w:sz="4"/>
        </w:tblBorders>
      </w:tblPr>
      <w:tblGrid>
        <w:gridCol w:w="9000"/>
      </w:tblGrid>
      <w:tr>
        <w:tc>
          <w:tcPr>
            <w:tcW w:type="dxa" w:w="9000"/>
            <w:shd w:fill="F2F2F2" w:val="clear"/>
            <w:tcMar>
              <w:top w:type="dxa" w:w="100"/>
              <w:left w:type="dxa" w:w="150"/>
              <w:bottom w:type="dxa" w:w="100"/>
              <w:right w:type="dxa" w:w="150"/>
            </w:tcMar>
          </w:tcPr>
          <w:p>
            <w:r>
              <w:rPr>
                <w:b w:val="false"/>
                <w:bCs w:val="false"/>
                <w:sz w:val="20"/>
                <w:szCs w:val="20"/>
              </w:rPr>
              <w:t xml:space="preserve">TAHAP 2 — EVALUASI ULANG SEBELUM PROSEDUR
Konfirmasi tanda vital stabil, hasil laboratorium terkini, ketersediaan produk darah, kesiapan tim anestesi, dan derajat dilatasi serviks yang telah dicapai. Persetujuan tindakan (informed consent) diverifikasi lengkap.</w:t>
            </w:r>
          </w:p>
        </w:tc>
      </w:tr>
    </w:tbl>
    <w:p>
      <w:pPr>
        <w:spacing w:after="40" w:before="40"/>
        <w:jc w:val="center"/>
      </w:pPr>
      <w:r>
        <w:rPr>
          <w:b/>
          <w:bCs/>
          <w:color w:val="7A1F3D"/>
          <w:sz w:val="28"/>
          <w:szCs w:val="28"/>
        </w:rPr>
        <w:t xml:space="preserve">↓</w:t>
      </w:r>
    </w:p>
    <w:tbl>
      <w:tblPr>
        <w:tblW w:type="dxa" w:w="9000"/>
        <w:tblBorders>
          <w:top w:val="single" w:color="7A1F3D" w:sz="4"/>
          <w:left w:val="single" w:color="7A1F3D" w:sz="4"/>
          <w:bottom w:val="single" w:color="7A1F3D" w:sz="4"/>
          <w:right w:val="single" w:color="7A1F3D" w:sz="4"/>
          <w:insideH w:val="single" w:color="auto" w:sz="4"/>
          <w:insideV w:val="single" w:color="auto" w:sz="4"/>
        </w:tblBorders>
      </w:tblPr>
      <w:tblGrid>
        <w:gridCol w:w="9000"/>
      </w:tblGrid>
      <w:tr>
        <w:tc>
          <w:tcPr>
            <w:tcW w:type="dxa" w:w="9000"/>
            <w:shd w:fill="F3E3E9" w:val="clear"/>
            <w:tcMar>
              <w:top w:type="dxa" w:w="100"/>
              <w:left w:type="dxa" w:w="150"/>
              <w:bottom w:type="dxa" w:w="100"/>
              <w:right w:type="dxa" w:w="150"/>
            </w:tcMar>
          </w:tcPr>
          <w:p>
            <w:r>
              <w:rPr>
                <w:b w:val="false"/>
                <w:bCs w:val="false"/>
                <w:sz w:val="20"/>
                <w:szCs w:val="20"/>
              </w:rPr>
              <w:t xml:space="preserve">TAHAP 3 — PROSEDUR DILATASI-EVAKUASI
Dilakukan di kamar tindakan/operasi dengan analgesia/anestesi sesuai rencana. Dilatasi serviks dilanjutkan bila diperlukan, diikuti evakuasi hasil konsepsi menggunakan kombinasi aspirasi vakum dan/atau instrumen forsep ovum di bawah panduan USG transabdominal untuk meminimalkan risiko perforasi dan memastikan evakuasi lengkap. Uterotonika diberikan sesuai kebutuhan untuk mengurangi perdarahan.</w:t>
            </w:r>
          </w:p>
        </w:tc>
      </w:tr>
    </w:tbl>
    <w:p>
      <w:pPr>
        <w:spacing w:after="40" w:before="40"/>
        <w:jc w:val="center"/>
      </w:pPr>
      <w:r>
        <w:rPr>
          <w:b/>
          <w:bCs/>
          <w:color w:val="7A1F3D"/>
          <w:sz w:val="28"/>
          <w:szCs w:val="28"/>
        </w:rPr>
        <w:t xml:space="preserve">↓</w:t>
      </w:r>
    </w:p>
    <w:tbl>
      <w:tblPr>
        <w:tblW w:type="dxa" w:w="9000"/>
        <w:tblBorders>
          <w:top w:val="single" w:color="7A1F3D" w:sz="4"/>
          <w:left w:val="single" w:color="7A1F3D" w:sz="4"/>
          <w:bottom w:val="single" w:color="7A1F3D" w:sz="4"/>
          <w:right w:val="single" w:color="7A1F3D" w:sz="4"/>
          <w:insideH w:val="single" w:color="auto" w:sz="4"/>
          <w:insideV w:val="single" w:color="auto" w:sz="4"/>
        </w:tblBorders>
      </w:tblPr>
      <w:tblGrid>
        <w:gridCol w:w="9000"/>
      </w:tblGrid>
      <w:tr>
        <w:tc>
          <w:tcPr>
            <w:tcW w:type="dxa" w:w="9000"/>
            <w:shd w:fill="F2F2F2" w:val="clear"/>
            <w:tcMar>
              <w:top w:type="dxa" w:w="100"/>
              <w:left w:type="dxa" w:w="150"/>
              <w:bottom w:type="dxa" w:w="100"/>
              <w:right w:type="dxa" w:w="150"/>
            </w:tcMar>
          </w:tcPr>
          <w:p>
            <w:r>
              <w:rPr>
                <w:b w:val="false"/>
                <w:bCs w:val="false"/>
                <w:sz w:val="20"/>
                <w:szCs w:val="20"/>
              </w:rPr>
              <w:t xml:space="preserve">TAHAP 4 — PEMANTAUAN PASCATINDAKAN
Pemantauan tanda vital, jumlah perdarahan, dan tanda nyeri berkala pada jam-jam pertama pascatindakan. Verifikasi kelengkapan evakuasi (klinis dan/atau USG). Edukasi tanda bahaya, pemberian kontrasepsi pascatindakan sesuai pilihan pasien, dan dukungan psikososial sebelum pemulangan.</w:t>
            </w:r>
          </w:p>
        </w:tc>
      </w:tr>
    </w:tbl>
    <w:p>
      <w:pPr>
        <w:pStyle w:val="Heading2"/>
        <w:spacing w:after="100" w:before="200"/>
      </w:pPr>
      <w:r>
        <w:rPr>
          <w:b/>
          <w:bCs/>
          <w:color w:val="7A1F3D"/>
          <w:sz w:val="22"/>
          <w:szCs w:val="22"/>
        </w:rPr>
        <w:t xml:space="preserve">8.E Manajemen Komplikasi</w:t>
      </w:r>
    </w:p>
    <w:p>
      <w:pPr>
        <w:pStyle w:val="ListParagraph"/>
        <w:numPr>
          <w:ilvl w:val="0"/>
          <w:numId w:val="1"/>
        </w:numPr>
        <w:spacing w:after="60"/>
      </w:pPr>
      <w:r>
        <w:rPr>
          <w:sz w:val="21"/>
          <w:szCs w:val="21"/>
        </w:rPr>
        <w:t xml:space="preserve">Perdarahan: evaluasi kontraksi uterus dan sisa jaringan, uterotonika lini pertama-kedua sesuai protokol kegawatdaruratan obstetri rumah sakit, transfusi bila diperlukan.</w:t>
      </w:r>
    </w:p>
    <w:p>
      <w:pPr>
        <w:pStyle w:val="ListParagraph"/>
        <w:numPr>
          <w:ilvl w:val="0"/>
          <w:numId w:val="1"/>
        </w:numPr>
        <w:spacing w:after="60"/>
      </w:pPr>
      <w:r>
        <w:rPr>
          <w:sz w:val="21"/>
          <w:szCs w:val="21"/>
        </w:rPr>
        <w:t xml:space="preserve">Perforasi uterus: hentikan prosedur, stabilisasi hemodinamik, laparoskopi/laparotomi eksplorasi sesuai temuan klinis, konsultasi bedah bila diperlukan.</w:t>
      </w:r>
    </w:p>
    <w:p>
      <w:pPr>
        <w:pStyle w:val="ListParagraph"/>
        <w:numPr>
          <w:ilvl w:val="0"/>
          <w:numId w:val="1"/>
        </w:numPr>
        <w:spacing w:after="60"/>
      </w:pPr>
      <w:r>
        <w:rPr>
          <w:sz w:val="21"/>
          <w:szCs w:val="21"/>
        </w:rPr>
        <w:t xml:space="preserve">Sisa jaringan (retained products of conception): evakuasi ulang dengan panduan USG.</w:t>
      </w:r>
    </w:p>
    <w:p>
      <w:pPr>
        <w:pStyle w:val="ListParagraph"/>
        <w:numPr>
          <w:ilvl w:val="0"/>
          <w:numId w:val="1"/>
        </w:numPr>
        <w:spacing w:after="60"/>
      </w:pPr>
      <w:r>
        <w:rPr>
          <w:sz w:val="21"/>
          <w:szCs w:val="21"/>
        </w:rPr>
        <w:t xml:space="preserve">Infeksi pascatindakan: antibiotik empirik sesuai pola kuman lokal, evaluasi sumber infeksi.</w:t>
      </w:r>
    </w:p>
    <w:p>
      <w:pPr>
        <w:pStyle w:val="Heading2"/>
        <w:spacing w:after="100" w:before="200"/>
      </w:pPr>
      <w:r>
        <w:rPr>
          <w:b/>
          <w:bCs/>
          <w:color w:val="7A1F3D"/>
          <w:sz w:val="22"/>
          <w:szCs w:val="22"/>
        </w:rPr>
        <w:t xml:space="preserve">8.F Kontrasepsi Pascatindakan</w:t>
      </w:r>
    </w:p>
    <w:p>
      <w:pPr>
        <w:spacing w:after="100"/>
      </w:pPr>
      <w:r>
        <w:rPr>
          <w:sz w:val="21"/>
          <w:szCs w:val="21"/>
        </w:rPr>
        <w:t xml:space="preserve">Konseling kontrasepsi diberikan sebelum pemulangan; metode kontrasepsi efektif (termasuk metode kontrasepsi jangka panjang bila sesuai pilihan dan kondisi pasien) dapat dimulai segera pascatindakan sesuai kondisi klinis dan preferensi pasien yang telah dikonseling.</w:t>
      </w:r>
    </w:p>
    <w:p>
      <w:pPr>
        <w:pStyle w:val="Heading2"/>
        <w:spacing w:after="100" w:before="200"/>
      </w:pPr>
      <w:r>
        <w:rPr>
          <w:b/>
          <w:bCs/>
          <w:color w:val="7A1F3D"/>
          <w:sz w:val="22"/>
          <w:szCs w:val="22"/>
        </w:rPr>
        <w:t xml:space="preserve">8.G Standar Kompetensi dan Volume Kasus (Kepkonsil)</w:t>
      </w:r>
    </w:p>
    <w:p>
      <w:pPr>
        <w:spacing w:after="100"/>
      </w:pPr>
      <w:r>
        <w:rPr>
          <w:sz w:val="21"/>
          <w:szCs w:val="21"/>
        </w:rPr>
        <w:t xml:space="preserve">Sesuai Keputusan Ketua Konsil Kesehatan Indonesia Nomor HK.01.02/KKI/1318/2026 (Tabel 25 — Kompetensi Prosedur Klinis Subspesialis Obstetri Ginekologi Sosial), kewenangan melakukan tindakan D&amp;E trimester lanjut dan terminasi medikamentosa kompleks secara mandiri mensyaratkan pemenuhan kriteria kinerja minimal berikut sebagai bagian tata kelola mutu dan kredensial di rumah sakit:</w:t>
      </w:r>
    </w:p>
    <w:p>
      <w:pPr>
        <w:pStyle w:val="ListParagraph"/>
        <w:numPr>
          <w:ilvl w:val="0"/>
          <w:numId w:val="1"/>
        </w:numPr>
        <w:spacing w:after="60"/>
      </w:pPr>
      <w:r>
        <w:rPr>
          <w:sz w:val="21"/>
          <w:szCs w:val="21"/>
        </w:rPr>
        <w:t xml:space="preserve">Volume kasus minimal untuk pencapaian kompetensi mandiri: D&amp;E trimester lanjut ≥ 50 kasus dengan supervisi; terminasi medikamentosa kompleks ≥ 30 kasus.</w:t>
      </w:r>
    </w:p>
    <w:p>
      <w:pPr>
        <w:pStyle w:val="ListParagraph"/>
        <w:numPr>
          <w:ilvl w:val="0"/>
          <w:numId w:val="1"/>
        </w:numPr>
        <w:spacing w:after="60"/>
      </w:pPr>
      <w:r>
        <w:rPr>
          <w:sz w:val="21"/>
          <w:szCs w:val="21"/>
        </w:rPr>
        <w:t xml:space="preserve">Dokumentasi konseling dan informed consent tertulis: 100% kasus.</w:t>
      </w:r>
    </w:p>
    <w:p>
      <w:pPr>
        <w:pStyle w:val="ListParagraph"/>
        <w:numPr>
          <w:ilvl w:val="0"/>
          <w:numId w:val="1"/>
        </w:numPr>
        <w:spacing w:after="60"/>
      </w:pPr>
      <w:r>
        <w:rPr>
          <w:sz w:val="21"/>
          <w:szCs w:val="21"/>
        </w:rPr>
        <w:t xml:space="preserve">Angka komplikasi mayor D&amp;E trimester lanjut (perdarahan yang memerlukan transfusi, perforasi uterus): ≤ 2%.</w:t>
      </w:r>
    </w:p>
    <w:p>
      <w:pPr>
        <w:pStyle w:val="ListParagraph"/>
        <w:numPr>
          <w:ilvl w:val="0"/>
          <w:numId w:val="1"/>
        </w:numPr>
        <w:spacing w:after="60"/>
      </w:pPr>
      <w:r>
        <w:rPr>
          <w:sz w:val="21"/>
          <w:szCs w:val="21"/>
        </w:rPr>
        <w:t xml:space="preserve">Kepatuhan terhadap checklist keselamatan bedah (time-out/WHO surgical safety checklist), evaluasi profil koagulasi bila diperlukan, serta pemberian analgesia dan antibiotik sesuai indikasi, sebagai bagian standar kinerja minimal kompetensi prosedural.</w:t>
      </w:r>
    </w:p>
    <w:p>
      <w:pPr>
        <w:pStyle w:val="ListParagraph"/>
        <w:numPr>
          <w:ilvl w:val="0"/>
          <w:numId w:val="1"/>
        </w:numPr>
        <w:spacing w:after="60"/>
      </w:pPr>
      <w:r>
        <w:rPr>
          <w:sz w:val="21"/>
          <w:szCs w:val="21"/>
        </w:rPr>
        <w:t xml:space="preserve">Setiap tindakan didokumentasikan menggunakan templat baku (indikasi, temuan, langkah tindakan, komplikasi, rencana tindak lanjut) dan dikomunikasikan hasilnya kepada pasien/tim, sesuai kriteria kinerja Kepkonsil.</w:t>
      </w:r>
    </w:p>
    <w:p>
      <w:pPr>
        <w:pStyle w:val="Heading1"/>
        <w:pBdr>
          <w:bottom w:val="single" w:color="C89B3C" w:sz="6"/>
        </w:pBdr>
        <w:shd w:fill="7A1F3D" w:val="clear"/>
        <w:spacing w:after="150" w:before="300"/>
      </w:pPr>
      <w:r>
        <w:rPr>
          <w:b/>
          <w:bCs/>
          <w:color w:val="FFFFFF"/>
          <w:sz w:val="26"/>
          <w:szCs w:val="26"/>
        </w:rPr>
        <w:t xml:space="preserve">9. Edukasi</w:t>
      </w:r>
    </w:p>
    <w:p>
      <w:pPr>
        <w:pStyle w:val="ListParagraph"/>
        <w:numPr>
          <w:ilvl w:val="0"/>
          <w:numId w:val="1"/>
        </w:numPr>
        <w:spacing w:after="60"/>
      </w:pPr>
      <w:r>
        <w:rPr>
          <w:sz w:val="21"/>
          <w:szCs w:val="21"/>
        </w:rPr>
        <w:t xml:space="preserve">Penjelasan menyeluruh mengenai diagnosis, indikasi, dan tahapan tindakan menggunakan bahasa yang mudah dipahami, sebelum dan sesudah tindakan.</w:t>
      </w:r>
    </w:p>
    <w:p>
      <w:pPr>
        <w:pStyle w:val="ListParagraph"/>
        <w:numPr>
          <w:ilvl w:val="0"/>
          <w:numId w:val="1"/>
        </w:numPr>
        <w:spacing w:after="60"/>
      </w:pPr>
      <w:r>
        <w:rPr>
          <w:sz w:val="21"/>
          <w:szCs w:val="21"/>
        </w:rPr>
        <w:t xml:space="preserve">Tanda bahaya yang harus segera dilaporkan: demam, perdarahan banyak, nyeri perut hebat, keputihan berbau.</w:t>
      </w:r>
    </w:p>
    <w:p>
      <w:pPr>
        <w:pStyle w:val="ListParagraph"/>
        <w:numPr>
          <w:ilvl w:val="0"/>
          <w:numId w:val="1"/>
        </w:numPr>
        <w:spacing w:after="60"/>
      </w:pPr>
      <w:r>
        <w:rPr>
          <w:sz w:val="21"/>
          <w:szCs w:val="21"/>
        </w:rPr>
        <w:t xml:space="preserve">Informasi mengenai dukungan psikologis yang tersedia, terutama bagi pasien dengan kelainan janin letal atau korban kekerasan seksual, termasuk rujukan ke layanan konseling/psikologi klinis.</w:t>
      </w:r>
    </w:p>
    <w:p>
      <w:pPr>
        <w:pStyle w:val="ListParagraph"/>
        <w:numPr>
          <w:ilvl w:val="0"/>
          <w:numId w:val="1"/>
        </w:numPr>
        <w:spacing w:after="60"/>
      </w:pPr>
      <w:r>
        <w:rPr>
          <w:sz w:val="21"/>
          <w:szCs w:val="21"/>
        </w:rPr>
        <w:t xml:space="preserve">Edukasi kontrasepsi pascatindakan dan jadwal kontrol ulang.</w:t>
      </w:r>
    </w:p>
    <w:p>
      <w:pPr>
        <w:pStyle w:val="ListParagraph"/>
        <w:numPr>
          <w:ilvl w:val="0"/>
          <w:numId w:val="1"/>
        </w:numPr>
        <w:spacing w:after="60"/>
      </w:pPr>
      <w:r>
        <w:rPr>
          <w:sz w:val="21"/>
          <w:szCs w:val="21"/>
        </w:rPr>
        <w:t xml:space="preserve">Informasi mengenai hak pasien atas kerahasiaan dan layanan pendampingan hukum/psikososial bagi korban kekerasan seksual sesuai UU TPKS.</w:t>
      </w:r>
    </w:p>
    <w:p>
      <w:pPr>
        <w:pStyle w:val="Heading1"/>
        <w:pBdr>
          <w:bottom w:val="single" w:color="C89B3C" w:sz="6"/>
        </w:pBdr>
        <w:shd w:fill="7A1F3D" w:val="clear"/>
        <w:spacing w:after="150" w:before="300"/>
      </w:pPr>
      <w:r>
        <w:rPr>
          <w:b/>
          <w:bCs/>
          <w:color w:val="FFFFFF"/>
          <w:sz w:val="26"/>
          <w:szCs w:val="26"/>
        </w:rPr>
        <w:t xml:space="preserve">10. Prognosis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7"/>
        <w:gridCol w:w="6233"/>
      </w:tblGrid>
      <w:tr>
        <w:tc>
          <w:tcPr>
            <w:tcW w:type="dxa" w:w="3117"/>
            <w:shd w:fill="7A1F3D" w:val="clear"/>
            <w:tcMar>
              <w:top w:type="dxa" w:w="80"/>
              <w:left w:type="dxa" w:w="100"/>
              <w:bottom w:type="dxa" w:w="80"/>
              <w:right w:type="dxa" w:w="100"/>
            </w:tcMar>
            <w:vAlign w:val="center"/>
          </w:tcPr>
          <w:p>
            <w:pPr>
              <w:jc w:val="left"/>
            </w:pPr>
            <w:r>
              <w:rPr>
                <w:b/>
                <w:bCs/>
                <w:color w:val="FFFFFF"/>
                <w:sz w:val="20"/>
                <w:szCs w:val="20"/>
              </w:rPr>
              <w:t xml:space="preserve">Ad vitam</w:t>
            </w:r>
          </w:p>
        </w:tc>
        <w:tc>
          <w:tcPr>
            <w:tcW w:type="dxa" w:w="6233"/>
            <w:tcMar>
              <w:top w:type="dxa" w:w="80"/>
              <w:left w:type="dxa" w:w="100"/>
              <w:bottom w:type="dxa" w:w="80"/>
              <w:right w:type="dxa" w:w="100"/>
            </w:tcMar>
            <w:vAlign w:val="center"/>
          </w:tcPr>
          <w:p>
            <w:pPr>
              <w:jc w:val="left"/>
            </w:pPr>
            <w:r>
              <w:rPr>
                <w:b w:val="false"/>
                <w:bCs w:val="false"/>
                <w:color w:val="000000"/>
                <w:sz w:val="20"/>
                <w:szCs w:val="20"/>
              </w:rPr>
              <w:t xml:space="preserve">Bonam pada pasien dengan penanganan tepat waktu dan sesuai standar oleh tim terlatih; dubia pada kondisi komorbid berat yang mendasari indikasi.</w:t>
            </w:r>
          </w:p>
        </w:tc>
      </w:tr>
      <w:tr>
        <w:tc>
          <w:tcPr>
            <w:tcW w:type="dxa" w:w="3117"/>
            <w:shd w:fill="F2F2F2" w:val="clear"/>
            <w:tcMar>
              <w:top w:type="dxa" w:w="80"/>
              <w:left w:type="dxa" w:w="100"/>
              <w:bottom w:type="dxa" w:w="80"/>
              <w:right w:type="dxa" w:w="100"/>
            </w:tcMar>
            <w:vAlign w:val="center"/>
          </w:tcPr>
          <w:p>
            <w:pPr>
              <w:jc w:val="left"/>
            </w:pPr>
            <w:r>
              <w:rPr>
                <w:b/>
                <w:bCs/>
                <w:color w:val="FFFFFF"/>
                <w:sz w:val="20"/>
                <w:szCs w:val="20"/>
              </w:rPr>
              <w:t xml:space="preserve">Ad functionam</w:t>
            </w:r>
          </w:p>
        </w:tc>
        <w:tc>
          <w:tcPr>
            <w:tcW w:type="dxa" w:w="6233"/>
            <w:shd w:fill="F2F2F2" w:val="clear"/>
            <w:tcMar>
              <w:top w:type="dxa" w:w="80"/>
              <w:left w:type="dxa" w:w="100"/>
              <w:bottom w:type="dxa" w:w="80"/>
              <w:right w:type="dxa" w:w="100"/>
            </w:tcMar>
            <w:vAlign w:val="center"/>
          </w:tcPr>
          <w:p>
            <w:pPr>
              <w:jc w:val="left"/>
            </w:pPr>
            <w:r>
              <w:rPr>
                <w:b w:val="false"/>
                <w:bCs w:val="false"/>
                <w:color w:val="000000"/>
                <w:sz w:val="20"/>
                <w:szCs w:val="20"/>
              </w:rPr>
              <w:t xml:space="preserve">Umumnya bonam terhadap fungsi reproduksi bila tanpa komplikasi berat (mis. perforasi luas); tergantung teknik dan pengalaman operator.</w:t>
            </w:r>
          </w:p>
        </w:tc>
      </w:tr>
      <w:tr>
        <w:tc>
          <w:tcPr>
            <w:tcW w:type="dxa" w:w="3117"/>
            <w:shd w:fill="7A1F3D" w:val="clear"/>
            <w:tcMar>
              <w:top w:type="dxa" w:w="80"/>
              <w:left w:type="dxa" w:w="100"/>
              <w:bottom w:type="dxa" w:w="80"/>
              <w:right w:type="dxa" w:w="100"/>
            </w:tcMar>
            <w:vAlign w:val="center"/>
          </w:tcPr>
          <w:p>
            <w:pPr>
              <w:jc w:val="left"/>
            </w:pPr>
            <w:r>
              <w:rPr>
                <w:b/>
                <w:bCs/>
                <w:color w:val="FFFFFF"/>
                <w:sz w:val="20"/>
                <w:szCs w:val="20"/>
              </w:rPr>
              <w:t xml:space="preserve">Ad sanationam</w:t>
            </w:r>
          </w:p>
        </w:tc>
        <w:tc>
          <w:tcPr>
            <w:tcW w:type="dxa" w:w="6233"/>
            <w:tcMar>
              <w:top w:type="dxa" w:w="80"/>
              <w:left w:type="dxa" w:w="100"/>
              <w:bottom w:type="dxa" w:w="80"/>
              <w:right w:type="dxa" w:w="100"/>
            </w:tcMar>
            <w:vAlign w:val="center"/>
          </w:tcPr>
          <w:p>
            <w:pPr>
              <w:jc w:val="left"/>
            </w:pPr>
            <w:r>
              <w:rPr>
                <w:b w:val="false"/>
                <w:bCs w:val="false"/>
                <w:color w:val="000000"/>
                <w:sz w:val="20"/>
                <w:szCs w:val="20"/>
              </w:rPr>
              <w:t xml:space="preserve">Dubia ad bonam; dukungan psikososial jangka panjang penting terutama pada kasus kelainan janin letal dan kehamilan akibat kekerasan seksual.</w:t>
            </w:r>
          </w:p>
        </w:tc>
      </w:tr>
    </w:tbl>
    <w:p>
      <w:pPr>
        <w:pStyle w:val="Heading1"/>
        <w:pBdr>
          <w:bottom w:val="single" w:color="C89B3C" w:sz="6"/>
        </w:pBdr>
        <w:shd w:fill="7A1F3D" w:val="clear"/>
        <w:spacing w:after="150" w:before="300"/>
      </w:pPr>
      <w:r>
        <w:rPr>
          <w:b/>
          <w:bCs/>
          <w:color w:val="FFFFFF"/>
          <w:sz w:val="26"/>
          <w:szCs w:val="26"/>
        </w:rPr>
        <w:t xml:space="preserve">11. Tingkat Evidens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500"/>
        <w:gridCol w:w="7850"/>
      </w:tblGrid>
      <w:tr>
        <w:tc>
          <w:tcPr>
            <w:tcW w:type="dxa" w:w="1500"/>
            <w:shd w:fill="7A1F3D" w:val="clear"/>
            <w:tcMar>
              <w:top w:type="dxa" w:w="80"/>
              <w:left w:type="dxa" w:w="100"/>
              <w:bottom w:type="dxa" w:w="80"/>
              <w:right w:type="dxa" w:w="100"/>
            </w:tcMar>
            <w:vAlign w:val="center"/>
          </w:tcPr>
          <w:p>
            <w:pPr>
              <w:jc w:val="left"/>
            </w:pPr>
            <w:r>
              <w:rPr>
                <w:b/>
                <w:bCs/>
                <w:color w:val="FFFFFF"/>
                <w:sz w:val="20"/>
                <w:szCs w:val="20"/>
              </w:rPr>
              <w:t xml:space="preserve">Level</w:t>
            </w:r>
          </w:p>
        </w:tc>
        <w:tc>
          <w:tcPr>
            <w:tcW w:type="dxa" w:w="7850"/>
            <w:shd w:fill="7A1F3D" w:val="clear"/>
            <w:tcMar>
              <w:top w:type="dxa" w:w="80"/>
              <w:left w:type="dxa" w:w="100"/>
              <w:bottom w:type="dxa" w:w="80"/>
              <w:right w:type="dxa" w:w="100"/>
            </w:tcMar>
            <w:vAlign w:val="center"/>
          </w:tcPr>
          <w:p>
            <w:pPr>
              <w:jc w:val="left"/>
            </w:pPr>
            <w:r>
              <w:rPr>
                <w:b/>
                <w:bCs/>
                <w:color w:val="FFFFFF"/>
                <w:sz w:val="20"/>
                <w:szCs w:val="20"/>
              </w:rPr>
              <w:t xml:space="preserve">Dasar</w:t>
            </w:r>
          </w:p>
        </w:tc>
      </w:tr>
      <w:tr>
        <w:tc>
          <w:tcPr>
            <w:tcW w:type="dxa" w:w="1500"/>
            <w:shd w:fill="F2F2F2" w:val="clear"/>
            <w:tcMar>
              <w:top w:type="dxa" w:w="80"/>
              <w:left w:type="dxa" w:w="100"/>
              <w:bottom w:type="dxa" w:w="80"/>
              <w:right w:type="dxa" w:w="100"/>
            </w:tcMar>
            <w:vAlign w:val="center"/>
          </w:tcPr>
          <w:p>
            <w:pPr>
              <w:jc w:val="left"/>
            </w:pPr>
            <w:r>
              <w:rPr>
                <w:b w:val="false"/>
                <w:bCs w:val="false"/>
                <w:color w:val="000000"/>
                <w:sz w:val="20"/>
                <w:szCs w:val="20"/>
              </w:rPr>
              <w:t xml:space="preserve">I</w:t>
            </w:r>
          </w:p>
        </w:tc>
        <w:tc>
          <w:tcPr>
            <w:tcW w:type="dxa" w:w="7850"/>
            <w:shd w:fill="F2F2F2" w:val="clear"/>
            <w:tcMar>
              <w:top w:type="dxa" w:w="80"/>
              <w:left w:type="dxa" w:w="100"/>
              <w:bottom w:type="dxa" w:w="80"/>
              <w:right w:type="dxa" w:w="100"/>
            </w:tcMar>
            <w:vAlign w:val="center"/>
          </w:tcPr>
          <w:p>
            <w:pPr>
              <w:jc w:val="left"/>
            </w:pPr>
            <w:r>
              <w:rPr>
                <w:b w:val="false"/>
                <w:bCs w:val="false"/>
                <w:color w:val="000000"/>
                <w:sz w:val="20"/>
                <w:szCs w:val="20"/>
              </w:rPr>
              <w:t xml:space="preserve">Uji klinis teracak/telaah sistematis (mendasari rekomendasi WHO Abortion Care Guideline edisi ke-2, 2025, dan rekomendasi Society of Family Planning 2020 mengenai metode persiapan serviks dan evakuasi).</w:t>
            </w:r>
          </w:p>
        </w:tc>
      </w:tr>
      <w:tr>
        <w:tc>
          <w:tcPr>
            <w:tcW w:type="dxa" w:w="1500"/>
            <w:tcMar>
              <w:top w:type="dxa" w:w="80"/>
              <w:left w:type="dxa" w:w="100"/>
              <w:bottom w:type="dxa" w:w="80"/>
              <w:right w:type="dxa" w:w="100"/>
            </w:tcMar>
            <w:vAlign w:val="center"/>
          </w:tcPr>
          <w:p>
            <w:pPr>
              <w:jc w:val="left"/>
            </w:pPr>
            <w:r>
              <w:rPr>
                <w:b w:val="false"/>
                <w:bCs w:val="false"/>
                <w:color w:val="000000"/>
                <w:sz w:val="20"/>
                <w:szCs w:val="20"/>
              </w:rPr>
              <w:t xml:space="preserve">II</w:t>
            </w:r>
          </w:p>
        </w:tc>
        <w:tc>
          <w:tcPr>
            <w:tcW w:type="dxa" w:w="7850"/>
            <w:tcMar>
              <w:top w:type="dxa" w:w="80"/>
              <w:left w:type="dxa" w:w="100"/>
              <w:bottom w:type="dxa" w:w="80"/>
              <w:right w:type="dxa" w:w="100"/>
            </w:tcMar>
            <w:vAlign w:val="center"/>
          </w:tcPr>
          <w:p>
            <w:pPr>
              <w:jc w:val="left"/>
            </w:pPr>
            <w:r>
              <w:rPr>
                <w:b w:val="false"/>
                <w:bCs w:val="false"/>
                <w:color w:val="000000"/>
                <w:sz w:val="20"/>
                <w:szCs w:val="20"/>
              </w:rPr>
              <w:t xml:space="preserve">Studi kohort/kasus-kontrol mengenai keamanan dan efektivitas D&amp;E dibanding induksi persalinan pada trimester kedua.</w:t>
            </w:r>
          </w:p>
        </w:tc>
      </w:tr>
      <w:tr>
        <w:tc>
          <w:tcPr>
            <w:tcW w:type="dxa" w:w="1500"/>
            <w:shd w:fill="F2F2F2" w:val="clear"/>
            <w:tcMar>
              <w:top w:type="dxa" w:w="80"/>
              <w:left w:type="dxa" w:w="100"/>
              <w:bottom w:type="dxa" w:w="80"/>
              <w:right w:type="dxa" w:w="100"/>
            </w:tcMar>
            <w:vAlign w:val="center"/>
          </w:tcPr>
          <w:p>
            <w:pPr>
              <w:jc w:val="left"/>
            </w:pPr>
            <w:r>
              <w:rPr>
                <w:b w:val="false"/>
                <w:bCs w:val="false"/>
                <w:color w:val="000000"/>
                <w:sz w:val="20"/>
                <w:szCs w:val="20"/>
              </w:rPr>
              <w:t xml:space="preserve">III–IV</w:t>
            </w:r>
          </w:p>
        </w:tc>
        <w:tc>
          <w:tcPr>
            <w:tcW w:type="dxa" w:w="7850"/>
            <w:shd w:fill="F2F2F2" w:val="clear"/>
            <w:tcMar>
              <w:top w:type="dxa" w:w="80"/>
              <w:left w:type="dxa" w:w="100"/>
              <w:bottom w:type="dxa" w:w="80"/>
              <w:right w:type="dxa" w:w="100"/>
            </w:tcMar>
            <w:vAlign w:val="center"/>
          </w:tcPr>
          <w:p>
            <w:pPr>
              <w:jc w:val="left"/>
            </w:pPr>
            <w:r>
              <w:rPr>
                <w:b w:val="false"/>
                <w:bCs w:val="false"/>
                <w:color w:val="000000"/>
                <w:sz w:val="20"/>
                <w:szCs w:val="20"/>
              </w:rPr>
              <w:t xml:space="preserve">Konsensus ahli dan pedoman institusional untuk aspek etikolegal dan alur pendampingan korban kekerasan seksual.</w:t>
            </w:r>
          </w:p>
        </w:tc>
      </w:tr>
    </w:tbl>
    <w:p>
      <w:pPr>
        <w:pStyle w:val="Heading1"/>
        <w:pBdr>
          <w:bottom w:val="single" w:color="C89B3C" w:sz="6"/>
        </w:pBdr>
        <w:shd w:fill="7A1F3D" w:val="clear"/>
        <w:spacing w:after="150" w:before="300"/>
      </w:pPr>
      <w:r>
        <w:rPr>
          <w:b/>
          <w:bCs/>
          <w:color w:val="FFFFFF"/>
          <w:sz w:val="26"/>
          <w:szCs w:val="26"/>
        </w:rPr>
        <w:t xml:space="preserve">12. Tingkat Rekomendasi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500"/>
        <w:gridCol w:w="7850"/>
      </w:tblGrid>
      <w:tr>
        <w:tc>
          <w:tcPr>
            <w:tcW w:type="dxa" w:w="1500"/>
            <w:shd w:fill="7A1F3D" w:val="clear"/>
            <w:tcMar>
              <w:top w:type="dxa" w:w="80"/>
              <w:left w:type="dxa" w:w="100"/>
              <w:bottom w:type="dxa" w:w="80"/>
              <w:right w:type="dxa" w:w="100"/>
            </w:tcMar>
            <w:vAlign w:val="center"/>
          </w:tcPr>
          <w:p>
            <w:pPr>
              <w:jc w:val="left"/>
            </w:pPr>
            <w:r>
              <w:rPr>
                <w:b/>
                <w:bCs/>
                <w:color w:val="FFFFFF"/>
                <w:sz w:val="20"/>
                <w:szCs w:val="20"/>
              </w:rPr>
              <w:t xml:space="preserve">Kelas</w:t>
            </w:r>
          </w:p>
        </w:tc>
        <w:tc>
          <w:tcPr>
            <w:tcW w:type="dxa" w:w="7850"/>
            <w:shd w:fill="7A1F3D" w:val="clear"/>
            <w:tcMar>
              <w:top w:type="dxa" w:w="80"/>
              <w:left w:type="dxa" w:w="100"/>
              <w:bottom w:type="dxa" w:w="80"/>
              <w:right w:type="dxa" w:w="100"/>
            </w:tcMar>
            <w:vAlign w:val="center"/>
          </w:tcPr>
          <w:p>
            <w:pPr>
              <w:jc w:val="left"/>
            </w:pPr>
            <w:r>
              <w:rPr>
                <w:b/>
                <w:bCs/>
                <w:color w:val="FFFFFF"/>
                <w:sz w:val="20"/>
                <w:szCs w:val="20"/>
              </w:rPr>
              <w:t xml:space="preserve">Keterangan</w:t>
            </w:r>
          </w:p>
        </w:tc>
      </w:tr>
      <w:tr>
        <w:tc>
          <w:tcPr>
            <w:tcW w:type="dxa" w:w="1500"/>
            <w:tcMar>
              <w:top w:type="dxa" w:w="80"/>
              <w:left w:type="dxa" w:w="100"/>
              <w:bottom w:type="dxa" w:w="80"/>
              <w:right w:type="dxa" w:w="100"/>
            </w:tcMar>
            <w:vAlign w:val="center"/>
          </w:tcPr>
          <w:p>
            <w:pPr>
              <w:jc w:val="left"/>
            </w:pPr>
            <w:r>
              <w:rPr>
                <w:b w:val="false"/>
                <w:bCs w:val="false"/>
                <w:color w:val="000000"/>
                <w:sz w:val="20"/>
                <w:szCs w:val="20"/>
              </w:rPr>
              <w:t xml:space="preserve">A</w:t>
            </w:r>
          </w:p>
        </w:tc>
        <w:tc>
          <w:tcPr>
            <w:tcW w:type="dxa" w:w="7850"/>
            <w:tcMar>
              <w:top w:type="dxa" w:w="80"/>
              <w:left w:type="dxa" w:w="100"/>
              <w:bottom w:type="dxa" w:w="80"/>
              <w:right w:type="dxa" w:w="100"/>
            </w:tcMar>
            <w:vAlign w:val="center"/>
          </w:tcPr>
          <w:p>
            <w:pPr>
              <w:jc w:val="left"/>
            </w:pPr>
            <w:r>
              <w:rPr>
                <w:b w:val="false"/>
                <w:bCs w:val="false"/>
                <w:color w:val="000000"/>
                <w:sz w:val="20"/>
                <w:szCs w:val="20"/>
              </w:rPr>
              <w:t xml:space="preserve">D&amp;E direkomendasikan sebagai metode pilihan trimester kedua di fasilitas dengan operator terlatih dan kesiapan penanganan komplikasi.</w:t>
            </w:r>
          </w:p>
        </w:tc>
      </w:tr>
      <w:tr>
        <w:tc>
          <w:tcPr>
            <w:tcW w:type="dxa" w:w="1500"/>
            <w:shd w:fill="F2F2F2" w:val="clear"/>
            <w:tcMar>
              <w:top w:type="dxa" w:w="80"/>
              <w:left w:type="dxa" w:w="100"/>
              <w:bottom w:type="dxa" w:w="80"/>
              <w:right w:type="dxa" w:w="100"/>
            </w:tcMar>
            <w:vAlign w:val="center"/>
          </w:tcPr>
          <w:p>
            <w:pPr>
              <w:jc w:val="left"/>
            </w:pPr>
            <w:r>
              <w:rPr>
                <w:b w:val="false"/>
                <w:bCs w:val="false"/>
                <w:color w:val="000000"/>
                <w:sz w:val="20"/>
                <w:szCs w:val="20"/>
              </w:rPr>
              <w:t xml:space="preserve">B</w:t>
            </w:r>
          </w:p>
        </w:tc>
        <w:tc>
          <w:tcPr>
            <w:tcW w:type="dxa" w:w="7850"/>
            <w:shd w:fill="F2F2F2" w:val="clear"/>
            <w:tcMar>
              <w:top w:type="dxa" w:w="80"/>
              <w:left w:type="dxa" w:w="100"/>
              <w:bottom w:type="dxa" w:w="80"/>
              <w:right w:type="dxa" w:w="100"/>
            </w:tcMar>
            <w:vAlign w:val="center"/>
          </w:tcPr>
          <w:p>
            <w:pPr>
              <w:jc w:val="left"/>
            </w:pPr>
            <w:r>
              <w:rPr>
                <w:b w:val="false"/>
                <w:bCs w:val="false"/>
                <w:color w:val="000000"/>
                <w:sz w:val="20"/>
                <w:szCs w:val="20"/>
              </w:rPr>
              <w:t xml:space="preserve">Persiapan serviks kombinasi farmakologis dan osmotik direkomendasikan pada usia gestasi lebih tua/serviks belum matang.</w:t>
            </w:r>
          </w:p>
        </w:tc>
      </w:tr>
      <w:tr>
        <w:tc>
          <w:tcPr>
            <w:tcW w:type="dxa" w:w="1500"/>
            <w:tcMar>
              <w:top w:type="dxa" w:w="80"/>
              <w:left w:type="dxa" w:w="100"/>
              <w:bottom w:type="dxa" w:w="80"/>
              <w:right w:type="dxa" w:w="100"/>
            </w:tcMar>
            <w:vAlign w:val="center"/>
          </w:tcPr>
          <w:p>
            <w:pPr>
              <w:jc w:val="left"/>
            </w:pPr>
            <w:r>
              <w:rPr>
                <w:b w:val="false"/>
                <w:bCs w:val="false"/>
                <w:color w:val="000000"/>
                <w:sz w:val="20"/>
                <w:szCs w:val="20"/>
              </w:rPr>
              <w:t xml:space="preserve">C</w:t>
            </w:r>
          </w:p>
        </w:tc>
        <w:tc>
          <w:tcPr>
            <w:tcW w:type="dxa" w:w="7850"/>
            <w:tcMar>
              <w:top w:type="dxa" w:w="80"/>
              <w:left w:type="dxa" w:w="100"/>
              <w:bottom w:type="dxa" w:w="80"/>
              <w:right w:type="dxa" w:w="100"/>
            </w:tcMar>
            <w:vAlign w:val="center"/>
          </w:tcPr>
          <w:p>
            <w:pPr>
              <w:jc w:val="left"/>
            </w:pPr>
            <w:r>
              <w:rPr>
                <w:b w:val="false"/>
                <w:bCs w:val="false"/>
                <w:color w:val="000000"/>
                <w:sz w:val="20"/>
                <w:szCs w:val="20"/>
              </w:rPr>
              <w:t xml:space="preserve">Pendampingan psikososial terstruktur direkomendasikan pada seluruh kasus dengan dimensi etikolegal.</w:t>
            </w:r>
          </w:p>
        </w:tc>
      </w:tr>
    </w:tbl>
    <w:p>
      <w:pPr>
        <w:pStyle w:val="Heading1"/>
        <w:pBdr>
          <w:bottom w:val="single" w:color="C89B3C" w:sz="6"/>
        </w:pBdr>
        <w:shd w:fill="7A1F3D" w:val="clear"/>
        <w:spacing w:after="150" w:before="300"/>
      </w:pPr>
      <w:r>
        <w:rPr>
          <w:b/>
          <w:bCs/>
          <w:color w:val="FFFFFF"/>
          <w:sz w:val="26"/>
          <w:szCs w:val="26"/>
        </w:rPr>
        <w:t xml:space="preserve">13. Penelaah Kritis</w:t>
      </w:r>
    </w:p>
    <w:p>
      <w:pPr>
        <w:pStyle w:val="ListParagraph"/>
        <w:numPr>
          <w:ilvl w:val="0"/>
          <w:numId w:val="1"/>
        </w:numPr>
        <w:spacing w:after="60"/>
      </w:pPr>
      <w:r>
        <w:rPr>
          <w:sz w:val="21"/>
          <w:szCs w:val="21"/>
        </w:rPr>
        <w:t xml:space="preserve">Dokter Spesialis Obstetri dan Ginekologi Subspesialis/Konsultan Kedokteran Feto-Maternal.</w:t>
      </w:r>
    </w:p>
    <w:p>
      <w:pPr>
        <w:pStyle w:val="ListParagraph"/>
        <w:numPr>
          <w:ilvl w:val="0"/>
          <w:numId w:val="1"/>
        </w:numPr>
        <w:spacing w:after="60"/>
      </w:pPr>
      <w:r>
        <w:rPr>
          <w:sz w:val="21"/>
          <w:szCs w:val="21"/>
        </w:rPr>
        <w:t xml:space="preserve">Dokter Spesialis Obstetri dan Ginekologi Subspesialis/Konsultan Obstetri Ginekologi Sosial, sesuai lingkup kompetensi Tabel 19 dan Tabel 25 Kepkonsil HK.01.02/KKI/1318/2026.</w:t>
      </w:r>
    </w:p>
    <w:p>
      <w:pPr>
        <w:pStyle w:val="ListParagraph"/>
        <w:numPr>
          <w:ilvl w:val="0"/>
          <w:numId w:val="1"/>
        </w:numPr>
        <w:spacing w:after="60"/>
      </w:pPr>
      <w:r>
        <w:rPr>
          <w:sz w:val="21"/>
          <w:szCs w:val="21"/>
        </w:rPr>
        <w:t xml:space="preserve">Tim Etik dan Hukum Rumah Sakit / Komite Medik.</w:t>
      </w:r>
    </w:p>
    <w:p>
      <w:pPr>
        <w:pStyle w:val="ListParagraph"/>
        <w:numPr>
          <w:ilvl w:val="0"/>
          <w:numId w:val="1"/>
        </w:numPr>
        <w:spacing w:after="60"/>
      </w:pPr>
      <w:r>
        <w:rPr>
          <w:sz w:val="21"/>
          <w:szCs w:val="21"/>
        </w:rPr>
        <w:t xml:space="preserve">Dokter Spesialis Anestesi (untuk aspek keselamatan prosedur).</w:t>
      </w:r>
    </w:p>
    <w:p>
      <w:pPr>
        <w:pStyle w:val="Heading1"/>
        <w:pBdr>
          <w:bottom w:val="single" w:color="C89B3C" w:sz="6"/>
        </w:pBdr>
        <w:shd w:fill="7A1F3D" w:val="clear"/>
        <w:spacing w:after="150" w:before="300"/>
      </w:pPr>
      <w:r>
        <w:rPr>
          <w:b/>
          <w:bCs/>
          <w:color w:val="FFFFFF"/>
          <w:sz w:val="26"/>
          <w:szCs w:val="26"/>
        </w:rPr>
        <w:t xml:space="preserve">14. Indikator Medis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2338"/>
        <w:gridCol w:w="2337"/>
      </w:tblGrid>
      <w:tr>
        <w:tc>
          <w:tcPr>
            <w:tcW w:type="dxa" w:w="4675"/>
            <w:shd w:fill="7A1F3D" w:val="clear"/>
            <w:tcMar>
              <w:top w:type="dxa" w:w="80"/>
              <w:left w:type="dxa" w:w="100"/>
              <w:bottom w:type="dxa" w:w="80"/>
              <w:right w:type="dxa" w:w="100"/>
            </w:tcMar>
            <w:vAlign w:val="center"/>
          </w:tcPr>
          <w:p>
            <w:pPr>
              <w:jc w:val="left"/>
            </w:pPr>
            <w:r>
              <w:rPr>
                <w:b/>
                <w:bCs/>
                <w:color w:val="FFFFFF"/>
                <w:sz w:val="20"/>
                <w:szCs w:val="20"/>
              </w:rPr>
              <w:t xml:space="preserve">Indikator</w:t>
            </w:r>
          </w:p>
        </w:tc>
        <w:tc>
          <w:tcPr>
            <w:tcW w:type="dxa" w:w="2338"/>
            <w:shd w:fill="7A1F3D" w:val="clear"/>
            <w:tcMar>
              <w:top w:type="dxa" w:w="80"/>
              <w:left w:type="dxa" w:w="100"/>
              <w:bottom w:type="dxa" w:w="80"/>
              <w:right w:type="dxa" w:w="100"/>
            </w:tcMar>
            <w:vAlign w:val="center"/>
          </w:tcPr>
          <w:p>
            <w:pPr>
              <w:jc w:val="left"/>
            </w:pPr>
            <w:r>
              <w:rPr>
                <w:b/>
                <w:bCs/>
                <w:color w:val="FFFFFF"/>
                <w:sz w:val="20"/>
                <w:szCs w:val="20"/>
              </w:rPr>
              <w:t xml:space="preserve">Target</w:t>
            </w:r>
          </w:p>
        </w:tc>
        <w:tc>
          <w:tcPr>
            <w:tcW w:type="dxa" w:w="2337"/>
            <w:shd w:fill="7A1F3D" w:val="clear"/>
            <w:tcMar>
              <w:top w:type="dxa" w:w="80"/>
              <w:left w:type="dxa" w:w="100"/>
              <w:bottom w:type="dxa" w:w="80"/>
              <w:right w:type="dxa" w:w="100"/>
            </w:tcMar>
            <w:vAlign w:val="center"/>
          </w:tcPr>
          <w:p>
            <w:pPr>
              <w:jc w:val="left"/>
            </w:pPr>
            <w:r>
              <w:rPr>
                <w:b/>
                <w:bCs/>
                <w:color w:val="FFFFFF"/>
                <w:sz w:val="20"/>
                <w:szCs w:val="20"/>
              </w:rPr>
              <w:t xml:space="preserve">Frekuensi Audit</w:t>
            </w:r>
          </w:p>
        </w:tc>
      </w:tr>
      <w:tr>
        <w:tc>
          <w:tcPr>
            <w:tcW w:type="dxa" w:w="4675"/>
            <w:shd w:fill="F2F2F2" w:val="clear"/>
            <w:tcMar>
              <w:top w:type="dxa" w:w="80"/>
              <w:left w:type="dxa" w:w="100"/>
              <w:bottom w:type="dxa" w:w="80"/>
              <w:right w:type="dxa" w:w="100"/>
            </w:tcMar>
            <w:vAlign w:val="center"/>
          </w:tcPr>
          <w:p>
            <w:pPr>
              <w:jc w:val="left"/>
            </w:pPr>
            <w:r>
              <w:rPr>
                <w:b w:val="false"/>
                <w:bCs w:val="false"/>
                <w:color w:val="000000"/>
                <w:sz w:val="20"/>
                <w:szCs w:val="20"/>
              </w:rPr>
              <w:t xml:space="preserve">Kelengkapan telaah etikolegal sebelum tindakan</w:t>
            </w:r>
          </w:p>
        </w:tc>
        <w:tc>
          <w:tcPr>
            <w:tcW w:type="dxa" w:w="2338"/>
            <w:shd w:fill="F2F2F2" w:val="clear"/>
            <w:tcMar>
              <w:top w:type="dxa" w:w="80"/>
              <w:left w:type="dxa" w:w="100"/>
              <w:bottom w:type="dxa" w:w="80"/>
              <w:right w:type="dxa" w:w="100"/>
            </w:tcMar>
            <w:vAlign w:val="center"/>
          </w:tcPr>
          <w:p>
            <w:pPr>
              <w:jc w:val="center"/>
            </w:pPr>
            <w:r>
              <w:rPr>
                <w:b w:val="false"/>
                <w:bCs w:val="false"/>
                <w:color w:val="000000"/>
                <w:sz w:val="20"/>
                <w:szCs w:val="20"/>
              </w:rPr>
              <w:t xml:space="preserve">100%</w:t>
            </w:r>
          </w:p>
        </w:tc>
        <w:tc>
          <w:tcPr>
            <w:tcW w:type="dxa" w:w="2337"/>
            <w:shd w:fill="F2F2F2" w:val="clear"/>
            <w:tcMar>
              <w:top w:type="dxa" w:w="80"/>
              <w:left w:type="dxa" w:w="100"/>
              <w:bottom w:type="dxa" w:w="80"/>
              <w:right w:type="dxa" w:w="100"/>
            </w:tcMar>
            <w:vAlign w:val="center"/>
          </w:tcPr>
          <w:p>
            <w:pPr>
              <w:jc w:val="center"/>
            </w:pPr>
            <w:r>
              <w:rPr>
                <w:b w:val="false"/>
                <w:bCs w:val="false"/>
                <w:color w:val="000000"/>
                <w:sz w:val="20"/>
                <w:szCs w:val="20"/>
              </w:rPr>
              <w:t xml:space="preserve">Tiap kasus</w:t>
            </w:r>
          </w:p>
        </w:tc>
      </w:tr>
      <w:tr>
        <w:tc>
          <w:tcPr>
            <w:tcW w:type="dxa" w:w="4675"/>
            <w:tcMar>
              <w:top w:type="dxa" w:w="80"/>
              <w:left w:type="dxa" w:w="100"/>
              <w:bottom w:type="dxa" w:w="80"/>
              <w:right w:type="dxa" w:w="100"/>
            </w:tcMar>
            <w:vAlign w:val="center"/>
          </w:tcPr>
          <w:p>
            <w:pPr>
              <w:jc w:val="left"/>
            </w:pPr>
            <w:r>
              <w:rPr>
                <w:b w:val="false"/>
                <w:bCs w:val="false"/>
                <w:color w:val="000000"/>
                <w:sz w:val="20"/>
                <w:szCs w:val="20"/>
              </w:rPr>
              <w:t xml:space="preserve">Kelengkapan konseling dan informed consent tertulis</w:t>
            </w:r>
          </w:p>
        </w:tc>
        <w:tc>
          <w:tcPr>
            <w:tcW w:type="dxa" w:w="2338"/>
            <w:tcMar>
              <w:top w:type="dxa" w:w="80"/>
              <w:left w:type="dxa" w:w="100"/>
              <w:bottom w:type="dxa" w:w="80"/>
              <w:right w:type="dxa" w:w="100"/>
            </w:tcMar>
            <w:vAlign w:val="center"/>
          </w:tcPr>
          <w:p>
            <w:pPr>
              <w:jc w:val="center"/>
            </w:pPr>
            <w:r>
              <w:rPr>
                <w:b w:val="false"/>
                <w:bCs w:val="false"/>
                <w:color w:val="000000"/>
                <w:sz w:val="20"/>
                <w:szCs w:val="20"/>
              </w:rPr>
              <w:t xml:space="preserve">100%</w:t>
            </w:r>
          </w:p>
        </w:tc>
        <w:tc>
          <w:tcPr>
            <w:tcW w:type="dxa" w:w="2337"/>
            <w:tcMar>
              <w:top w:type="dxa" w:w="80"/>
              <w:left w:type="dxa" w:w="100"/>
              <w:bottom w:type="dxa" w:w="80"/>
              <w:right w:type="dxa" w:w="100"/>
            </w:tcMar>
            <w:vAlign w:val="center"/>
          </w:tcPr>
          <w:p>
            <w:pPr>
              <w:jc w:val="center"/>
            </w:pPr>
            <w:r>
              <w:rPr>
                <w:b w:val="false"/>
                <w:bCs w:val="false"/>
                <w:color w:val="000000"/>
                <w:sz w:val="20"/>
                <w:szCs w:val="20"/>
              </w:rPr>
              <w:t xml:space="preserve">Tiap kasus</w:t>
            </w:r>
          </w:p>
        </w:tc>
      </w:tr>
      <w:tr>
        <w:tc>
          <w:tcPr>
            <w:tcW w:type="dxa" w:w="4675"/>
            <w:shd w:fill="F2F2F2" w:val="clear"/>
            <w:tcMar>
              <w:top w:type="dxa" w:w="80"/>
              <w:left w:type="dxa" w:w="100"/>
              <w:bottom w:type="dxa" w:w="80"/>
              <w:right w:type="dxa" w:w="100"/>
            </w:tcMar>
            <w:vAlign w:val="center"/>
          </w:tcPr>
          <w:p>
            <w:pPr>
              <w:jc w:val="left"/>
            </w:pPr>
            <w:r>
              <w:rPr>
                <w:b w:val="false"/>
                <w:bCs w:val="false"/>
                <w:color w:val="000000"/>
                <w:sz w:val="20"/>
                <w:szCs w:val="20"/>
              </w:rPr>
              <w:t xml:space="preserve">Angka komplikasi mayor D&amp;E trimester lanjut (perdarahan transfusi, perforasi)</w:t>
            </w:r>
          </w:p>
        </w:tc>
        <w:tc>
          <w:tcPr>
            <w:tcW w:type="dxa" w:w="2338"/>
            <w:shd w:fill="F2F2F2" w:val="clear"/>
            <w:tcMar>
              <w:top w:type="dxa" w:w="80"/>
              <w:left w:type="dxa" w:w="100"/>
              <w:bottom w:type="dxa" w:w="80"/>
              <w:right w:type="dxa" w:w="100"/>
            </w:tcMar>
            <w:vAlign w:val="center"/>
          </w:tcPr>
          <w:p>
            <w:pPr>
              <w:jc w:val="center"/>
            </w:pPr>
            <w:r>
              <w:rPr>
                <w:b w:val="false"/>
                <w:bCs w:val="false"/>
                <w:color w:val="000000"/>
                <w:sz w:val="20"/>
                <w:szCs w:val="20"/>
              </w:rPr>
              <w:t xml:space="preserve">≤ 2%</w:t>
            </w:r>
          </w:p>
        </w:tc>
        <w:tc>
          <w:tcPr>
            <w:tcW w:type="dxa" w:w="2337"/>
            <w:shd w:fill="F2F2F2" w:val="clear"/>
            <w:tcMar>
              <w:top w:type="dxa" w:w="80"/>
              <w:left w:type="dxa" w:w="100"/>
              <w:bottom w:type="dxa" w:w="80"/>
              <w:right w:type="dxa" w:w="100"/>
            </w:tcMar>
            <w:vAlign w:val="center"/>
          </w:tcPr>
          <w:p>
            <w:pPr>
              <w:jc w:val="center"/>
            </w:pPr>
            <w:r>
              <w:rPr>
                <w:b w:val="false"/>
                <w:bCs w:val="false"/>
                <w:color w:val="000000"/>
                <w:sz w:val="20"/>
                <w:szCs w:val="20"/>
              </w:rPr>
              <w:t xml:space="preserve">Bulanan</w:t>
            </w:r>
          </w:p>
        </w:tc>
      </w:tr>
      <w:tr>
        <w:tc>
          <w:tcPr>
            <w:tcW w:type="dxa" w:w="4675"/>
            <w:tcMar>
              <w:top w:type="dxa" w:w="80"/>
              <w:left w:type="dxa" w:w="100"/>
              <w:bottom w:type="dxa" w:w="80"/>
              <w:right w:type="dxa" w:w="100"/>
            </w:tcMar>
            <w:vAlign w:val="center"/>
          </w:tcPr>
          <w:p>
            <w:pPr>
              <w:jc w:val="left"/>
            </w:pPr>
            <w:r>
              <w:rPr>
                <w:b w:val="false"/>
                <w:bCs w:val="false"/>
                <w:color w:val="000000"/>
                <w:sz w:val="20"/>
                <w:szCs w:val="20"/>
              </w:rPr>
              <w:t xml:space="preserve">Volume kasus D&amp;E trimester lanjut dengan supervisi (capaian kompetensi)</w:t>
            </w:r>
          </w:p>
        </w:tc>
        <w:tc>
          <w:tcPr>
            <w:tcW w:type="dxa" w:w="2338"/>
            <w:tcMar>
              <w:top w:type="dxa" w:w="80"/>
              <w:left w:type="dxa" w:w="100"/>
              <w:bottom w:type="dxa" w:w="80"/>
              <w:right w:type="dxa" w:w="100"/>
            </w:tcMar>
            <w:vAlign w:val="center"/>
          </w:tcPr>
          <w:p>
            <w:pPr>
              <w:jc w:val="center"/>
            </w:pPr>
            <w:r>
              <w:rPr>
                <w:b w:val="false"/>
                <w:bCs w:val="false"/>
                <w:color w:val="000000"/>
                <w:sz w:val="20"/>
                <w:szCs w:val="20"/>
              </w:rPr>
              <w:t xml:space="preserve">≥ 50 kasus</w:t>
            </w:r>
          </w:p>
        </w:tc>
        <w:tc>
          <w:tcPr>
            <w:tcW w:type="dxa" w:w="2337"/>
            <w:tcMar>
              <w:top w:type="dxa" w:w="80"/>
              <w:left w:type="dxa" w:w="100"/>
              <w:bottom w:type="dxa" w:w="80"/>
              <w:right w:type="dxa" w:w="100"/>
            </w:tcMar>
            <w:vAlign w:val="center"/>
          </w:tcPr>
          <w:p>
            <w:pPr>
              <w:jc w:val="center"/>
            </w:pPr>
            <w:r>
              <w:rPr>
                <w:b w:val="false"/>
                <w:bCs w:val="false"/>
                <w:color w:val="000000"/>
                <w:sz w:val="20"/>
                <w:szCs w:val="20"/>
              </w:rPr>
              <w:t xml:space="preserve">Tahunan/kumulatif</w:t>
            </w:r>
          </w:p>
        </w:tc>
      </w:tr>
      <w:tr>
        <w:tc>
          <w:tcPr>
            <w:tcW w:type="dxa" w:w="4675"/>
            <w:shd w:fill="F2F2F2" w:val="clear"/>
            <w:tcMar>
              <w:top w:type="dxa" w:w="80"/>
              <w:left w:type="dxa" w:w="100"/>
              <w:bottom w:type="dxa" w:w="80"/>
              <w:right w:type="dxa" w:w="100"/>
            </w:tcMar>
            <w:vAlign w:val="center"/>
          </w:tcPr>
          <w:p>
            <w:pPr>
              <w:jc w:val="left"/>
            </w:pPr>
            <w:r>
              <w:rPr>
                <w:b w:val="false"/>
                <w:bCs w:val="false"/>
                <w:color w:val="000000"/>
                <w:sz w:val="20"/>
                <w:szCs w:val="20"/>
              </w:rPr>
              <w:t xml:space="preserve">Volume kasus terminasi medikamentosa kompleks (capaian kompetensi)</w:t>
            </w:r>
          </w:p>
        </w:tc>
        <w:tc>
          <w:tcPr>
            <w:tcW w:type="dxa" w:w="2338"/>
            <w:shd w:fill="F2F2F2" w:val="clear"/>
            <w:tcMar>
              <w:top w:type="dxa" w:w="80"/>
              <w:left w:type="dxa" w:w="100"/>
              <w:bottom w:type="dxa" w:w="80"/>
              <w:right w:type="dxa" w:w="100"/>
            </w:tcMar>
            <w:vAlign w:val="center"/>
          </w:tcPr>
          <w:p>
            <w:pPr>
              <w:jc w:val="center"/>
            </w:pPr>
            <w:r>
              <w:rPr>
                <w:b w:val="false"/>
                <w:bCs w:val="false"/>
                <w:color w:val="000000"/>
                <w:sz w:val="20"/>
                <w:szCs w:val="20"/>
              </w:rPr>
              <w:t xml:space="preserve">≥ 30 kasus</w:t>
            </w:r>
          </w:p>
        </w:tc>
        <w:tc>
          <w:tcPr>
            <w:tcW w:type="dxa" w:w="2337"/>
            <w:shd w:fill="F2F2F2" w:val="clear"/>
            <w:tcMar>
              <w:top w:type="dxa" w:w="80"/>
              <w:left w:type="dxa" w:w="100"/>
              <w:bottom w:type="dxa" w:w="80"/>
              <w:right w:type="dxa" w:w="100"/>
            </w:tcMar>
            <w:vAlign w:val="center"/>
          </w:tcPr>
          <w:p>
            <w:pPr>
              <w:jc w:val="center"/>
            </w:pPr>
            <w:r>
              <w:rPr>
                <w:b w:val="false"/>
                <w:bCs w:val="false"/>
                <w:color w:val="000000"/>
                <w:sz w:val="20"/>
                <w:szCs w:val="20"/>
              </w:rPr>
              <w:t xml:space="preserve">Tahunan/kumulatif</w:t>
            </w:r>
          </w:p>
        </w:tc>
      </w:tr>
      <w:tr>
        <w:tc>
          <w:tcPr>
            <w:tcW w:type="dxa" w:w="4675"/>
            <w:tcMar>
              <w:top w:type="dxa" w:w="80"/>
              <w:left w:type="dxa" w:w="100"/>
              <w:bottom w:type="dxa" w:w="80"/>
              <w:right w:type="dxa" w:w="100"/>
            </w:tcMar>
            <w:vAlign w:val="center"/>
          </w:tcPr>
          <w:p>
            <w:pPr>
              <w:jc w:val="left"/>
            </w:pPr>
            <w:r>
              <w:rPr>
                <w:b w:val="false"/>
                <w:bCs w:val="false"/>
                <w:color w:val="000000"/>
                <w:sz w:val="20"/>
                <w:szCs w:val="20"/>
              </w:rPr>
              <w:t xml:space="preserve">Cakupan konseling kontrasepsi pascatindakan</w:t>
            </w:r>
          </w:p>
        </w:tc>
        <w:tc>
          <w:tcPr>
            <w:tcW w:type="dxa" w:w="2338"/>
            <w:tcMar>
              <w:top w:type="dxa" w:w="80"/>
              <w:left w:type="dxa" w:w="100"/>
              <w:bottom w:type="dxa" w:w="80"/>
              <w:right w:type="dxa" w:w="100"/>
            </w:tcMar>
            <w:vAlign w:val="center"/>
          </w:tcPr>
          <w:p>
            <w:pPr>
              <w:jc w:val="center"/>
            </w:pPr>
            <w:r>
              <w:rPr>
                <w:b w:val="false"/>
                <w:bCs w:val="false"/>
                <w:color w:val="000000"/>
                <w:sz w:val="20"/>
                <w:szCs w:val="20"/>
              </w:rPr>
              <w:t xml:space="preserve">100%</w:t>
            </w:r>
          </w:p>
        </w:tc>
        <w:tc>
          <w:tcPr>
            <w:tcW w:type="dxa" w:w="2337"/>
            <w:tcMar>
              <w:top w:type="dxa" w:w="80"/>
              <w:left w:type="dxa" w:w="100"/>
              <w:bottom w:type="dxa" w:w="80"/>
              <w:right w:type="dxa" w:w="100"/>
            </w:tcMar>
            <w:vAlign w:val="center"/>
          </w:tcPr>
          <w:p>
            <w:pPr>
              <w:jc w:val="center"/>
            </w:pPr>
            <w:r>
              <w:rPr>
                <w:b w:val="false"/>
                <w:bCs w:val="false"/>
                <w:color w:val="000000"/>
                <w:sz w:val="20"/>
                <w:szCs w:val="20"/>
              </w:rPr>
              <w:t xml:space="preserve">Tiap kasus</w:t>
            </w:r>
          </w:p>
        </w:tc>
      </w:tr>
    </w:tbl>
    <w:p>
      <w:pPr>
        <w:spacing w:after="100"/>
      </w:pPr>
      <w:r>
        <w:rPr>
          <w:i/>
          <w:iCs/>
          <w:color w:val="666666"/>
          <w:sz w:val="18"/>
          <w:szCs w:val="18"/>
        </w:rPr>
        <w:t xml:space="preserve">Target di atas mengacu langsung pada Tabel 25 Kepkonsil HK.01.02/KKI/1318/2026 dan digunakan sebagai indikator kredensial dan audit mutu, bukan hanya indikator klinis per-pasien.</w:t>
      </w:r>
    </w:p>
    <w:p>
      <w:pPr>
        <w:pStyle w:val="Heading1"/>
        <w:pBdr>
          <w:bottom w:val="single" w:color="C89B3C" w:sz="6"/>
        </w:pBdr>
        <w:shd w:fill="7A1F3D" w:val="clear"/>
        <w:spacing w:after="150" w:before="300"/>
      </w:pPr>
      <w:r>
        <w:rPr>
          <w:b/>
          <w:bCs/>
          <w:color w:val="FFFFFF"/>
          <w:sz w:val="26"/>
          <w:szCs w:val="26"/>
        </w:rPr>
        <w:t xml:space="preserve">15. Kepustakaan</w:t>
      </w:r>
    </w:p>
    <w:p>
      <w:pPr>
        <w:pStyle w:val="Heading2"/>
        <w:spacing w:after="100" w:before="200"/>
      </w:pPr>
      <w:r>
        <w:rPr>
          <w:b/>
          <w:bCs/>
          <w:color w:val="7A1F3D"/>
          <w:sz w:val="22"/>
          <w:szCs w:val="22"/>
        </w:rPr>
        <w:t xml:space="preserve">A. Standar Nasional</w:t>
      </w:r>
    </w:p>
    <w:p>
      <w:pPr>
        <w:pStyle w:val="ListParagraph"/>
        <w:numPr>
          <w:ilvl w:val="0"/>
          <w:numId w:val="4"/>
        </w:numPr>
        <w:spacing w:after="60"/>
      </w:pPr>
      <w:r>
        <w:rPr>
          <w:sz w:val="21"/>
          <w:szCs w:val="21"/>
        </w:rPr>
        <w:t xml:space="preserve">Keputusan Ketua Konsil Kesehatan Indonesia Nomor HK.01.02/KKI/1318/2026 tentang Standar Kompetensi Dokter Spesialis dan Subspesialis Bidang Obstetri dan Ginekologi.</w:t>
      </w:r>
    </w:p>
    <w:p>
      <w:pPr>
        <w:pStyle w:val="ListParagraph"/>
        <w:numPr>
          <w:ilvl w:val="0"/>
          <w:numId w:val="4"/>
        </w:numPr>
        <w:spacing w:after="60"/>
      </w:pPr>
      <w:r>
        <w:rPr>
          <w:sz w:val="21"/>
          <w:szCs w:val="21"/>
        </w:rPr>
        <w:t xml:space="preserve">Republik Indonesia. Undang-Undang Nomor 17 Tahun 2023 tentang Kesehatan (Lembaran Negara RI Tahun 2023 Nomor 105, Tambahan Lembaran Negara RI Nomor 6887), khususnya Pasal 60–62 dan Pasal 427–429.</w:t>
      </w:r>
    </w:p>
    <w:p>
      <w:pPr>
        <w:pStyle w:val="ListParagraph"/>
        <w:numPr>
          <w:ilvl w:val="0"/>
          <w:numId w:val="4"/>
        </w:numPr>
        <w:spacing w:after="60"/>
      </w:pPr>
      <w:r>
        <w:rPr>
          <w:sz w:val="21"/>
          <w:szCs w:val="21"/>
        </w:rPr>
        <w:t xml:space="preserve">Republik Indonesia. Peraturan Pemerintah Nomor 28 Tahun 2024 tentang Peraturan Pelaksanaan Undang-Undang Nomor 17 Tahun 2023 tentang Kesehatan (Lembaran Negara RI Tahun 2024 Nomor 135), khususnya Pasal 116–118, Pasal 124, dan Pasal 1154.</w:t>
      </w:r>
    </w:p>
    <w:p>
      <w:pPr>
        <w:pStyle w:val="ListParagraph"/>
        <w:numPr>
          <w:ilvl w:val="0"/>
          <w:numId w:val="4"/>
        </w:numPr>
        <w:spacing w:after="60"/>
      </w:pPr>
      <w:r>
        <w:rPr>
          <w:sz w:val="21"/>
          <w:szCs w:val="21"/>
        </w:rPr>
        <w:t xml:space="preserve">Republik Indonesia. Undang-Undang Nomor 1 Tahun 2023 tentang Kitab Undang-Undang Hukum Pidana, khususnya Pasal 463, berlaku efektif sejak 2 Januari 2026; sebagaimana disesuaikan melalui Undang-Undang Nomor 1 Tahun 2026 tentang Penyesuaian Pidana.</w:t>
      </w:r>
    </w:p>
    <w:p>
      <w:pPr>
        <w:pStyle w:val="ListParagraph"/>
        <w:numPr>
          <w:ilvl w:val="0"/>
          <w:numId w:val="4"/>
        </w:numPr>
        <w:spacing w:after="60"/>
      </w:pPr>
      <w:r>
        <w:rPr>
          <w:sz w:val="21"/>
          <w:szCs w:val="21"/>
        </w:rPr>
        <w:t xml:space="preserve">Republik Indonesia. Undang-Undang Nomor 12 Tahun 2022 tentang Tindak Pidana Kekerasan Seksual (TPKS).</w:t>
      </w:r>
    </w:p>
    <w:p>
      <w:pPr>
        <w:pStyle w:val="ListParagraph"/>
        <w:numPr>
          <w:ilvl w:val="0"/>
          <w:numId w:val="4"/>
        </w:numPr>
        <w:spacing w:after="60"/>
      </w:pPr>
      <w:r>
        <w:rPr>
          <w:sz w:val="21"/>
          <w:szCs w:val="21"/>
        </w:rPr>
        <w:t xml:space="preserve">Republik Indonesia. Undang-Undang Nomor 23 Tahun 2004 tentang Penghapusan Kekerasan Dalam Rumah Tangga (PKDRT).</w:t>
      </w:r>
    </w:p>
    <w:p>
      <w:pPr>
        <w:pStyle w:val="ListParagraph"/>
        <w:numPr>
          <w:ilvl w:val="0"/>
          <w:numId w:val="4"/>
        </w:numPr>
        <w:spacing w:after="60"/>
      </w:pPr>
      <w:r>
        <w:rPr>
          <w:sz w:val="21"/>
          <w:szCs w:val="21"/>
        </w:rPr>
        <w:t xml:space="preserve">Republik Indonesia. Peraturan Pemerintah Nomor 61 Tahun 2014 tentang Kesehatan Reproduksi (ketentuan transisi usia kehamilan, tidak lagi berlaku sejak KUHP Baru efektif).</w:t>
      </w:r>
    </w:p>
    <w:p>
      <w:pPr>
        <w:pStyle w:val="Heading2"/>
        <w:spacing w:after="100" w:before="200"/>
      </w:pPr>
      <w:r>
        <w:rPr>
          <w:b/>
          <w:bCs/>
          <w:color w:val="7A1F3D"/>
          <w:sz w:val="22"/>
          <w:szCs w:val="22"/>
        </w:rPr>
        <w:t xml:space="preserve">B. Standar/Pedoman Internasional</w:t>
      </w:r>
    </w:p>
    <w:p>
      <w:pPr>
        <w:pStyle w:val="ListParagraph"/>
        <w:numPr>
          <w:ilvl w:val="0"/>
          <w:numId w:val="5"/>
        </w:numPr>
        <w:spacing w:after="60"/>
      </w:pPr>
      <w:r>
        <w:rPr>
          <w:sz w:val="21"/>
          <w:szCs w:val="21"/>
        </w:rPr>
        <w:t xml:space="preserve">World Health Organization. Abortion care guideline, 2nd ed. Geneva: WHO; 2025. ISBN 978-92-4-010420-4. Tersedia: https://www.who.int/publications/i/item/9789240104204</w:t>
      </w:r>
    </w:p>
    <w:p>
      <w:pPr>
        <w:pStyle w:val="ListParagraph"/>
        <w:numPr>
          <w:ilvl w:val="0"/>
          <w:numId w:val="5"/>
        </w:numPr>
        <w:spacing w:after="60"/>
      </w:pPr>
      <w:r>
        <w:rPr>
          <w:sz w:val="21"/>
          <w:szCs w:val="21"/>
        </w:rPr>
        <w:t xml:space="preserve">American College of Obstetricians and Gynecologists. Practice Bulletin No. 135: Second-Trimester Abortion. Obstet Gynecol. 2013;121(6):1394–1406. PMID: 23812485.</w:t>
      </w:r>
    </w:p>
    <w:p>
      <w:pPr>
        <w:pStyle w:val="ListParagraph"/>
        <w:numPr>
          <w:ilvl w:val="0"/>
          <w:numId w:val="5"/>
        </w:numPr>
        <w:spacing w:after="60"/>
      </w:pPr>
      <w:r>
        <w:rPr>
          <w:sz w:val="21"/>
          <w:szCs w:val="21"/>
        </w:rPr>
        <w:t xml:space="preserve">Diedrich JT, Drey EA, Newmann SJ; Society of Family Planning. Society of Family Planning clinical recommendations: Cervical preparation for dilation and evacuation at 20–24 weeks' gestation. Contraception. 2020;101(5):286–292.</w:t>
      </w:r>
    </w:p>
    <w:p>
      <w:pPr>
        <w:pStyle w:val="ListParagraph"/>
        <w:numPr>
          <w:ilvl w:val="0"/>
          <w:numId w:val="5"/>
        </w:numPr>
        <w:spacing w:after="60"/>
      </w:pPr>
      <w:r>
        <w:rPr>
          <w:sz w:val="21"/>
          <w:szCs w:val="21"/>
        </w:rPr>
        <w:t xml:space="preserve">International Federation of Gynecology and Obstetrics (FIGO), Committee on Safe Abortion. FIGO Mifepristone &amp; Misoprostol and Misoprostol-only Dosing Charts, 2023. Tersedia: https://www.figo.org/figo-mifepristone-misoprostol-and-misoprostol-only-dosing-charts-2023</w:t>
      </w:r>
    </w:p>
    <w:p>
      <w:pPr>
        <w:pStyle w:val="ListParagraph"/>
        <w:numPr>
          <w:ilvl w:val="0"/>
          <w:numId w:val="5"/>
        </w:numPr>
        <w:spacing w:after="60"/>
      </w:pPr>
      <w:r>
        <w:rPr>
          <w:sz w:val="21"/>
          <w:szCs w:val="21"/>
        </w:rPr>
        <w:t xml:space="preserve">FIGO, International Confederation of Midwives (ICM). FIGO-ICM Joint Statement on Comprehensive Abortion Care. Tersedia: https://www.figo.org/resources/figo-statements/figo-icm-joint-statement-comprehensive-abortion-care</w:t>
      </w:r>
    </w:p>
    <w:p>
      <w:pPr>
        <w:spacing w:after="100"/>
      </w:pPr>
      <w:r>
        <w:rPr>
          <w:i/>
          <w:iCs/>
          <w:color w:val="666666"/>
          <w:sz w:val="18"/>
          <w:szCs w:val="18"/>
        </w:rPr>
        <w:t xml:space="preserve">Catatan integritas referensi: seluruh pustaka di atas telah diverifikasi ketersediaan dan keberlakuannya per Juli 2026. Nomor pasal KUHP dan PP disarikan dari teks resmi UU Nomor 17 Tahun 2023 dan pemberitaan hukum yang mengutip teks resmi PP Nomor 28 Tahun 2024 serta UU Nomor 1 Tahun 2023; disarankan verifikasi silang dengan salinan resmi Lembaran Negara/JDIH sebelum penerapan final oleh bagian hukum rumah sakit.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6"/>
        <w:szCs w:val="16"/>
      </w:rPr>
      <w:t xml:space="preserve">Halaman </w:t>
    </w:r>
    <w:r>
      <w:rPr>
        <w:sz w:val="16"/>
        <w:szCs w:val="16"/>
      </w:rPr>
      <w:fldChar w:fldCharType="begin"/>
      <w:instrText xml:space="preserve">PAGE</w:instrText>
      <w:fldChar w:fldCharType="separate"/>
      <w:fldChar w:fldCharType="end"/>
    </w:r>
    <w:r>
      <w:rPr>
        <w:sz w:val="16"/>
        <w:szCs w:val="16"/>
      </w:rPr>
      <w:t xml:space="preserve"> dari </w:t>
    </w:r>
    <w:r>
      <w:rPr>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6"/>
        <w:szCs w:val="16"/>
      </w:rPr>
      <w:t xml:space="preserve">[Nama Rumah Sakit]  |  [Nama KSM/Departemen]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260"/>
      </w:pPr>
    </w:lvl>
  </w:abstractNum>
  <w:abstractNum w:abstractNumId="3" w15:restartNumberingAfterBreak="0">
    <w:multiLevelType w:val="hybridMultilevel"/>
    <w:lvl w:ilvl="0" w15:tentative="1">
      <w:start w:val="1"/>
      <w:numFmt w:val="decimal"/>
      <w:lvlText w:val="%1."/>
      <w:lvlJc w:val="start"/>
      <w:pPr>
        <w:ind w:left="400" w:hanging="260"/>
      </w:pPr>
    </w:lvl>
  </w:abstractNum>
  <w:abstractNum w:abstractNumId="4" w15:restartNumberingAfterBreak="0">
    <w:multiLevelType w:val="hybridMultilevel"/>
    <w:lvl w:ilvl="0" w15:tentative="1">
      <w:start w:val="1"/>
      <w:numFmt w:val="decimal"/>
      <w:lvlText w:val="%1."/>
      <w:lvlJc w:val="start"/>
      <w:pPr>
        <w:ind w:left="400" w:hanging="260"/>
      </w:pPr>
    </w:lvl>
  </w:abstractNum>
  <w:abstractNum w:abstractNumId="5" w15:restartNumberingAfterBreak="0">
    <w:multiLevelType w:val="hybridMultilevel"/>
    <w:lvl w:ilvl="0" w15:tentative="1">
      <w:start w:val="1"/>
      <w:numFmt w:val="decimal"/>
      <w:lvlText w:val="%1."/>
      <w:lvlJc w:val="start"/>
      <w:pPr>
        <w:ind w:left="40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2026-08-01T00:01:48.463Z</dcterms:created>
  <dcterms:modified xsi:type="dcterms:W3CDTF">2026-08-01T00:01:48.476Z</dcterms:modified>
</cp:coreProperties>
</file>

<file path=docProps/custom.xml><?xml version="1.0" encoding="utf-8"?>
<Properties xmlns="http://schemas.openxmlformats.org/officeDocument/2006/custom-properties" xmlns:vt="http://schemas.openxmlformats.org/officeDocument/2006/docPropsVTypes"/>
</file>